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a0aa75903a428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</w:pPr>
      <w:r>
        <w:rPr>
          <w:b/>
          <w:sz w:val="44"/>
          <w:szCs w:val="44"/>
        </w:rPr>
        <w:t xml:space="preserve">Service Agreement</w:t>
      </w:r>
    </w:p>
    <w:p>
      <w:pPr>
        <w:jc w:val="right"/>
      </w:pPr>
      <w:r>
        <w:rPr>
          <w:color w:val="6E6E73"/>
          <w:sz w:val="20"/>
          <w:szCs w:val="20"/>
        </w:rPr>
        <w:t xml:space="preserve">Agreement No. BL-2026-0925</w:t>
      </w:r>
    </w:p>
    <w:tbl>
      <w:tblPr>
        <w:tblStyle w:val="TableGrid"/>
        <w:tblW w:w="9070" w:type="dxa"/>
        <w:tblBorders>
          <w:top w:val="single" w:color="D2D2D7" w:sz="4" w:space="0"/>
          <w:left w:val="single" w:color="D2D2D7" w:sz="4" w:space="0"/>
          <w:bottom w:val="single" w:color="D2D2D7" w:sz="4" w:space="0"/>
          <w:right w:val="single" w:color="D2D2D7" w:sz="4" w:space="0"/>
          <w:insideH w:val="single" w:color="D2D2D7" w:sz="4" w:space="0"/>
          <w:insideV w:val="single" w:color="D2D2D7" w:sz="4" w:space="0"/>
        </w:tblBorders>
        <w:tblLayout w:type="fixed"/>
        <w:tblLook w:val="04A0"/>
      </w:tblPr>
      <w:tblGrid>
        <w:gridCol w:w="1587"/>
        <w:gridCol w:w="2948"/>
        <w:gridCol w:w="1587"/>
        <w:gridCol w:w="2948"/>
      </w:tblGrid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Client</w:t>
            </w:r>
          </w:p>
        </w:tc>
        <w:tc>
          <w:tcPr>
            <w:tcW w:w="2948" w:type="dxa"/>
          </w:tcPr>
          <w:p>
            <w:r>
              <w:t xml:space="preserve">Riverstone Media Ltd.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Provider</w:t>
            </w:r>
          </w:p>
        </w:tc>
        <w:tc>
          <w:tcPr>
            <w:tcW w:w="2948" w:type="dxa"/>
          </w:tcPr>
          <w:p>
            <w:r>
              <w:t xml:space="preserve">Brightline Technologies Ltd.</w:t>
            </w:r>
          </w:p>
        </w:tc>
      </w:tr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Address</w:t>
            </w:r>
          </w:p>
        </w:tc>
        <w:tc>
          <w:tcPr>
            <w:tcW w:w="2948" w:type="dxa"/>
          </w:tcPr>
          <w:p>
            <w:r>
              <w:t xml:space="preserve">100 Century Avenue, Shanghai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Address</w:t>
            </w:r>
          </w:p>
        </w:tc>
        <w:tc>
          <w:tcPr>
            <w:tcW w:w="2948" w:type="dxa"/>
          </w:tcPr>
          <w:p>
            <w:r>
              <w:t xml:space="preserve">258 Wensan Road, Hangzhou</w:t>
            </w:r>
          </w:p>
        </w:tc>
      </w:tr>
      <w:tr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Contact</w:t>
            </w:r>
          </w:p>
        </w:tc>
        <w:tc>
          <w:tcPr>
            <w:tcW w:w="2948" w:type="dxa"/>
          </w:tcPr>
          <w:p>
            <w:r>
              <w:t xml:space="preserve">Sam Taylor · +86 138 0000 0001</w:t>
            </w:r>
          </w:p>
        </w:tc>
        <w:tc>
          <w:tcPr>
            <w:tcW w:w="1587" w:type="dxa"/>
            <w:shd w:val="clear" w:color="auto" w:fill="F2F2F4"/>
          </w:tcPr>
          <w:p>
            <w:r>
              <w:rPr>
                <w:b/>
              </w:rPr>
              <w:t xml:space="preserve">Contact</w:t>
            </w:r>
          </w:p>
        </w:tc>
        <w:tc>
          <w:tcPr>
            <w:tcW w:w="2948" w:type="dxa"/>
          </w:tcPr>
          <w:p>
            <w:r>
              <w:t xml:space="preserve">Alex Chen · +86 139 0000 0002</w:t>
            </w:r>
          </w:p>
        </w:tc>
      </w:tr>
    </w:tbl>
    <w:p/>
    <w:p>
      <w:r>
        <w:t xml:space="preserve">The Client wishes to engage the Provider for software development and technical services. In good faith and on equal terms, the parties agree as follows.</w:t>
      </w:r>
    </w:p>
    <w:p>
      <w:pPr>
        <w:pStyle w:val="Heading2"/>
      </w:pPr>
      <w:r>
        <w:t xml:space="preserve">1. Services</w:t>
      </w:r>
    </w:p>
    <w:p>
      <w:r>
        <w:t xml:space="preserve">The Provider will design, build and deploy a content management system for the Client and support it for twelve months, as described in Schedule 1 (Statement of Work).</w:t>
      </w:r>
    </w:p>
    <w:p>
      <w:pPr>
        <w:pStyle w:val="Heading2"/>
      </w:pPr>
      <w:r>
        <w:t xml:space="preserve">2. Term</w:t>
      </w:r>
    </w:p>
    <w:p>
      <w:r>
        <w:t xml:space="preserve">This agreement runs from October 1, 2026 to September 30, 2027. The parties may agree to renew it within 30 days before it ends.</w:t>
      </w:r>
    </w:p>
    <w:p>
      <w:pPr>
        <w:pStyle w:val="Heading2"/>
      </w:pPr>
      <w:r>
        <w:t xml:space="preserve">3. Fees and payment</w:t>
      </w:r>
    </w:p>
    <w:p>
      <w:r>
        <w:t xml:space="preserve">The total fee is 480,000, inclusive of tax.</w:t>
      </w:r>
    </w:p>
    <w:p>
      <w:r>
        <w:t xml:space="preserve">Payment: 30% within ten working days of signing; 60% within ten working days of acceptance; the remaining 10% within ten working days after the support period ends.</w:t>
      </w:r>
    </w:p>
    <w:p>
      <w:pPr>
        <w:pStyle w:val="Heading2"/>
      </w:pPr>
      <w:r>
        <w:t xml:space="preserve">4. Obligations</w:t>
      </w:r>
    </w:p>
    <w:p>
      <w:r>
        <w:t xml:space="preserve">The Client will provide the materials and cooperation reasonably required and pay on time.</w:t>
      </w:r>
    </w:p>
    <w:p>
      <w:r>
        <w:t xml:space="preserve">The Provider will deliver to the schedule and quality set out in the Schedules and warrant the deliverables.</w:t>
      </w:r>
    </w:p>
    <w:p>
      <w:pPr>
        <w:pStyle w:val="Heading2"/>
      </w:pPr>
      <w:r>
        <w:t xml:space="preserve">5. Intellectual property and confidentiality</w:t>
      </w:r>
    </w:p>
    <w:p>
      <w:r>
        <w:t xml:space="preserve">Custom work created under this agreement belongs to the Client once all fees are paid; the Provider keeps its pre-existing components and licenses the Client to use them. Each party will keep the other’s confidential information secret, and this duty survives the end of the agreement.</w:t>
      </w:r>
    </w:p>
    <w:p>
      <w:pPr>
        <w:pStyle w:val="Heading2"/>
      </w:pPr>
      <w:r>
        <w:t xml:space="preserve">6. Liability</w:t>
      </w:r>
    </w:p>
    <w:p>
      <w:r>
        <w:t xml:space="preserve">A party in breach will compensate the other for the direct loss it causes. For late delivery the Provider pays 0.1% of the total fee per day, capped at 10% of the total fee.</w:t>
      </w:r>
    </w:p>
    <w:p>
      <w:pPr>
        <w:pStyle w:val="Heading2"/>
      </w:pPr>
      <w:r>
        <w:t xml:space="preserve">7. Disputes and general</w:t>
      </w:r>
    </w:p>
    <w:p>
      <w:r>
        <w:t xml:space="preserve">The parties will try to settle any dispute amicably; failing that, the courts where the Client is located have jurisdiction. This agreement is signed in two counterparts, one for each party, and takes effect when both have signed.</w:t>
      </w:r>
    </w:p>
    <w:p/>
    <w:tbl>
      <w:tblPr>
        <w:tblStyle w:val="TableGrid"/>
        <w:tblW w:w="90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4535"/>
        <w:gridCol w:w="4535"/>
      </w:tblGrid>
      <w:tr>
        <w:trPr>
          <w:trHeight w:val="2268" w:hRule="atLeast"/>
        </w:trPr>
        <w:tc>
          <w:tcPr>
            <w:tcW w:w="4535" w:type="dxa"/>
            <w:vAlign w:val="top"/>
          </w:tcPr>
          <w:p>
            <w:r>
              <w:rPr>
                <w:b/>
              </w:rPr>
              <w:t xml:space="preserve">Client</w:t>
            </w:r>
            <w:r>
              <w:br/>
              <w:br/>
            </w:r>
            <w:r>
              <w:t xml:space="preserve">Authorised signature:</w:t>
            </w:r>
            <w:r>
              <w:br/>
              <w:br/>
            </w:r>
            <w:r>
              <w:t xml:space="preserve">Name and title:</w:t>
            </w:r>
            <w:r>
              <w:br/>
              <w:br/>
            </w:r>
            <w:r>
              <w:t xml:space="preserve">Date:</w:t>
            </w:r>
          </w:p>
        </w:tc>
        <w:tc>
          <w:tcPr>
            <w:tcW w:w="4535" w:type="dxa"/>
            <w:vAlign w:val="top"/>
          </w:tcPr>
          <w:p>
            <w:r>
              <w:rPr>
                <w:b/>
              </w:rPr>
              <w:t xml:space="preserve">Provider</w:t>
            </w:r>
            <w:r>
              <w:br/>
              <w:br/>
            </w:r>
            <w:r>
              <w:t xml:space="preserve">Authorised signature:</w:t>
            </w:r>
            <w:r>
              <w:br/>
              <w:br/>
            </w:r>
            <w:r>
              <w:t xml:space="preserve">Name and title:</w:t>
            </w:r>
            <w:r>
              <w:br/>
              <w:br/>
            </w:r>
            <w:r>
              <w:t xml:space="preserve">Date:</w:t>
            </w:r>
          </w:p>
        </w:tc>
      </w:tr>
    </w:tbl>
    <w:sectPr>
      <w:footerReference xmlns:r="http://schemas.openxmlformats.org/officeDocument/2006/relationships" w:type="default" r:id="Redd01ce4a5144d96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1046d82d34447ae" /><Relationship Type="http://schemas.openxmlformats.org/officeDocument/2006/relationships/settings" Target="/word/settings.xml" Id="R186b84ba11b043bb" /><Relationship Type="http://schemas.openxmlformats.org/officeDocument/2006/relationships/footer" Target="/word/footer1.xml" Id="Redd01ce4a5144d96" /></Relationships>
</file>