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6537ad2c9c04282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rPr>
          <w:color w:val="6D6478"/>
          <w:sz w:val="24"/>
          <w:szCs w:val="24"/>
        </w:rPr>
        <w:t xml:space="preserve">Project Plan</w:t>
      </w:r>
    </w:p>
    <w:p>
      <w:r>
        <w:rPr>
          <w:b/>
          <w:color w:val="4B3B63"/>
          <w:sz w:val="52"/>
          <w:szCs w:val="52"/>
        </w:rPr>
        <w:t xml:space="preserve">Website Redesign</w:t>
      </w:r>
    </w:p>
    <w:p>
      <w:pPr>
        <w:shd w:val="clear" w:color="auto" w:fill="4B3B63"/>
      </w:pPr>
      <w:r>
        <w:rPr>
          <w:color w:val="4B3B63"/>
          <w:sz w:val="3"/>
          <w:szCs w:val="3"/>
        </w:rPr>
        <w:t xml:space="preserve"> </w:t>
      </w:r>
    </w:p>
    <w:tbl>
      <w:tblPr>
        <w:tblStyle w:val="TableGrid"/>
        <w:tblW w:w="9070" w:type="dxa"/>
        <w:tblBorders>
          <w:top w:val="single" w:color="D7D0E1" w:sz="4" w:space="0"/>
          <w:left w:val="single" w:color="D7D0E1" w:sz="4" w:space="0"/>
          <w:bottom w:val="single" w:color="D7D0E1" w:sz="4" w:space="0"/>
          <w:right w:val="single" w:color="D7D0E1" w:sz="4" w:space="0"/>
          <w:insideH w:val="single" w:color="D7D0E1" w:sz="4" w:space="0"/>
          <w:insideV w:val="single" w:color="D7D0E1" w:sz="4" w:space="0"/>
        </w:tblBorders>
        <w:tblLayout w:type="fixed"/>
        <w:tblLook w:val="04A0"/>
      </w:tblPr>
      <w:tblGrid>
        <w:gridCol w:w="1474"/>
        <w:gridCol w:w="3061"/>
        <w:gridCol w:w="1474"/>
        <w:gridCol w:w="3061"/>
      </w:tblGrid>
      <w:tr>
        <w:tc>
          <w:tcPr>
            <w:tcW w:w="1474" w:type="dxa"/>
            <w:shd w:val="clear" w:color="auto" w:fill="F1EEF5"/>
          </w:tcPr>
          <w:p>
            <w:r>
              <w:rPr>
                <w:b/>
                <w:color w:val="4B3B63"/>
              </w:rPr>
              <w:t xml:space="preserve">Owner</w:t>
            </w:r>
          </w:p>
        </w:tc>
        <w:tc>
          <w:tcPr>
            <w:tcW w:w="3061" w:type="dxa"/>
          </w:tcPr>
          <w:p>
            <w:r>
              <w:t xml:space="preserve">Marketing</w:t>
            </w:r>
          </w:p>
        </w:tc>
        <w:tc>
          <w:tcPr>
            <w:tcW w:w="1474" w:type="dxa"/>
            <w:shd w:val="clear" w:color="auto" w:fill="F1EEF5"/>
          </w:tcPr>
          <w:p>
            <w:r>
              <w:rPr>
                <w:b/>
                <w:color w:val="4B3B63"/>
              </w:rPr>
              <w:t xml:space="preserve">Project manager</w:t>
            </w:r>
          </w:p>
        </w:tc>
        <w:tc>
          <w:tcPr>
            <w:tcW w:w="3061" w:type="dxa"/>
          </w:tcPr>
          <w:p>
            <w:r>
              <w:t xml:space="preserve">Alex Chen</w:t>
            </w:r>
          </w:p>
        </w:tc>
      </w:tr>
      <w:tr>
        <w:tc>
          <w:tcPr>
            <w:tcW w:w="1474" w:type="dxa"/>
            <w:shd w:val="clear" w:color="auto" w:fill="F1EEF5"/>
          </w:tcPr>
          <w:p>
            <w:r>
              <w:rPr>
                <w:b/>
                <w:color w:val="4B3B63"/>
              </w:rPr>
              <w:t xml:space="preserve">Date</w:t>
            </w:r>
          </w:p>
        </w:tc>
        <w:tc>
          <w:tcPr>
            <w:tcW w:w="3061" w:type="dxa"/>
          </w:tcPr>
          <w:p>
            <w:r>
              <w:t xml:space="preserve">September 25, 2026</w:t>
            </w:r>
          </w:p>
        </w:tc>
        <w:tc>
          <w:tcPr>
            <w:tcW w:w="1474" w:type="dxa"/>
            <w:shd w:val="clear" w:color="auto" w:fill="F1EEF5"/>
          </w:tcPr>
          <w:p>
            <w:r>
              <w:rPr>
                <w:b/>
                <w:color w:val="4B3B63"/>
              </w:rPr>
              <w:t xml:space="preserve">Version</w:t>
            </w:r>
          </w:p>
        </w:tc>
        <w:tc>
          <w:tcPr>
            <w:tcW w:w="3061" w:type="dxa"/>
          </w:tcPr>
          <w:p>
            <w:r>
              <w:t xml:space="preserve">v1.0</w:t>
            </w:r>
          </w:p>
        </w:tc>
      </w:tr>
    </w:tbl>
    <w:p>
      <w:pPr>
        <w:pStyle w:val="Heading1"/>
      </w:pPr>
      <w:r>
        <w:rPr>
          <w:color w:val="4B3B63"/>
        </w:rPr>
        <w:t xml:space="preserve">1. Background</w:t>
      </w:r>
    </w:p>
    <w:p>
      <w:r>
        <w:t xml:space="preserve">The current website dates from 2021. It is built around the company profile, buries the products and works poorly on phones; conversion has slipped to 1.2% over the past year. With the new brand identity in place, the site needs a redesign that makes it the main acquisition channel.</w:t>
      </w:r>
    </w:p>
    <w:p>
      <w:pPr>
        <w:pStyle w:val="Heading1"/>
      </w:pPr>
      <w:r>
        <w:rPr>
          <w:color w:val="4B3B63"/>
        </w:rPr>
        <w:t xml:space="preserve">2. Goals</w:t>
      </w:r>
    </w:p>
    <w:p>
      <w:pPr>
        <w:pStyle w:val="ListParagraph"/>
        <w:numPr>
          <w:ilvl w:val="0"/>
          <w:numId w:val="1"/>
        </w:numPr>
      </w:pPr>
      <w:r>
        <w:t xml:space="preserve">Launch the new site for desktop and mobile by November 30.</w:t>
      </w:r>
    </w:p>
    <w:p>
      <w:pPr>
        <w:pStyle w:val="ListParagraph"/>
        <w:numPr>
          <w:ilvl w:val="0"/>
          <w:numId w:val="1"/>
        </w:numPr>
      </w:pPr>
      <w:r>
        <w:t xml:space="preserve">Raise conversion from 1.2% to 2.0% within three months of launch.</w:t>
      </w:r>
    </w:p>
    <w:p>
      <w:pPr>
        <w:pStyle w:val="ListParagraph"/>
        <w:numPr>
          <w:ilvl w:val="0"/>
          <w:numId w:val="1"/>
        </w:numPr>
      </w:pPr>
      <w:r>
        <w:t xml:space="preserve">Mobile pages load in under two seconds; usability score of 4.5 or better.</w:t>
      </w:r>
    </w:p>
    <w:p>
      <w:pPr>
        <w:pStyle w:val="Heading1"/>
      </w:pPr>
      <w:r>
        <w:rPr>
          <w:color w:val="4B3B63"/>
        </w:rPr>
        <w:t xml:space="preserve">3. Scope</w:t>
      </w:r>
    </w:p>
    <w:tbl>
      <w:tblPr>
        <w:tblStyle w:val="TableGrid"/>
        <w:tblW w:w="9070" w:type="dxa"/>
        <w:tblBorders>
          <w:top w:val="single" w:color="D7D0E1" w:sz="4" w:space="0"/>
          <w:left w:val="single" w:color="D7D0E1" w:sz="4" w:space="0"/>
          <w:bottom w:val="single" w:color="D7D0E1" w:sz="4" w:space="0"/>
          <w:right w:val="single" w:color="D7D0E1" w:sz="4" w:space="0"/>
          <w:insideH w:val="single" w:color="D7D0E1" w:sz="4" w:space="0"/>
          <w:insideV w:val="single" w:color="D7D0E1" w:sz="4" w:space="0"/>
        </w:tblBorders>
        <w:tblLayout w:type="fixed"/>
        <w:tblLook w:val="04A0"/>
      </w:tblPr>
      <w:tblGrid>
        <w:gridCol w:w="4535"/>
        <w:gridCol w:w="4535"/>
      </w:tblGrid>
      <w:tr>
        <w:tc>
          <w:tcPr>
            <w:tcW w:w="4535" w:type="dxa"/>
            <w:shd w:val="clear" w:color="auto" w:fill="4B3B63"/>
          </w:tcPr>
          <w:p>
            <w:r>
              <w:rPr>
                <w:b/>
                <w:color w:val="FFFFFF"/>
              </w:rPr>
              <w:t xml:space="preserve">In scope</w:t>
            </w:r>
          </w:p>
        </w:tc>
        <w:tc>
          <w:tcPr>
            <w:tcW w:w="4535" w:type="dxa"/>
            <w:shd w:val="clear" w:color="auto" w:fill="6D6478"/>
          </w:tcPr>
          <w:p>
            <w:r>
              <w:rPr>
                <w:b/>
                <w:color w:val="FFFFFF"/>
              </w:rPr>
              <w:t xml:space="preserve">Out of scope</w:t>
            </w:r>
          </w:p>
        </w:tc>
      </w:tr>
      <w:tr>
        <w:tc>
          <w:tcPr>
            <w:tcW w:w="4535" w:type="dxa"/>
          </w:tcPr>
          <w:p>
            <w:r>
              <w:t xml:space="preserve">· Information architecture and page design (about 24 pages)</w:t>
            </w:r>
            <w:r>
              <w:br/>
            </w:r>
            <w:r>
              <w:t xml:space="preserve">· Content migration and new copy</w:t>
            </w:r>
            <w:r>
              <w:br/>
            </w:r>
            <w:r>
              <w:t xml:space="preserve">· Front-end build and CMS integration</w:t>
            </w:r>
            <w:r>
              <w:br/>
            </w:r>
            <w:r>
              <w:t xml:space="preserve">· Analytics and the conversion funnel</w:t>
            </w:r>
          </w:p>
        </w:tc>
        <w:tc>
          <w:tcPr>
            <w:tcW w:w="4535" w:type="dxa"/>
          </w:tcPr>
          <w:p>
            <w:r>
              <w:t xml:space="preserve">· The in-product docs and help centre</w:t>
            </w:r>
            <w:r>
              <w:br/>
            </w:r>
            <w:r>
              <w:t xml:space="preserve">· Additional languages (phase two)</w:t>
            </w:r>
            <w:r>
              <w:br/>
            </w:r>
            <w:r>
              <w:t xml:space="preserve">· The online store and payments</w:t>
            </w:r>
          </w:p>
        </w:tc>
      </w:tr>
    </w:tbl>
    <w:p>
      <w:pPr>
        <w:pStyle w:val="Heading1"/>
      </w:pPr>
      <w:r>
        <w:rPr>
          <w:color w:val="4B3B63"/>
        </w:rPr>
        <w:t xml:space="preserve">4. Schedule</w:t>
      </w:r>
    </w:p>
    <w:tbl>
      <w:tblPr>
        <w:tblStyle w:val="TableGrid"/>
        <w:tblW w:w="9070" w:type="dxa"/>
        <w:tblBorders>
          <w:top w:val="single" w:color="D7D0E1" w:sz="4" w:space="0"/>
          <w:left w:val="none" w:color="auto" w:sz="0" w:space="0"/>
          <w:bottom w:val="single" w:color="D7D0E1" w:sz="4" w:space="0"/>
          <w:right w:val="none" w:color="auto" w:sz="0" w:space="0"/>
          <w:insideH w:val="single" w:color="D7D0E1" w:sz="4" w:space="0"/>
          <w:insideV w:val="none" w:color="auto" w:sz="0" w:space="0"/>
        </w:tblBorders>
        <w:tblLayout w:type="fixed"/>
        <w:tblLook w:val="04A0"/>
      </w:tblPr>
      <w:tblGrid>
        <w:gridCol w:w="1587"/>
        <w:gridCol w:w="4082"/>
        <w:gridCol w:w="1814"/>
        <w:gridCol w:w="1587"/>
      </w:tblGrid>
      <w:tr>
        <w:tc>
          <w:tcPr>
            <w:tcW w:w="1587" w:type="dxa"/>
            <w:shd w:val="clear" w:color="auto" w:fill="4B3B63"/>
          </w:tcPr>
          <w:p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tcW w:w="4082" w:type="dxa"/>
            <w:shd w:val="clear" w:color="auto" w:fill="4B3B63"/>
          </w:tcPr>
          <w:p>
            <w:r>
              <w:rPr>
                <w:b/>
                <w:color w:val="FFFFFF"/>
              </w:rPr>
              <w:t xml:space="preserve">Work</w:t>
            </w:r>
          </w:p>
        </w:tc>
        <w:tc>
          <w:tcPr>
            <w:tcW w:w="1814" w:type="dxa"/>
            <w:shd w:val="clear" w:color="auto" w:fill="4B3B63"/>
          </w:tcPr>
          <w:p>
            <w:r>
              <w:rPr>
                <w:b/>
                <w:color w:val="FFFFFF"/>
              </w:rPr>
              <w:t xml:space="preserve">Dates</w:t>
            </w:r>
          </w:p>
        </w:tc>
        <w:tc>
          <w:tcPr>
            <w:tcW w:w="1587" w:type="dxa"/>
            <w:shd w:val="clear" w:color="auto" w:fill="4B3B63"/>
          </w:tcPr>
          <w:p>
            <w:r>
              <w:rPr>
                <w:b/>
                <w:color w:val="FFFFFF"/>
              </w:rPr>
              <w:t xml:space="preserve">Owner</w:t>
            </w:r>
          </w:p>
        </w:tc>
      </w:tr>
      <w:tr>
        <w:tc>
          <w:tcPr>
            <w:tcW w:w="1587" w:type="dxa"/>
          </w:tcPr>
          <w:p>
            <w:r>
              <w:t xml:space="preserve">Discovery</w:t>
            </w:r>
          </w:p>
        </w:tc>
        <w:tc>
          <w:tcPr>
            <w:tcW w:w="4082" w:type="dxa"/>
          </w:tcPr>
          <w:p>
            <w:r>
              <w:t xml:space="preserve">User interviews, competitor review, information architecture</w:t>
            </w:r>
          </w:p>
        </w:tc>
        <w:tc>
          <w:tcPr>
            <w:tcW w:w="1814" w:type="dxa"/>
          </w:tcPr>
          <w:p>
            <w:r>
              <w:t xml:space="preserve">09-28 – 10-10</w:t>
            </w:r>
          </w:p>
        </w:tc>
        <w:tc>
          <w:tcPr>
            <w:tcW w:w="1587" w:type="dxa"/>
          </w:tcPr>
          <w:p>
            <w:r>
              <w:t xml:space="preserve">Alex Chen</w:t>
            </w:r>
          </w:p>
        </w:tc>
      </w:tr>
      <w:tr>
        <w:tc>
          <w:tcPr>
            <w:tcW w:w="1587" w:type="dxa"/>
          </w:tcPr>
          <w:p>
            <w:r>
              <w:t xml:space="preserve">Design</w:t>
            </w:r>
          </w:p>
        </w:tc>
        <w:tc>
          <w:tcPr>
            <w:tcW w:w="4082" w:type="dxa"/>
          </w:tcPr>
          <w:p>
            <w:r>
              <w:t xml:space="preserve">Visual direction, page designs, design review</w:t>
            </w:r>
          </w:p>
        </w:tc>
        <w:tc>
          <w:tcPr>
            <w:tcW w:w="1814" w:type="dxa"/>
          </w:tcPr>
          <w:p>
            <w:r>
              <w:t xml:space="preserve">10-11 – 10-31</w:t>
            </w:r>
          </w:p>
        </w:tc>
        <w:tc>
          <w:tcPr>
            <w:tcW w:w="1587" w:type="dxa"/>
          </w:tcPr>
          <w:p>
            <w:r>
              <w:t xml:space="preserve">Jordan Lee</w:t>
            </w:r>
          </w:p>
        </w:tc>
      </w:tr>
      <w:tr>
        <w:tc>
          <w:tcPr>
            <w:tcW w:w="1587" w:type="dxa"/>
          </w:tcPr>
          <w:p>
            <w:r>
              <w:t xml:space="preserve">Build</w:t>
            </w:r>
          </w:p>
        </w:tc>
        <w:tc>
          <w:tcPr>
            <w:tcW w:w="4082" w:type="dxa"/>
          </w:tcPr>
          <w:p>
            <w:r>
              <w:t xml:space="preserve">Front end, CMS integration, content migration</w:t>
            </w:r>
          </w:p>
        </w:tc>
        <w:tc>
          <w:tcPr>
            <w:tcW w:w="1814" w:type="dxa"/>
          </w:tcPr>
          <w:p>
            <w:r>
              <w:t xml:space="preserve">10-20 – 11-15</w:t>
            </w:r>
          </w:p>
        </w:tc>
        <w:tc>
          <w:tcPr>
            <w:tcW w:w="1587" w:type="dxa"/>
          </w:tcPr>
          <w:p>
            <w:r>
              <w:t xml:space="preserve">Casey Kim</w:t>
            </w:r>
          </w:p>
        </w:tc>
      </w:tr>
      <w:tr>
        <w:tc>
          <w:tcPr>
            <w:tcW w:w="1587" w:type="dxa"/>
          </w:tcPr>
          <w:p>
            <w:r>
              <w:t xml:space="preserve">Test &amp; launch</w:t>
            </w:r>
          </w:p>
        </w:tc>
        <w:tc>
          <w:tcPr>
            <w:tcW w:w="4082" w:type="dxa"/>
          </w:tcPr>
          <w:p>
            <w:r>
              <w:t xml:space="preserve">QA, performance tuning, staged rollout</w:t>
            </w:r>
          </w:p>
        </w:tc>
        <w:tc>
          <w:tcPr>
            <w:tcW w:w="1814" w:type="dxa"/>
          </w:tcPr>
          <w:p>
            <w:r>
              <w:t xml:space="preserve">11-16 – 11-30</w:t>
            </w:r>
          </w:p>
        </w:tc>
        <w:tc>
          <w:tcPr>
            <w:tcW w:w="1587" w:type="dxa"/>
          </w:tcPr>
          <w:p>
            <w:r>
              <w:t xml:space="preserve">Morgan Reed</w:t>
            </w:r>
          </w:p>
        </w:tc>
      </w:tr>
    </w:tbl>
    <w:p>
      <w:pPr>
        <w:pStyle w:val="Heading1"/>
      </w:pPr>
      <w:r>
        <w:rPr>
          <w:color w:val="4B3B63"/>
        </w:rPr>
        <w:t xml:space="preserve">5. Budget</w:t>
      </w:r>
    </w:p>
    <w:tbl>
      <w:tblPr>
        <w:tblStyle w:val="TableGrid"/>
        <w:tblW w:w="9071" w:type="dxa"/>
        <w:tblBorders>
          <w:top w:val="single" w:color="D7D0E1" w:sz="4" w:space="0"/>
          <w:left w:val="none" w:color="auto" w:sz="0" w:space="0"/>
          <w:bottom w:val="single" w:color="D7D0E1" w:sz="4" w:space="0"/>
          <w:right w:val="none" w:color="auto" w:sz="0" w:space="0"/>
          <w:insideH w:val="single" w:color="D7D0E1" w:sz="4" w:space="0"/>
          <w:insideV w:val="none" w:color="auto" w:sz="0" w:space="0"/>
        </w:tblBorders>
        <w:tblLayout w:type="fixed"/>
        <w:tblLook w:val="04A0"/>
      </w:tblPr>
      <w:tblGrid>
        <w:gridCol w:w="2835"/>
        <w:gridCol w:w="2041"/>
        <w:gridCol w:w="4195"/>
      </w:tblGrid>
      <w:tr>
        <w:tc>
          <w:tcPr>
            <w:tcW w:w="2835" w:type="dxa"/>
            <w:shd w:val="clear" w:color="auto" w:fill="4B3B63"/>
          </w:tcPr>
          <w:p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2041" w:type="dxa"/>
            <w:shd w:val="clear" w:color="auto" w:fill="4B3B63"/>
          </w:tcPr>
          <w:p>
            <w:r>
              <w:rPr>
                <w:b/>
                <w:color w:val="FFFFFF"/>
              </w:rPr>
              <w:t xml:space="preserve">Amount</w:t>
            </w:r>
          </w:p>
        </w:tc>
        <w:tc>
          <w:tcPr>
            <w:tcW w:w="4195" w:type="dxa"/>
            <w:shd w:val="clear" w:color="auto" w:fill="4B3B63"/>
          </w:tcPr>
          <w:p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tcW w:w="2835" w:type="dxa"/>
          </w:tcPr>
          <w:p>
            <w:r>
              <w:t xml:space="preserve">Design contractor</w:t>
            </w:r>
          </w:p>
        </w:tc>
        <w:tc>
          <w:tcPr>
            <w:tcW w:w="2041" w:type="dxa"/>
          </w:tcPr>
          <w:p>
            <w:r>
              <w:t xml:space="preserve">120,000</w:t>
            </w:r>
          </w:p>
        </w:tc>
        <w:tc>
          <w:tcPr>
            <w:tcW w:w="4195" w:type="dxa"/>
          </w:tcPr>
          <w:p>
            <w:r>
              <w:t xml:space="preserve">Illustration and motion</w:t>
            </w:r>
          </w:p>
        </w:tc>
      </w:tr>
      <w:tr>
        <w:tc>
          <w:tcPr>
            <w:tcW w:w="2835" w:type="dxa"/>
          </w:tcPr>
          <w:p>
            <w:r>
              <w:t xml:space="preserve">Engineering</w:t>
            </w:r>
          </w:p>
        </w:tc>
        <w:tc>
          <w:tcPr>
            <w:tcW w:w="2041" w:type="dxa"/>
          </w:tcPr>
          <w:p>
            <w:r>
              <w:t xml:space="preserve">150,000</w:t>
            </w:r>
          </w:p>
        </w:tc>
        <w:tc>
          <w:tcPr>
            <w:tcW w:w="4195" w:type="dxa"/>
          </w:tcPr>
          <w:p>
            <w:r>
              <w:t xml:space="preserve">Three people for two months</w:t>
            </w:r>
          </w:p>
        </w:tc>
      </w:tr>
      <w:tr>
        <w:tc>
          <w:tcPr>
            <w:tcW w:w="2835" w:type="dxa"/>
          </w:tcPr>
          <w:p>
            <w:r>
              <w:t xml:space="preserve">Content and photography</w:t>
            </w:r>
          </w:p>
        </w:tc>
        <w:tc>
          <w:tcPr>
            <w:tcW w:w="2041" w:type="dxa"/>
          </w:tcPr>
          <w:p>
            <w:r>
              <w:t xml:space="preserve">40,000</w:t>
            </w:r>
          </w:p>
        </w:tc>
        <w:tc>
          <w:tcPr>
            <w:tcW w:w="4195" w:type="dxa"/>
          </w:tcPr>
          <w:p>
            <w:r>
              <w:t xml:space="preserve">Product photography and case studies</w:t>
            </w:r>
          </w:p>
        </w:tc>
      </w:tr>
      <w:tr>
        <w:tc>
          <w:tcPr>
            <w:tcW w:w="2835" w:type="dxa"/>
          </w:tcPr>
          <w:p>
            <w:r>
              <w:t xml:space="preserve">Testing and tools</w:t>
            </w:r>
          </w:p>
        </w:tc>
        <w:tc>
          <w:tcPr>
            <w:tcW w:w="2041" w:type="dxa"/>
          </w:tcPr>
          <w:p>
            <w:r>
              <w:t xml:space="preserve">20,000</w:t>
            </w:r>
          </w:p>
        </w:tc>
        <w:tc>
          <w:tcPr>
            <w:tcW w:w="4195" w:type="dxa"/>
          </w:tcPr>
          <w:p>
            <w:r>
              <w:t xml:space="preserve">Usability testing and monitoring</w:t>
            </w:r>
          </w:p>
        </w:tc>
      </w:tr>
      <w:tr>
        <w:tc>
          <w:tcPr>
            <w:tcW w:w="2835" w:type="dxa"/>
            <w:shd w:val="clear" w:color="auto" w:fill="F1EEF5"/>
          </w:tcPr>
          <w:p>
            <w:r>
              <w:rPr>
                <w:b/>
              </w:rPr>
              <w:t xml:space="preserve">Total</w:t>
            </w:r>
          </w:p>
        </w:tc>
        <w:tc>
          <w:tcPr>
            <w:tcW w:w="2041" w:type="dxa"/>
            <w:shd w:val="clear" w:color="auto" w:fill="F1EEF5"/>
          </w:tcPr>
          <w:p>
            <w:r>
              <w:rPr>
                <w:b/>
              </w:rPr>
              <w:t xml:space="preserve">330,000</w:t>
            </w:r>
          </w:p>
        </w:tc>
        <w:tc>
          <w:tcPr>
            <w:tcW w:w="4195" w:type="dxa"/>
            <w:shd w:val="clear" w:color="auto" w:fill="F1EEF5"/>
          </w:tcPr>
          <w:p>
            <w:r/>
          </w:p>
        </w:tc>
      </w:tr>
    </w:tbl>
    <w:p>
      <w:pPr>
        <w:pStyle w:val="Heading1"/>
      </w:pPr>
      <w:r>
        <w:rPr>
          <w:color w:val="4B3B63"/>
        </w:rPr>
        <w:t xml:space="preserve">6. Risks</w:t>
      </w:r>
    </w:p>
    <w:tbl>
      <w:tblPr>
        <w:tblStyle w:val="TableGrid"/>
        <w:tblW w:w="9071" w:type="dxa"/>
        <w:tblBorders>
          <w:top w:val="single" w:color="D7D0E1" w:sz="4" w:space="0"/>
          <w:left w:val="none" w:color="auto" w:sz="0" w:space="0"/>
          <w:bottom w:val="single" w:color="D7D0E1" w:sz="4" w:space="0"/>
          <w:right w:val="none" w:color="auto" w:sz="0" w:space="0"/>
          <w:insideH w:val="single" w:color="D7D0E1" w:sz="4" w:space="0"/>
          <w:insideV w:val="none" w:color="auto" w:sz="0" w:space="0"/>
        </w:tblBorders>
        <w:tblLayout w:type="fixed"/>
        <w:tblLook w:val="04A0"/>
      </w:tblPr>
      <w:tblGrid>
        <w:gridCol w:w="2835"/>
        <w:gridCol w:w="1134"/>
        <w:gridCol w:w="5102"/>
      </w:tblGrid>
      <w:tr>
        <w:tc>
          <w:tcPr>
            <w:tcW w:w="2835" w:type="dxa"/>
            <w:shd w:val="clear" w:color="auto" w:fill="4B3B63"/>
          </w:tcPr>
          <w:p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tcW w:w="1134" w:type="dxa"/>
            <w:shd w:val="clear" w:color="auto" w:fill="4B3B63"/>
          </w:tcPr>
          <w:p>
            <w:r>
              <w:rPr>
                <w:b/>
                <w:color w:val="FFFFFF"/>
              </w:rPr>
              <w:t xml:space="preserve">Impact</w:t>
            </w:r>
          </w:p>
        </w:tc>
        <w:tc>
          <w:tcPr>
            <w:tcW w:w="5102" w:type="dxa"/>
            <w:shd w:val="clear" w:color="auto" w:fill="4B3B63"/>
          </w:tcPr>
          <w:p>
            <w:r>
              <w:rPr>
                <w:b/>
                <w:color w:val="FFFFFF"/>
              </w:rPr>
              <w:t xml:space="preserve">Response</w:t>
            </w:r>
          </w:p>
        </w:tc>
      </w:tr>
      <w:tr>
        <w:tc>
          <w:tcPr>
            <w:tcW w:w="2835" w:type="dxa"/>
          </w:tcPr>
          <w:p>
            <w:r>
              <w:t xml:space="preserve">More content to migrate than expected</w:t>
            </w:r>
          </w:p>
        </w:tc>
        <w:tc>
          <w:tcPr>
            <w:tcW w:w="1134" w:type="dxa"/>
          </w:tcPr>
          <w:p>
            <w:r>
              <w:t xml:space="preserve">High</w:t>
            </w:r>
          </w:p>
        </w:tc>
        <w:tc>
          <w:tcPr>
            <w:tcW w:w="5102" w:type="dxa"/>
          </w:tcPr>
          <w:p>
            <w:r>
              <w:t xml:space="preserve">Start the inventory two weeks early; move non-core pages in phase two</w:t>
            </w:r>
          </w:p>
        </w:tc>
      </w:tr>
      <w:tr>
        <w:tc>
          <w:tcPr>
            <w:tcW w:w="2835" w:type="dxa"/>
          </w:tcPr>
          <w:p>
            <w:r>
              <w:t xml:space="preserve">Repeated design reviews</w:t>
            </w:r>
          </w:p>
        </w:tc>
        <w:tc>
          <w:tcPr>
            <w:tcW w:w="1134" w:type="dxa"/>
          </w:tcPr>
          <w:p>
            <w:r>
              <w:t xml:space="preserve">Medium</w:t>
            </w:r>
          </w:p>
        </w:tc>
        <w:tc>
          <w:tcPr>
            <w:tcW w:w="5102" w:type="dxa"/>
          </w:tcPr>
          <w:p>
            <w:r>
              <w:t xml:space="preserve">Two review rounds per phase with a named decision maker</w:t>
            </w:r>
          </w:p>
        </w:tc>
      </w:tr>
      <w:tr>
        <w:tc>
          <w:tcPr>
            <w:tcW w:w="2835" w:type="dxa"/>
          </w:tcPr>
          <w:p>
            <w:r>
              <w:t xml:space="preserve">Unreliable third-party APIs</w:t>
            </w:r>
          </w:p>
        </w:tc>
        <w:tc>
          <w:tcPr>
            <w:tcW w:w="1134" w:type="dxa"/>
          </w:tcPr>
          <w:p>
            <w:r>
              <w:t xml:space="preserve">Medium</w:t>
            </w:r>
          </w:p>
        </w:tc>
        <w:tc>
          <w:tcPr>
            <w:tcW w:w="5102" w:type="dxa"/>
          </w:tcPr>
          <w:p>
            <w:r>
              <w:t xml:space="preserve">Fallbacks for the key integrations</w:t>
            </w:r>
          </w:p>
        </w:tc>
      </w:tr>
    </w:tbl>
    <w:p>
      <w:pPr>
        <w:pStyle w:val="Heading1"/>
      </w:pPr>
      <w:r>
        <w:rPr>
          <w:color w:val="4B3B63"/>
        </w:rPr>
        <w:t xml:space="preserve">7. Acceptance</w:t>
      </w:r>
    </w:p>
    <w:p>
      <w:pPr>
        <w:pStyle w:val="ListParagraph"/>
        <w:numPr>
          <w:ilvl w:val="0"/>
          <w:numId w:val="1"/>
        </w:numPr>
      </w:pPr>
      <w:r>
        <w:t xml:space="preserve">Every page passes QA and renders correctly in the main browsers and on common phones.</w:t>
      </w:r>
    </w:p>
    <w:p>
      <w:pPr>
        <w:pStyle w:val="ListParagraph"/>
        <w:numPr>
          <w:ilvl w:val="0"/>
          <w:numId w:val="1"/>
        </w:numPr>
      </w:pPr>
      <w:r>
        <w:t xml:space="preserve">Mobile performance score of 90 or higher.</w:t>
      </w:r>
    </w:p>
    <w:p>
      <w:pPr>
        <w:pStyle w:val="ListParagraph"/>
        <w:numPr>
          <w:ilvl w:val="0"/>
          <w:numId w:val="1"/>
        </w:numPr>
      </w:pPr>
      <w:r>
        <w:t xml:space="preserve">Conversion events are complete and visible on the dashboard.</w:t>
      </w:r>
    </w:p>
    <w:sectPr>
      <w:footerReference xmlns:r="http://schemas.openxmlformats.org/officeDocument/2006/relationships" w:type="default" r:id="R706ef8ef4c524fb5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r>
      <w:t xml:space="preserve">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hybridMultilevel"/>
    <w:name w:val="writer-bullet"/>
    <w:lvl w:ilvl="0">
      <w:start w:val="1"/>
      <w:numFmt w:val="bullet"/>
      <w:lvlText w:val="•"/>
      <w:lvlJc w:val="left"/>
      <w:pPr>
        <w:ind w:start="720" w:hanging="360"/>
      </w:pPr>
    </w:lvl>
    <w:lvl w:ilvl="1">
      <w:start w:val="1"/>
      <w:numFmt w:val="bullet"/>
      <w:lvlText w:val="◦"/>
      <w:lvlJc w:val="left"/>
      <w:pPr>
        <w:ind w:start="1440" w:hanging="360"/>
      </w:pPr>
    </w:lvl>
    <w:lvl w:ilvl="2">
      <w:start w:val="1"/>
      <w:numFmt w:val="bullet"/>
      <w:lvlText w:val="▪"/>
      <w:lvlJc w:val="left"/>
      <w:pPr>
        <w:ind w:start="2160" w:hanging="360"/>
      </w:pPr>
    </w:lvl>
    <w:lvl w:ilvl="3">
      <w:start w:val="1"/>
      <w:numFmt w:val="bullet"/>
      <w:lvlText w:val="•"/>
      <w:lvlJc w:val="left"/>
      <w:pPr>
        <w:ind w:start="2880" w:hanging="360"/>
      </w:pPr>
    </w:lvl>
    <w:lvl w:ilvl="4">
      <w:start w:val="1"/>
      <w:numFmt w:val="bullet"/>
      <w:lvlText w:val="◦"/>
      <w:lvlJc w:val="left"/>
      <w:pPr>
        <w:ind w:start="3600" w:hanging="360"/>
      </w:pPr>
    </w:lvl>
    <w:lvl w:ilvl="5">
      <w:start w:val="1"/>
      <w:numFmt w:val="bullet"/>
      <w:lvlText w:val="▪"/>
      <w:lvlJc w:val="left"/>
      <w:pPr>
        <w:ind w:start="4320" w:hanging="360"/>
      </w:pPr>
    </w:lvl>
    <w:lvl w:ilvl="6">
      <w:start w:val="1"/>
      <w:numFmt w:val="bullet"/>
      <w:lvlText w:val="•"/>
      <w:lvlJc w:val="left"/>
      <w:pPr>
        <w:ind w:start="5040" w:hanging="360"/>
      </w:pPr>
    </w:lvl>
    <w:lvl w:ilvl="7">
      <w:start w:val="1"/>
      <w:numFmt w:val="bullet"/>
      <w:lvlText w:val="◦"/>
      <w:lvlJc w:val="left"/>
      <w:pPr>
        <w:ind w:start="5760" w:hanging="360"/>
      </w:pPr>
    </w:lvl>
    <w:lvl w:ilvl="8">
      <w:start w:val="1"/>
      <w:numFmt w:val="bullet"/>
      <w:lvlText w:val="▪"/>
      <w:lvlJc w:val="left"/>
      <w:pPr>
        <w:ind w:star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DefaultParagraphFont" w:default="1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bottom w:val="single" w:color="BFBFBF" w:sz="4" w:space="0"/>
        <w:insideH w:val="single" w:color="BFBFBF" w:sz="4" w:space="0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bottom w:val="single" w:color="auto" w:sz="6" w:space="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5f18ee0e80347dc" /><Relationship Type="http://schemas.openxmlformats.org/officeDocument/2006/relationships/settings" Target="/word/settings.xml" Id="Rdf53a41f60d44394" /><Relationship Type="http://schemas.openxmlformats.org/officeDocument/2006/relationships/footer" Target="/word/footer1.xml" Id="R706ef8ef4c524fb5" /><Relationship Type="http://schemas.openxmlformats.org/officeDocument/2006/relationships/numbering" Target="/word/numbering.xml" Id="R329dbae99c7a4d23" /></Relationships>
</file>