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d8ef94506f44a9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>
          <w:color w:val="1F3A5F"/>
        </w:rPr>
        <w:t xml:space="preserve">Half-Year Work Report, 2026</w:t>
      </w:r>
    </w:p>
    <w:p>
      <w:r>
        <w:rPr>
          <w:color w:val="5E6B7A"/>
          <w:sz w:val="20"/>
          <w:szCs w:val="20"/>
        </w:rPr>
        <w:t xml:space="preserve">Marketing · Prepared by Sam Taylor · July 10, 2026</w:t>
      </w:r>
    </w:p>
    <w:p>
      <w:pPr>
        <w:pStyle w:val="Heading1"/>
      </w:pPr>
      <w:r>
        <w:rPr>
          <w:color w:val="1F3A5F"/>
        </w:rPr>
        <w:t xml:space="preserve">1. Overview</w:t>
      </w:r>
    </w:p>
    <w:p>
      <w:r>
        <w:t xml:space="preserve">In the first half the team worked along three lines: the brand refresh, new channels and membership growth. By June 30 we had delivered 54% of the annual targets; membership is ahead of plan, brand reach slightly behind.</w:t>
      </w:r>
    </w:p>
    <w:p>
      <w:pPr>
        <w:pStyle w:val="Heading1"/>
      </w:pPr>
      <w:r>
        <w:rPr>
          <w:color w:val="1F3A5F"/>
        </w:rPr>
        <w:t xml:space="preserve">2. Results</w:t>
      </w:r>
    </w:p>
    <w:tbl>
      <w:tblPr>
        <w:tblStyle w:val="TableGrid"/>
        <w:tblW w:w="9072" w:type="dxa"/>
        <w:tblBorders>
          <w:top w:val="single" w:color="C9D3E0" w:sz="4" w:space="0"/>
          <w:left w:val="none" w:color="auto" w:sz="0" w:space="0"/>
          <w:bottom w:val="single" w:color="C9D3E0" w:sz="4" w:space="0"/>
          <w:right w:val="none" w:color="auto" w:sz="0" w:space="0"/>
          <w:insideH w:val="single" w:color="C9D3E0" w:sz="4" w:space="0"/>
          <w:insideV w:val="none" w:color="auto" w:sz="0" w:space="0"/>
        </w:tblBorders>
        <w:tblLayout w:type="fixed"/>
        <w:tblLook w:val="04A0"/>
      </w:tblPr>
      <w:tblGrid>
        <w:gridCol w:w="3402"/>
        <w:gridCol w:w="1928"/>
        <w:gridCol w:w="1928"/>
        <w:gridCol w:w="1814"/>
      </w:tblGrid>
      <w:tr>
        <w:tc>
          <w:tcPr>
            <w:tcW w:w="3402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1928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Annual target</w:t>
            </w:r>
          </w:p>
        </w:tc>
        <w:tc>
          <w:tcPr>
            <w:tcW w:w="1928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Delivered</w:t>
            </w:r>
          </w:p>
        </w:tc>
        <w:tc>
          <w:tcPr>
            <w:tcW w:w="1814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Progress</w:t>
            </w:r>
          </w:p>
        </w:tc>
      </w:tr>
      <w:tr>
        <w:tc>
          <w:tcPr>
            <w:tcW w:w="3402" w:type="dxa"/>
          </w:tcPr>
          <w:p>
            <w:r>
              <w:t xml:space="preserve">Brand reach (millions)</w:t>
            </w:r>
          </w:p>
        </w:tc>
        <w:tc>
          <w:tcPr>
            <w:tcW w:w="1928" w:type="dxa"/>
          </w:tcPr>
          <w:p>
            <w:r>
              <w:t xml:space="preserve">12,000</w:t>
            </w:r>
          </w:p>
        </w:tc>
        <w:tc>
          <w:tcPr>
            <w:tcW w:w="1928" w:type="dxa"/>
          </w:tcPr>
          <w:p>
            <w:r>
              <w:t xml:space="preserve">5,600</w:t>
            </w:r>
          </w:p>
        </w:tc>
        <w:tc>
          <w:tcPr>
            <w:tcW w:w="1814" w:type="dxa"/>
          </w:tcPr>
          <w:p>
            <w:r>
              <w:t xml:space="preserve">47%</w:t>
            </w:r>
          </w:p>
        </w:tc>
      </w:tr>
      <w:tr>
        <w:tc>
          <w:tcPr>
            <w:tcW w:w="3402" w:type="dxa"/>
          </w:tcPr>
          <w:p>
            <w:r>
              <w:t xml:space="preserve">New members</w:t>
            </w:r>
          </w:p>
        </w:tc>
        <w:tc>
          <w:tcPr>
            <w:tcW w:w="1928" w:type="dxa"/>
          </w:tcPr>
          <w:p>
            <w:r>
              <w:t xml:space="preserve">80,000</w:t>
            </w:r>
          </w:p>
        </w:tc>
        <w:tc>
          <w:tcPr>
            <w:tcW w:w="1928" w:type="dxa"/>
          </w:tcPr>
          <w:p>
            <w:r>
              <w:t xml:space="preserve">46,300</w:t>
            </w:r>
          </w:p>
        </w:tc>
        <w:tc>
          <w:tcPr>
            <w:tcW w:w="1814" w:type="dxa"/>
          </w:tcPr>
          <w:p>
            <w:r>
              <w:t xml:space="preserve">58%</w:t>
            </w:r>
          </w:p>
        </w:tc>
      </w:tr>
      <w:tr>
        <w:tc>
          <w:tcPr>
            <w:tcW w:w="3402" w:type="dxa"/>
          </w:tcPr>
          <w:p>
            <w:r>
              <w:t xml:space="preserve">Channel partners</w:t>
            </w:r>
          </w:p>
        </w:tc>
        <w:tc>
          <w:tcPr>
            <w:tcW w:w="1928" w:type="dxa"/>
          </w:tcPr>
          <w:p>
            <w:r>
              <w:t xml:space="preserve">10</w:t>
            </w:r>
          </w:p>
        </w:tc>
        <w:tc>
          <w:tcPr>
            <w:tcW w:w="1928" w:type="dxa"/>
          </w:tcPr>
          <w:p>
            <w:r>
              <w:t xml:space="preserve">6</w:t>
            </w:r>
          </w:p>
        </w:tc>
        <w:tc>
          <w:tcPr>
            <w:tcW w:w="1814" w:type="dxa"/>
          </w:tcPr>
          <w:p>
            <w:r>
              <w:t xml:space="preserve">60%</w:t>
            </w:r>
          </w:p>
        </w:tc>
      </w:tr>
      <w:tr>
        <w:tc>
          <w:tcPr>
            <w:tcW w:w="3402" w:type="dxa"/>
          </w:tcPr>
          <w:p>
            <w:r>
              <w:t xml:space="preserve">Events</w:t>
            </w:r>
          </w:p>
        </w:tc>
        <w:tc>
          <w:tcPr>
            <w:tcW w:w="1928" w:type="dxa"/>
          </w:tcPr>
          <w:p>
            <w:r>
              <w:t xml:space="preserve">24</w:t>
            </w:r>
          </w:p>
        </w:tc>
        <w:tc>
          <w:tcPr>
            <w:tcW w:w="1928" w:type="dxa"/>
          </w:tcPr>
          <w:p>
            <w:r>
              <w:t xml:space="preserve">13</w:t>
            </w:r>
          </w:p>
        </w:tc>
        <w:tc>
          <w:tcPr>
            <w:tcW w:w="1814" w:type="dxa"/>
          </w:tcPr>
          <w:p>
            <w:r>
              <w:t xml:space="preserve">54%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rPr>
          <w:b/>
        </w:rPr>
        <w:t xml:space="preserve">Brand refresh</w:t>
      </w:r>
      <w:r>
        <w:t xml:space="preserve">: the new visual system is live on the website, in stores and across the main channels; recall up 11 points in the survey.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Channels</w:t>
      </w:r>
      <w:r>
        <w:t xml:space="preserve">: six regional partners signed, including the first in the South and Southwest.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Membership</w:t>
      </w:r>
      <w:r>
        <w:t xml:space="preserve">: monthly sign-ups rose from 5,800 to 9,200 after the members’ day and the points programme launched.</w:t>
      </w:r>
    </w:p>
    <w:p>
      <w:pPr>
        <w:pStyle w:val="Heading1"/>
      </w:pPr>
      <w:r>
        <w:rPr>
          <w:color w:val="1F3A5F"/>
        </w:rPr>
        <w:t xml:space="preserve">3. Issues</w:t>
      </w:r>
    </w:p>
    <w:p>
      <w:pPr>
        <w:pStyle w:val="ListParagraph"/>
        <w:numPr>
          <w:ilvl w:val="0"/>
          <w:numId w:val="1"/>
        </w:numPr>
      </w:pPr>
      <w:r>
        <w:t xml:space="preserve">Brand reach fell short of plan: the Q2 media budget arrived late and online placements started five weeks behind.</w:t>
      </w:r>
    </w:p>
    <w:p>
      <w:pPr>
        <w:pStyle w:val="ListParagraph"/>
        <w:numPr>
          <w:ilvl w:val="0"/>
          <w:numId w:val="1"/>
        </w:numPr>
      </w:pPr>
      <w:r>
        <w:t xml:space="preserve">Some regional partners lacked training and materials, and their first-month sell-through was below expectations.</w:t>
      </w:r>
    </w:p>
    <w:p>
      <w:pPr>
        <w:pStyle w:val="ListParagraph"/>
        <w:numPr>
          <w:ilvl w:val="0"/>
          <w:numId w:val="1"/>
        </w:numPr>
      </w:pPr>
      <w:r>
        <w:t xml:space="preserve">Scheduling conflicts across departments stretched response times.</w:t>
      </w:r>
    </w:p>
    <w:p>
      <w:pPr>
        <w:pStyle w:val="Heading1"/>
      </w:pPr>
      <w:r>
        <w:rPr>
          <w:color w:val="1F3A5F"/>
        </w:rPr>
        <w:t xml:space="preserve">4. Plan for the second half</w:t>
      </w:r>
    </w:p>
    <w:p>
      <w:pPr>
        <w:pStyle w:val="ListParagraph"/>
        <w:numPr>
          <w:ilvl w:val="0"/>
          <w:numId w:val="2"/>
        </w:numPr>
      </w:pPr>
      <w:r>
        <w:t xml:space="preserve">Concentrate on the two key campaigns, the autumn launch and the year-end sale, to close the reach gap.</w:t>
      </w:r>
    </w:p>
    <w:p>
      <w:pPr>
        <w:pStyle w:val="ListParagraph"/>
        <w:numPr>
          <w:ilvl w:val="0"/>
          <w:numId w:val="2"/>
        </w:numPr>
      </w:pPr>
      <w:r>
        <w:t xml:space="preserve">Standardise the partner training kit and start monthly partner visits.</w:t>
      </w:r>
    </w:p>
    <w:p>
      <w:pPr>
        <w:pStyle w:val="ListParagraph"/>
        <w:numPr>
          <w:ilvl w:val="0"/>
          <w:numId w:val="2"/>
        </w:numPr>
      </w:pPr>
      <w:r>
        <w:t xml:space="preserve">Launch phase two of the membership programme, aiming at 90,000 new members for the year.</w:t>
      </w:r>
    </w:p>
    <w:p>
      <w:pPr>
        <w:pStyle w:val="ListParagraph"/>
        <w:numPr>
          <w:ilvl w:val="0"/>
          <w:numId w:val="2"/>
        </w:numPr>
      </w:pPr>
      <w:r>
        <w:t xml:space="preserve">Set up a fortnightly review with Product and IT to shorten response times.</w:t>
      </w:r>
    </w:p>
    <w:p>
      <w:pPr>
        <w:pStyle w:val="Heading1"/>
      </w:pPr>
      <w:r>
        <w:rPr>
          <w:color w:val="1F3A5F"/>
        </w:rPr>
        <w:t xml:space="preserve">5. Support needed</w:t>
      </w:r>
    </w:p>
    <w:p>
      <w:r>
        <w:t xml:space="preserve">A further 300,000 in channel support for Q3, and two regional marketing specialists recruited with HR’s help.</w:t>
      </w:r>
    </w:p>
    <w:sectPr>
      <w:headerReference xmlns:r="http://schemas.openxmlformats.org/officeDocument/2006/relationships" w:type="default" r:id="R083a9a325e794c3e"/>
      <w:footerReference xmlns:r="http://schemas.openxmlformats.org/officeDocument/2006/relationships" w:type="default" r:id="R0394a8cb824a4304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</w:p>
</w:ftr>
</file>

<file path=word/header1.xml><?xml version="1.0" encoding="utf-8"?>
<w:hdr xmlns:w="http://schemas.openxmlformats.org/wordprocessingml/2006/main">
  <w:p>
    <w:r>
      <w:rPr>
        <w:color w:val="5E6B7A"/>
        <w:sz w:val="18"/>
        <w:szCs w:val="18"/>
      </w:rPr>
      <w:t xml:space="preserve">Brightline Technologies · Internal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bullet"/>
    <w:lvl w:ilvl="0">
      <w:start w:val="1"/>
      <w:numFmt w:val="bullet"/>
      <w:lvlText w:val="•"/>
      <w:lvlJc w:val="left"/>
      <w:pPr>
        <w:ind w:start="720" w:hanging="360"/>
      </w:pPr>
    </w:lvl>
    <w:lvl w:ilvl="1">
      <w:start w:val="1"/>
      <w:numFmt w:val="bullet"/>
      <w:lvlText w:val="◦"/>
      <w:lvlJc w:val="left"/>
      <w:pPr>
        <w:ind w:start="1440" w:hanging="360"/>
      </w:pPr>
    </w:lvl>
    <w:lvl w:ilvl="2">
      <w:start w:val="1"/>
      <w:numFmt w:val="bullet"/>
      <w:lvlText w:val="▪"/>
      <w:lvlJc w:val="left"/>
      <w:pPr>
        <w:ind w:start="2160" w:hanging="360"/>
      </w:pPr>
    </w:lvl>
    <w:lvl w:ilvl="3">
      <w:start w:val="1"/>
      <w:numFmt w:val="bullet"/>
      <w:lvlText w:val="•"/>
      <w:lvlJc w:val="left"/>
      <w:pPr>
        <w:ind w:start="2880" w:hanging="360"/>
      </w:pPr>
    </w:lvl>
    <w:lvl w:ilvl="4">
      <w:start w:val="1"/>
      <w:numFmt w:val="bullet"/>
      <w:lvlText w:val="◦"/>
      <w:lvlJc w:val="left"/>
      <w:pPr>
        <w:ind w:start="3600" w:hanging="360"/>
      </w:pPr>
    </w:lvl>
    <w:lvl w:ilvl="5">
      <w:start w:val="1"/>
      <w:numFmt w:val="bullet"/>
      <w:lvlText w:val="▪"/>
      <w:lvlJc w:val="left"/>
      <w:pPr>
        <w:ind w:start="4320" w:hanging="360"/>
      </w:pPr>
    </w:lvl>
    <w:lvl w:ilvl="6">
      <w:start w:val="1"/>
      <w:numFmt w:val="bullet"/>
      <w:lvlText w:val="•"/>
      <w:lvlJc w:val="left"/>
      <w:pPr>
        <w:ind w:start="5040" w:hanging="360"/>
      </w:pPr>
    </w:lvl>
    <w:lvl w:ilvl="7">
      <w:start w:val="1"/>
      <w:numFmt w:val="bullet"/>
      <w:lvlText w:val="◦"/>
      <w:lvlJc w:val="left"/>
      <w:pPr>
        <w:ind w:start="5760" w:hanging="360"/>
      </w:pPr>
    </w:lvl>
    <w:lvl w:ilvl="8">
      <w:start w:val="1"/>
      <w:numFmt w:val="bullet"/>
      <w:lvlText w:val="▪"/>
      <w:lvlJc w:val="left"/>
      <w:pPr>
        <w:ind w:start="6480" w:hanging="360"/>
      </w:pPr>
    </w:lvl>
  </w:abstractNum>
  <w:abstractNum xmlns:w="http://schemas.openxmlformats.org/wordprocessingml/2006/main" w:abstractNumId="1">
    <w:multiLevelType w:val="hybridMultilevel"/>
    <w:name w:val="writer-number"/>
    <w:lvl w:ilvl="0">
      <w:start w:val="1"/>
      <w:numFmt w:val="decimal"/>
      <w:lvlText w:val="%1."/>
      <w:lvlJc w:val="left"/>
      <w:pPr>
        <w:ind w:start="720" w:hanging="360"/>
      </w:pPr>
    </w:lvl>
    <w:lvl w:ilvl="1">
      <w:start w:val="1"/>
      <w:numFmt w:val="lowerLetter"/>
      <w:lvlText w:val="%2."/>
      <w:lvlJc w:val="left"/>
      <w:pPr>
        <w:ind w:start="1440" w:hanging="360"/>
      </w:pPr>
    </w:lvl>
    <w:lvl w:ilvl="2">
      <w:start w:val="1"/>
      <w:numFmt w:val="lowerRoman"/>
      <w:lvlText w:val="%3."/>
      <w:lvlJc w:val="left"/>
      <w:pPr>
        <w:ind w:start="2160" w:hanging="360"/>
      </w:pPr>
    </w:lvl>
    <w:lvl w:ilvl="3">
      <w:start w:val="1"/>
      <w:numFmt w:val="decimal"/>
      <w:lvlText w:val="%4."/>
      <w:lvlJc w:val="left"/>
      <w:pPr>
        <w:ind w:start="2880" w:hanging="360"/>
      </w:pPr>
    </w:lvl>
    <w:lvl w:ilvl="4">
      <w:start w:val="1"/>
      <w:numFmt w:val="lowerLetter"/>
      <w:lvlText w:val="%5."/>
      <w:lvlJc w:val="left"/>
      <w:pPr>
        <w:ind w:start="3600" w:hanging="360"/>
      </w:pPr>
    </w:lvl>
    <w:lvl w:ilvl="5">
      <w:start w:val="1"/>
      <w:numFmt w:val="lowerRoman"/>
      <w:lvlText w:val="%6."/>
      <w:lvlJc w:val="left"/>
      <w:pPr>
        <w:ind w:start="4320" w:hanging="360"/>
      </w:pPr>
    </w:lvl>
    <w:lvl w:ilvl="6">
      <w:start w:val="1"/>
      <w:numFmt w:val="decimal"/>
      <w:lvlText w:val="%7."/>
      <w:lvlJc w:val="left"/>
      <w:pPr>
        <w:ind w:start="5040" w:hanging="360"/>
      </w:pPr>
    </w:lvl>
    <w:lvl w:ilvl="7">
      <w:start w:val="1"/>
      <w:numFmt w:val="lowerLetter"/>
      <w:lvlText w:val="%8."/>
      <w:lvlJc w:val="left"/>
      <w:pPr>
        <w:ind w:start="5760" w:hanging="360"/>
      </w:pPr>
    </w:lvl>
    <w:lvl w:ilvl="8">
      <w:start w:val="1"/>
      <w:numFmt w:val="lowerRoman"/>
      <w:lvlText w:val="%9."/>
      <w:lvlJc w:val="left"/>
      <w:pPr>
        <w:ind w:star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74d17243c804688" /><Relationship Type="http://schemas.openxmlformats.org/officeDocument/2006/relationships/settings" Target="/word/settings.xml" Id="Rcc0d552e8f7e4393" /><Relationship Type="http://schemas.openxmlformats.org/officeDocument/2006/relationships/header" Target="/word/header1.xml" Id="R083a9a325e794c3e" /><Relationship Type="http://schemas.openxmlformats.org/officeDocument/2006/relationships/footer" Target="/word/footer1.xml" Id="R0394a8cb824a4304" /><Relationship Type="http://schemas.openxmlformats.org/officeDocument/2006/relationships/numbering" Target="/word/numbering.xml" Id="Re7e521e6e0844ba4" /></Relationships>
</file>