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1e0b85dd24d4c6d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color w:val="C00000"/>
          <w:sz w:val="52"/>
          <w:szCs w:val="52"/>
        </w:rPr>
        <w:t xml:space="preserve">远山科技有限公司文件</w:t>
      </w:r>
    </w:p>
    <w:p>
      <w:pPr>
        <w:jc w:val="center"/>
      </w:pPr>
      <w:r>
        <w:rPr>
          <w:sz w:val="24"/>
          <w:szCs w:val="24"/>
        </w:rPr>
        <w:t xml:space="preserve">远科发〔2026〕12 号</w:t>
      </w:r>
    </w:p>
    <w:p>
      <w:pPr>
        <w:shd w:val="clear" w:color="auto" w:fill="C00000"/>
      </w:pPr>
      <w:r>
        <w:rPr>
          <w:color w:val="C00000"/>
          <w:sz w:val="4"/>
          <w:szCs w:val="4"/>
        </w:rPr>
        <w:t xml:space="preserve"> </w:t>
      </w:r>
    </w:p>
    <w:p/>
    <w:p>
      <w:pPr>
        <w:jc w:val="center"/>
      </w:pPr>
      <w:r>
        <w:rPr>
          <w:b/>
          <w:sz w:val="32"/>
          <w:szCs w:val="32"/>
        </w:rPr>
        <w:t xml:space="preserve">关于开展 2026 年度员工健康体检工作的通知</w:t>
      </w:r>
    </w:p>
    <w:p/>
    <w:p>
      <w:r>
        <w:t xml:space="preserve">各部门、各分公司：</w:t>
      </w:r>
    </w:p>
    <w:p>
      <w:r>
        <w:t xml:space="preserve">为保障员工身体健康，公司决定开展 2026 年度员工健康体检工作。现将有关事项通知如下：</w:t>
      </w:r>
    </w:p>
    <w:p>
      <w:pPr>
        <w:pStyle w:val="Heading3"/>
      </w:pPr>
      <w:r>
        <w:t xml:space="preserve">一、体检对象</w:t>
      </w:r>
    </w:p>
    <w:p>
      <w:r>
        <w:t xml:space="preserve">截至 2026 年 9 月 30 日已转正的全体员工。</w:t>
      </w:r>
    </w:p>
    <w:p>
      <w:pPr>
        <w:pStyle w:val="Heading3"/>
      </w:pPr>
      <w:r>
        <w:t xml:space="preserve">二、体检时间与地点</w:t>
      </w:r>
    </w:p>
    <w:p>
      <w:r>
        <w:t xml:space="preserve">2026 年 10 月 13 日至 10 月 24 日，工作日上午 8:00—11:00，请空腹前往。地点：市中心医院体检中心（人民路 88 号）。</w:t>
      </w:r>
    </w:p>
    <w:p>
      <w:pPr>
        <w:pStyle w:val="Heading3"/>
      </w:pPr>
      <w:r>
        <w:t xml:space="preserve">三、体检安排</w:t>
      </w:r>
    </w:p>
    <w:p>
      <w:pPr>
        <w:pStyle w:val="ListParagraph"/>
        <w:numPr>
          <w:ilvl w:val="0"/>
          <w:numId w:val="1"/>
        </w:numPr>
      </w:pPr>
      <w:r>
        <w:t xml:space="preserve">各部门按附件分批次参加体检，特殊情况可与行政部另行约定时间。</w:t>
      </w:r>
    </w:p>
    <w:p>
      <w:pPr>
        <w:pStyle w:val="ListParagraph"/>
        <w:numPr>
          <w:ilvl w:val="0"/>
          <w:numId w:val="1"/>
        </w:numPr>
      </w:pPr>
      <w:r>
        <w:t xml:space="preserve">体检当日凭工牌与身份证签到，体检项目见附件二。</w:t>
      </w:r>
    </w:p>
    <w:p>
      <w:pPr>
        <w:pStyle w:val="ListParagraph"/>
        <w:numPr>
          <w:ilvl w:val="0"/>
          <w:numId w:val="1"/>
        </w:numPr>
      </w:pPr>
      <w:r>
        <w:t xml:space="preserve">体检费用由公司统一承担，员工可自费加项。</w:t>
      </w:r>
    </w:p>
    <w:p>
      <w:pPr>
        <w:pStyle w:val="Heading3"/>
      </w:pPr>
      <w:r>
        <w:t xml:space="preserve">四、其他事项</w:t>
      </w:r>
    </w:p>
    <w:p>
      <w:r>
        <w:t xml:space="preserve">请各部门负责人做好组织工作，确保员工按时参加。未尽事宜，请联系行政部（分机 8021）。</w:t>
      </w:r>
    </w:p>
    <w:p>
      <w:r>
        <w:t xml:space="preserve">特此通知。</w:t>
      </w:r>
    </w:p>
    <w:p/>
    <w:p>
      <w:r>
        <w:t xml:space="preserve">附件：1. 各部门体检批次安排表　2. 体检项目清单</w:t>
      </w:r>
    </w:p>
    <w:p/>
    <w:p>
      <w:pPr>
        <w:jc w:val="right"/>
      </w:pPr>
      <w:r>
        <w:t xml:space="preserve">远山科技有限公司行政部</w:t>
      </w:r>
    </w:p>
    <w:p>
      <w:pPr>
        <w:jc w:val="right"/>
      </w:pPr>
      <w:r>
        <w:t xml:space="preserve">2026 年 9 月 25 日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hybridMultilevel"/>
    <w:name w:val="writer-number"/>
    <w:lvl w:ilvl="0">
      <w:start w:val="1"/>
      <w:numFmt w:val="decimal"/>
      <w:lvlText w:val="%1."/>
      <w:lvlJc w:val="left"/>
      <w:pPr>
        <w:ind w:start="720" w:hanging="360"/>
      </w:pPr>
    </w:lvl>
    <w:lvl w:ilvl="1">
      <w:start w:val="1"/>
      <w:numFmt w:val="lowerLetter"/>
      <w:lvlText w:val="%2."/>
      <w:lvlJc w:val="left"/>
      <w:pPr>
        <w:ind w:start="1440" w:hanging="360"/>
      </w:pPr>
    </w:lvl>
    <w:lvl w:ilvl="2">
      <w:start w:val="1"/>
      <w:numFmt w:val="lowerRoman"/>
      <w:lvlText w:val="%3."/>
      <w:lvlJc w:val="left"/>
      <w:pPr>
        <w:ind w:start="2160" w:hanging="360"/>
      </w:pPr>
    </w:lvl>
    <w:lvl w:ilvl="3">
      <w:start w:val="1"/>
      <w:numFmt w:val="decimal"/>
      <w:lvlText w:val="%4."/>
      <w:lvlJc w:val="left"/>
      <w:pPr>
        <w:ind w:start="2880" w:hanging="360"/>
      </w:pPr>
    </w:lvl>
    <w:lvl w:ilvl="4">
      <w:start w:val="1"/>
      <w:numFmt w:val="lowerLetter"/>
      <w:lvlText w:val="%5."/>
      <w:lvlJc w:val="left"/>
      <w:pPr>
        <w:ind w:start="3600" w:hanging="360"/>
      </w:pPr>
    </w:lvl>
    <w:lvl w:ilvl="5">
      <w:start w:val="1"/>
      <w:numFmt w:val="lowerRoman"/>
      <w:lvlText w:val="%6."/>
      <w:lvlJc w:val="left"/>
      <w:pPr>
        <w:ind w:start="4320" w:hanging="360"/>
      </w:pPr>
    </w:lvl>
    <w:lvl w:ilvl="6">
      <w:start w:val="1"/>
      <w:numFmt w:val="decimal"/>
      <w:lvlText w:val="%7."/>
      <w:lvlJc w:val="left"/>
      <w:pPr>
        <w:ind w:start="5040" w:hanging="360"/>
      </w:pPr>
    </w:lvl>
    <w:lvl w:ilvl="7">
      <w:start w:val="1"/>
      <w:numFmt w:val="lowerLetter"/>
      <w:lvlText w:val="%8."/>
      <w:lvlJc w:val="left"/>
      <w:pPr>
        <w:ind w:start="5760" w:hanging="360"/>
      </w:pPr>
    </w:lvl>
    <w:lvl w:ilvl="8">
      <w:start w:val="1"/>
      <w:numFmt w:val="lowerRoman"/>
      <w:lvlText w:val="%9."/>
      <w:lvlJc w:val="left"/>
      <w:pPr>
        <w:ind w:star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2"/>
        <w:szCs w:val="22"/>
        <w:lang w:val="en-US" w:eastAsia="zh-CN"/>
      </w:rPr>
    </w:rPrDefault>
    <w:pPrDefault>
      <w:pPr>
        <w:spacing w:after="16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b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2"/>
      <w:szCs w:val="22"/>
    </w:rPr>
  </w:style>
  <w:style w:type="paragraph" w:styleId="Code">
    <w:name w:val="Code"/>
    <w:basedOn w:val="Normal"/>
    <w:qFormat/>
    <w:pPr>
      <w:shd w:val="clear" w:color="auto" w:fill="F2F2F2"/>
      <w:spacing w:after="0" w:line="240" w:lineRule="auto"/>
    </w:pPr>
    <w:rPr>
      <w:rFonts w:ascii="Consolas" w:hAnsi="Consolas" w:cs="Consolas"/>
      <w:sz w:val="20"/>
      <w:szCs w:val="20"/>
    </w:rPr>
  </w:style>
  <w:style w:type="paragraph" w:styleId="Quote">
    <w:name w:val="Quote"/>
    <w:basedOn w:val="Normal"/>
    <w:qFormat/>
    <w:pPr>
      <w:ind w:left="720"/>
    </w:pPr>
    <w:rPr>
      <w:i/>
      <w:color w:val="595959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DefaultParagraphFont" w:default="1">
    <w:name w:val="Default Paragraph Font"/>
    <w:uiPriority w:val="1"/>
    <w:semiHidden/>
  </w:style>
  <w:style w:type="character" w:styleId="Hyperlink">
    <w:name w:val="Hyperlink"/>
    <w:rPr>
      <w:color w:val="0563C1"/>
      <w:u w:val="single"/>
    </w:rPr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pPr>
      <w:spacing w:after="0" w:line="240" w:lineRule="auto"/>
    </w:pPr>
    <w:tblPr>
      <w:tblStyleRowBandSize w:val="1"/>
      <w:tblStyleColBandSize w:val="1"/>
      <w:tblBorders>
        <w:top w:val="single" w:color="BFBFBF" w:sz="4" w:space="0"/>
        <w:bottom w:val="single" w:color="BFBFBF" w:sz="4" w:space="0"/>
        <w:insideH w:val="single" w:color="BFBFBF" w:sz="4" w:space="0"/>
      </w:tblBorders>
    </w:tblPr>
    <w:tblStylePr w:type="firstRow">
      <w:rPr>
        <w:b/>
        <w:bCs/>
      </w:rPr>
    </w:tblStylePr>
    <w:tblStylePr w:type="band1Horz">
      <w:tcPr>
        <w:shd w:val="clear" w:color="auto" w:fill="F2F2F2"/>
      </w:tcPr>
    </w:tblStylePr>
  </w:style>
  <w:style w:type="table" w:styleId="GridTable4Accent1">
    <w:name w:val="Grid Table 4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color="8EAADB" w:sz="4" w:space="0"/>
        <w:left w:val="single" w:color="8EAADB" w:sz="4" w:space="0"/>
        <w:bottom w:val="single" w:color="8EAADB" w:sz="4" w:space="0"/>
        <w:right w:val="single" w:color="8EAADB" w:sz="4" w:space="0"/>
        <w:insideH w:val="single" w:color="8EAADB" w:sz="4" w:space="0"/>
        <w:insideV w:val="single" w:color="8EAADB" w:sz="4" w:space="0"/>
      </w:tblBorders>
    </w:tblPr>
    <w:tblStylePr w:type="firstRow">
      <w:rPr>
        <w:b/>
        <w:bCs/>
        <w:color w:val="FFFFFF"/>
      </w:rPr>
      <w:tblPr/>
      <w:tcPr>
        <w:tc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nil"/>
          <w:insideV w:val="nil"/>
        </w:tcBorders>
        <w:shd w:val="clear" w:color="auto" w:fill="4472C4"/>
      </w:tcPr>
    </w:tblStylePr>
    <w:tblStylePr w:type="band1Horz">
      <w:tblPr/>
      <w:tcPr>
        <w:shd w:val="clear" w:color="auto" w:fill="D9E2F3"/>
      </w:tcPr>
    </w:tblStylePr>
  </w:style>
  <w:style w:type="table" w:styleId="ThreeLineTable">
    <w:name w:val="Three Line Table"/>
    <w:basedOn w:val="TableNormal"/>
    <w:uiPriority w:val="59"/>
    <w:pPr>
      <w:spacing w:after="0" w:line="240" w:lineRule="auto"/>
    </w:pPr>
    <w:tblPr>
      <w:tblBorders>
        <w:top w:val="single" w:color="auto" w:sz="12" w:space="0"/>
        <w:bottom w:val="single" w:color="auto" w:sz="12" w:space="0"/>
      </w:tblBorders>
    </w:tblPr>
    <w:tblStylePr w:type="firstRow">
      <w:tblPr/>
      <w:tcPr>
        <w:tcBorders>
          <w:bottom w:val="single" w:color="auto" w:sz="6" w:space="0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pPr>
      <w:outlineLvl w:val="9"/>
    </w:p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1099f392ecf42db" /><Relationship Type="http://schemas.openxmlformats.org/officeDocument/2006/relationships/settings" Target="/word/settings.xml" Id="Ra73cc5a59a354e03" /><Relationship Type="http://schemas.openxmlformats.org/officeDocument/2006/relationships/numbering" Target="/word/numbering.xml" Id="R65f14fbe00ca4a9f" /></Relationships>
</file>