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db43f35518414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color w:val="6D6478"/>
          <w:sz w:val="24"/>
          <w:szCs w:val="24"/>
        </w:rPr>
        <w:t xml:space="preserve">项目计划书</w:t>
      </w:r>
    </w:p>
    <w:p>
      <w:r>
        <w:rPr>
          <w:b/>
          <w:color w:val="4B3B63"/>
          <w:sz w:val="52"/>
          <w:szCs w:val="52"/>
        </w:rPr>
        <w:t xml:space="preserve">新版官网改版项目</w:t>
      </w:r>
    </w:p>
    <w:p>
      <w:pPr>
        <w:shd w:val="clear" w:color="auto" w:fill="4B3B63"/>
      </w:pPr>
      <w:r>
        <w:rPr>
          <w:color w:val="4B3B63"/>
          <w:sz w:val="3"/>
          <w:szCs w:val="3"/>
        </w:rPr>
        <w:t xml:space="preserve"> </w:t>
      </w:r>
    </w:p>
    <w:tbl>
      <w:tblPr>
        <w:tblStyle w:val="TableGrid"/>
        <w:tblW w:w="9070" w:type="dxa"/>
        <w:tblBorders>
          <w:top w:val="single" w:color="D7D0E1" w:sz="4" w:space="0"/>
          <w:left w:val="single" w:color="D7D0E1" w:sz="4" w:space="0"/>
          <w:bottom w:val="single" w:color="D7D0E1" w:sz="4" w:space="0"/>
          <w:right w:val="single" w:color="D7D0E1" w:sz="4" w:space="0"/>
          <w:insideH w:val="single" w:color="D7D0E1" w:sz="4" w:space="0"/>
          <w:insideV w:val="single" w:color="D7D0E1" w:sz="4" w:space="0"/>
        </w:tblBorders>
        <w:tblLayout w:type="fixed"/>
        <w:tblLook w:val="04A0"/>
      </w:tblPr>
      <w:tblGrid>
        <w:gridCol w:w="1474"/>
        <w:gridCol w:w="3061"/>
        <w:gridCol w:w="1474"/>
        <w:gridCol w:w="3061"/>
      </w:tblGrid>
      <w:tr>
        <w:tc>
          <w:tcPr>
            <w:tcW w:w="1474" w:type="dxa"/>
            <w:shd w:val="clear" w:color="auto" w:fill="F1EEF5"/>
          </w:tcPr>
          <w:p>
            <w:r>
              <w:rPr>
                <w:b/>
                <w:color w:val="4B3B63"/>
              </w:rPr>
              <w:t xml:space="preserve">编制部门</w:t>
            </w:r>
          </w:p>
        </w:tc>
        <w:tc>
          <w:tcPr>
            <w:tcW w:w="3061" w:type="dxa"/>
          </w:tcPr>
          <w:p>
            <w:r>
              <w:t xml:space="preserve">市场部</w:t>
            </w:r>
          </w:p>
        </w:tc>
        <w:tc>
          <w:tcPr>
            <w:tcW w:w="1474" w:type="dxa"/>
            <w:shd w:val="clear" w:color="auto" w:fill="F1EEF5"/>
          </w:tcPr>
          <w:p>
            <w:r>
              <w:rPr>
                <w:b/>
                <w:color w:val="4B3B63"/>
              </w:rPr>
              <w:t xml:space="preserve">项目经理</w:t>
            </w:r>
          </w:p>
        </w:tc>
        <w:tc>
          <w:tcPr>
            <w:tcW w:w="3061" w:type="dxa"/>
          </w:tcPr>
          <w:p>
            <w:r>
              <w:t xml:space="preserve">林晓</w:t>
            </w:r>
          </w:p>
        </w:tc>
      </w:tr>
      <w:tr>
        <w:tc>
          <w:tcPr>
            <w:tcW w:w="1474" w:type="dxa"/>
            <w:shd w:val="clear" w:color="auto" w:fill="F1EEF5"/>
          </w:tcPr>
          <w:p>
            <w:r>
              <w:rPr>
                <w:b/>
                <w:color w:val="4B3B63"/>
              </w:rPr>
              <w:t xml:space="preserve">编制日期</w:t>
            </w:r>
          </w:p>
        </w:tc>
        <w:tc>
          <w:tcPr>
            <w:tcW w:w="3061" w:type="dxa"/>
          </w:tcPr>
          <w:p>
            <w:r>
              <w:t xml:space="preserve">2026 年 9 月 25 日</w:t>
            </w:r>
          </w:p>
        </w:tc>
        <w:tc>
          <w:tcPr>
            <w:tcW w:w="1474" w:type="dxa"/>
            <w:shd w:val="clear" w:color="auto" w:fill="F1EEF5"/>
          </w:tcPr>
          <w:p>
            <w:r>
              <w:rPr>
                <w:b/>
                <w:color w:val="4B3B63"/>
              </w:rPr>
              <w:t xml:space="preserve">版本</w:t>
            </w:r>
          </w:p>
        </w:tc>
        <w:tc>
          <w:tcPr>
            <w:tcW w:w="3061" w:type="dxa"/>
          </w:tcPr>
          <w:p>
            <w:r>
              <w:t xml:space="preserve">v1.0</w:t>
            </w:r>
          </w:p>
        </w:tc>
      </w:tr>
    </w:tbl>
    <w:p>
      <w:pPr>
        <w:pStyle w:val="Heading1"/>
      </w:pPr>
      <w:r>
        <w:rPr>
          <w:color w:val="4B3B63"/>
        </w:rPr>
        <w:t xml:space="preserve">一、项目背景</w:t>
      </w:r>
    </w:p>
    <w:p>
      <w:r>
        <w:t xml:space="preserve">现有官网上线于 2021 年，信息架构以公司介绍为主，产品入口深、移动端体验差，近一年访问转化率持续下滑至 1.2%。随着新品牌视觉体系落地，官网需要同步改版，成为产品获客的主要入口。</w:t>
      </w:r>
    </w:p>
    <w:p>
      <w:pPr>
        <w:pStyle w:val="Heading1"/>
      </w:pPr>
      <w:r>
        <w:rPr>
          <w:color w:val="4B3B63"/>
        </w:rPr>
        <w:t xml:space="preserve">二、项目目标</w:t>
      </w:r>
    </w:p>
    <w:p>
      <w:pPr>
        <w:pStyle w:val="ListParagraph"/>
        <w:numPr>
          <w:ilvl w:val="0"/>
          <w:numId w:val="1"/>
        </w:numPr>
      </w:pPr>
      <w:r>
        <w:t xml:space="preserve">11 月 30 日前完成新版官网上线，覆盖桌面端与移动端。</w:t>
      </w:r>
    </w:p>
    <w:p>
      <w:pPr>
        <w:pStyle w:val="ListParagraph"/>
        <w:numPr>
          <w:ilvl w:val="0"/>
          <w:numId w:val="1"/>
        </w:numPr>
      </w:pPr>
      <w:r>
        <w:t xml:space="preserve">上线三个月内访问转化率从 1.2% 提升到 2.0%。</w:t>
      </w:r>
    </w:p>
    <w:p>
      <w:pPr>
        <w:pStyle w:val="ListParagraph"/>
        <w:numPr>
          <w:ilvl w:val="0"/>
          <w:numId w:val="1"/>
        </w:numPr>
      </w:pPr>
      <w:r>
        <w:t xml:space="preserve">移动端页面加载时间控制在 2 秒以内，可用性评分 4.5 以上。</w:t>
      </w:r>
    </w:p>
    <w:p>
      <w:pPr>
        <w:pStyle w:val="Heading1"/>
      </w:pPr>
      <w:r>
        <w:rPr>
          <w:color w:val="4B3B63"/>
        </w:rPr>
        <w:t xml:space="preserve">三、项目范围</w:t>
      </w:r>
    </w:p>
    <w:tbl>
      <w:tblPr>
        <w:tblStyle w:val="TableGrid"/>
        <w:tblW w:w="9070" w:type="dxa"/>
        <w:tblBorders>
          <w:top w:val="single" w:color="D7D0E1" w:sz="4" w:space="0"/>
          <w:left w:val="single" w:color="D7D0E1" w:sz="4" w:space="0"/>
          <w:bottom w:val="single" w:color="D7D0E1" w:sz="4" w:space="0"/>
          <w:right w:val="single" w:color="D7D0E1" w:sz="4" w:space="0"/>
          <w:insideH w:val="single" w:color="D7D0E1" w:sz="4" w:space="0"/>
          <w:insideV w:val="single" w:color="D7D0E1" w:sz="4" w:space="0"/>
        </w:tblBorders>
        <w:tblLayout w:type="fixed"/>
        <w:tblLook w:val="04A0"/>
      </w:tblPr>
      <w:tblGrid>
        <w:gridCol w:w="4535"/>
        <w:gridCol w:w="4535"/>
      </w:tblGrid>
      <w:tr>
        <w:tc>
          <w:tcPr>
            <w:tcW w:w="4535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范围内</w:t>
            </w:r>
          </w:p>
        </w:tc>
        <w:tc>
          <w:tcPr>
            <w:tcW w:w="4535" w:type="dxa"/>
            <w:shd w:val="clear" w:color="auto" w:fill="6D6478"/>
          </w:tcPr>
          <w:p>
            <w:r>
              <w:rPr>
                <w:b/>
                <w:color w:val="FFFFFF"/>
              </w:rPr>
              <w:t xml:space="preserve">范围外</w:t>
            </w:r>
          </w:p>
        </w:tc>
      </w:tr>
      <w:tr>
        <w:tc>
          <w:tcPr>
            <w:tcW w:w="4535" w:type="dxa"/>
          </w:tcPr>
          <w:p>
            <w:r>
              <w:t xml:space="preserve">· 信息架构与页面设计（约 24 个页面）</w:t>
            </w:r>
            <w:r>
              <w:br/>
            </w:r>
            <w:r>
              <w:t xml:space="preserve">· 内容迁移与新文案</w:t>
            </w:r>
            <w:r>
              <w:br/>
            </w:r>
            <w:r>
              <w:t xml:space="preserve">· 前端开发与内容管理系统接入</w:t>
            </w:r>
            <w:r>
              <w:br/>
            </w:r>
            <w:r>
              <w:t xml:space="preserve">· 数据埋点与转化漏斗</w:t>
            </w:r>
          </w:p>
        </w:tc>
        <w:tc>
          <w:tcPr>
            <w:tcW w:w="4535" w:type="dxa"/>
          </w:tcPr>
          <w:p>
            <w:r>
              <w:t xml:space="preserve">· 产品内文档站与帮助中心</w:t>
            </w:r>
            <w:r>
              <w:br/>
            </w:r>
            <w:r>
              <w:t xml:space="preserve">· 多语言版本（二期考虑）</w:t>
            </w:r>
            <w:r>
              <w:br/>
            </w:r>
            <w:r>
              <w:t xml:space="preserve">· 线上商城与支付</w:t>
            </w:r>
          </w:p>
        </w:tc>
      </w:tr>
    </w:tbl>
    <w:p>
      <w:pPr>
        <w:pStyle w:val="Heading1"/>
      </w:pPr>
      <w:r>
        <w:rPr>
          <w:color w:val="4B3B63"/>
        </w:rPr>
        <w:t xml:space="preserve">四、实施计划</w:t>
      </w:r>
    </w:p>
    <w:tbl>
      <w:tblPr>
        <w:tblStyle w:val="TableGrid"/>
        <w:tblW w:w="9070" w:type="dxa"/>
        <w:tblBorders>
          <w:top w:val="single" w:color="D7D0E1" w:sz="4" w:space="0"/>
          <w:left w:val="none" w:color="auto" w:sz="0" w:space="0"/>
          <w:bottom w:val="single" w:color="D7D0E1" w:sz="4" w:space="0"/>
          <w:right w:val="none" w:color="auto" w:sz="0" w:space="0"/>
          <w:insideH w:val="single" w:color="D7D0E1" w:sz="4" w:space="0"/>
          <w:insideV w:val="none" w:color="auto" w:sz="0" w:space="0"/>
        </w:tblBorders>
        <w:tblLayout w:type="fixed"/>
        <w:tblLook w:val="04A0"/>
      </w:tblPr>
      <w:tblGrid>
        <w:gridCol w:w="1587"/>
        <w:gridCol w:w="4082"/>
        <w:gridCol w:w="1814"/>
        <w:gridCol w:w="1587"/>
      </w:tblGrid>
      <w:tr>
        <w:tc>
          <w:tcPr>
            <w:tcW w:w="1587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tcW w:w="4082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主要工作</w:t>
            </w:r>
          </w:p>
        </w:tc>
        <w:tc>
          <w:tcPr>
            <w:tcW w:w="1814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起止时间</w:t>
            </w:r>
          </w:p>
        </w:tc>
        <w:tc>
          <w:tcPr>
            <w:tcW w:w="1587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负责人</w:t>
            </w:r>
          </w:p>
        </w:tc>
      </w:tr>
      <w:tr>
        <w:tc>
          <w:tcPr>
            <w:tcW w:w="1587" w:type="dxa"/>
          </w:tcPr>
          <w:p>
            <w:r>
              <w:t xml:space="preserve">需求与架构</w:t>
            </w:r>
          </w:p>
        </w:tc>
        <w:tc>
          <w:tcPr>
            <w:tcW w:w="4082" w:type="dxa"/>
          </w:tcPr>
          <w:p>
            <w:r>
              <w:t xml:space="preserve">用户访谈、竞品分析、信息架构定稿</w:t>
            </w:r>
          </w:p>
        </w:tc>
        <w:tc>
          <w:tcPr>
            <w:tcW w:w="1814" w:type="dxa"/>
          </w:tcPr>
          <w:p>
            <w:r>
              <w:t xml:space="preserve">09-28 – 10-10</w:t>
            </w:r>
          </w:p>
        </w:tc>
        <w:tc>
          <w:tcPr>
            <w:tcW w:w="1587" w:type="dxa"/>
          </w:tcPr>
          <w:p>
            <w:r>
              <w:t xml:space="preserve">林晓</w:t>
            </w:r>
          </w:p>
        </w:tc>
      </w:tr>
      <w:tr>
        <w:tc>
          <w:tcPr>
            <w:tcW w:w="1587" w:type="dxa"/>
          </w:tcPr>
          <w:p>
            <w:r>
              <w:t xml:space="preserve">设计</w:t>
            </w:r>
          </w:p>
        </w:tc>
        <w:tc>
          <w:tcPr>
            <w:tcW w:w="4082" w:type="dxa"/>
          </w:tcPr>
          <w:p>
            <w:r>
              <w:t xml:space="preserve">视觉方案、页面设计、设计评审</w:t>
            </w:r>
          </w:p>
        </w:tc>
        <w:tc>
          <w:tcPr>
            <w:tcW w:w="1814" w:type="dxa"/>
          </w:tcPr>
          <w:p>
            <w:r>
              <w:t xml:space="preserve">10-11 – 10-31</w:t>
            </w:r>
          </w:p>
        </w:tc>
        <w:tc>
          <w:tcPr>
            <w:tcW w:w="1587" w:type="dxa"/>
          </w:tcPr>
          <w:p>
            <w:r>
              <w:t xml:space="preserve">王芳</w:t>
            </w:r>
          </w:p>
        </w:tc>
      </w:tr>
      <w:tr>
        <w:tc>
          <w:tcPr>
            <w:tcW w:w="1587" w:type="dxa"/>
          </w:tcPr>
          <w:p>
            <w:r>
              <w:t xml:space="preserve">开发</w:t>
            </w:r>
          </w:p>
        </w:tc>
        <w:tc>
          <w:tcPr>
            <w:tcW w:w="4082" w:type="dxa"/>
          </w:tcPr>
          <w:p>
            <w:r>
              <w:t xml:space="preserve">前端开发、CMS 接入、内容迁移</w:t>
            </w:r>
          </w:p>
        </w:tc>
        <w:tc>
          <w:tcPr>
            <w:tcW w:w="1814" w:type="dxa"/>
          </w:tcPr>
          <w:p>
            <w:r>
              <w:t xml:space="preserve">10-20 – 11-15</w:t>
            </w:r>
          </w:p>
        </w:tc>
        <w:tc>
          <w:tcPr>
            <w:tcW w:w="1587" w:type="dxa"/>
          </w:tcPr>
          <w:p>
            <w:r>
              <w:t xml:space="preserve">刘洋</w:t>
            </w:r>
          </w:p>
        </w:tc>
      </w:tr>
      <w:tr>
        <w:tc>
          <w:tcPr>
            <w:tcW w:w="1587" w:type="dxa"/>
          </w:tcPr>
          <w:p>
            <w:r>
              <w:t xml:space="preserve">测试与上线</w:t>
            </w:r>
          </w:p>
        </w:tc>
        <w:tc>
          <w:tcPr>
            <w:tcW w:w="4082" w:type="dxa"/>
          </w:tcPr>
          <w:p>
            <w:r>
              <w:t xml:space="preserve">功能测试、性能优化、灰度发布</w:t>
            </w:r>
          </w:p>
        </w:tc>
        <w:tc>
          <w:tcPr>
            <w:tcW w:w="1814" w:type="dxa"/>
          </w:tcPr>
          <w:p>
            <w:r>
              <w:t xml:space="preserve">11-16 – 11-30</w:t>
            </w:r>
          </w:p>
        </w:tc>
        <w:tc>
          <w:tcPr>
            <w:tcW w:w="1587" w:type="dxa"/>
          </w:tcPr>
          <w:p>
            <w:r>
              <w:t xml:space="preserve">陈静</w:t>
            </w:r>
          </w:p>
        </w:tc>
      </w:tr>
    </w:tbl>
    <w:p>
      <w:pPr>
        <w:pStyle w:val="Heading1"/>
      </w:pPr>
      <w:r>
        <w:rPr>
          <w:color w:val="4B3B63"/>
        </w:rPr>
        <w:t xml:space="preserve">五、资源与预算</w:t>
      </w:r>
    </w:p>
    <w:tbl>
      <w:tblPr>
        <w:tblStyle w:val="TableGrid"/>
        <w:tblW w:w="9071" w:type="dxa"/>
        <w:tblBorders>
          <w:top w:val="single" w:color="D7D0E1" w:sz="4" w:space="0"/>
          <w:left w:val="none" w:color="auto" w:sz="0" w:space="0"/>
          <w:bottom w:val="single" w:color="D7D0E1" w:sz="4" w:space="0"/>
          <w:right w:val="none" w:color="auto" w:sz="0" w:space="0"/>
          <w:insideH w:val="single" w:color="D7D0E1" w:sz="4" w:space="0"/>
          <w:insideV w:val="none" w:color="auto" w:sz="0" w:space="0"/>
        </w:tblBorders>
        <w:tblLayout w:type="fixed"/>
        <w:tblLook w:val="04A0"/>
      </w:tblPr>
      <w:tblGrid>
        <w:gridCol w:w="2835"/>
        <w:gridCol w:w="2041"/>
        <w:gridCol w:w="4195"/>
      </w:tblGrid>
      <w:tr>
        <w:tc>
          <w:tcPr>
            <w:tcW w:w="2835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预算项</w:t>
            </w:r>
          </w:p>
        </w:tc>
        <w:tc>
          <w:tcPr>
            <w:tcW w:w="2041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金额（元）</w:t>
            </w:r>
          </w:p>
        </w:tc>
        <w:tc>
          <w:tcPr>
            <w:tcW w:w="4195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>
            <w:tcW w:w="2835" w:type="dxa"/>
          </w:tcPr>
          <w:p>
            <w:r>
              <w:t xml:space="preserve">设计外包</w:t>
            </w:r>
          </w:p>
        </w:tc>
        <w:tc>
          <w:tcPr>
            <w:tcW w:w="2041" w:type="dxa"/>
          </w:tcPr>
          <w:p>
            <w:r>
              <w:t xml:space="preserve">120,000</w:t>
            </w:r>
          </w:p>
        </w:tc>
        <w:tc>
          <w:tcPr>
            <w:tcW w:w="4195" w:type="dxa"/>
          </w:tcPr>
          <w:p>
            <w:r>
              <w:t xml:space="preserve">插画与动效</w:t>
            </w:r>
          </w:p>
        </w:tc>
      </w:tr>
      <w:tr>
        <w:tc>
          <w:tcPr>
            <w:tcW w:w="2835" w:type="dxa"/>
          </w:tcPr>
          <w:p>
            <w:r>
              <w:t xml:space="preserve">开发人力</w:t>
            </w:r>
          </w:p>
        </w:tc>
        <w:tc>
          <w:tcPr>
            <w:tcW w:w="2041" w:type="dxa"/>
          </w:tcPr>
          <w:p>
            <w:r>
              <w:t xml:space="preserve">150,000</w:t>
            </w:r>
          </w:p>
        </w:tc>
        <w:tc>
          <w:tcPr>
            <w:tcW w:w="4195" w:type="dxa"/>
          </w:tcPr>
          <w:p>
            <w:r>
              <w:t xml:space="preserve">3 人 × 2 个月</w:t>
            </w:r>
          </w:p>
        </w:tc>
      </w:tr>
      <w:tr>
        <w:tc>
          <w:tcPr>
            <w:tcW w:w="2835" w:type="dxa"/>
          </w:tcPr>
          <w:p>
            <w:r>
              <w:t xml:space="preserve">内容与摄影</w:t>
            </w:r>
          </w:p>
        </w:tc>
        <w:tc>
          <w:tcPr>
            <w:tcW w:w="2041" w:type="dxa"/>
          </w:tcPr>
          <w:p>
            <w:r>
              <w:t xml:space="preserve">40,000</w:t>
            </w:r>
          </w:p>
        </w:tc>
        <w:tc>
          <w:tcPr>
            <w:tcW w:w="4195" w:type="dxa"/>
          </w:tcPr>
          <w:p>
            <w:r>
              <w:t xml:space="preserve">产品图与案例采访</w:t>
            </w:r>
          </w:p>
        </w:tc>
      </w:tr>
      <w:tr>
        <w:tc>
          <w:tcPr>
            <w:tcW w:w="2835" w:type="dxa"/>
          </w:tcPr>
          <w:p>
            <w:r>
              <w:t xml:space="preserve">测试与工具</w:t>
            </w:r>
          </w:p>
        </w:tc>
        <w:tc>
          <w:tcPr>
            <w:tcW w:w="2041" w:type="dxa"/>
          </w:tcPr>
          <w:p>
            <w:r>
              <w:t xml:space="preserve">20,000</w:t>
            </w:r>
          </w:p>
        </w:tc>
        <w:tc>
          <w:tcPr>
            <w:tcW w:w="4195" w:type="dxa"/>
          </w:tcPr>
          <w:p>
            <w:r>
              <w:t xml:space="preserve">可用性测试与监测服务</w:t>
            </w:r>
          </w:p>
        </w:tc>
      </w:tr>
      <w:tr>
        <w:tc>
          <w:tcPr>
            <w:tcW w:w="2835" w:type="dxa"/>
            <w:shd w:val="clear" w:color="auto" w:fill="F1EEF5"/>
          </w:tcPr>
          <w:p>
            <w:r>
              <w:rPr>
                <w:b/>
              </w:rPr>
              <w:t xml:space="preserve">合计</w:t>
            </w:r>
          </w:p>
        </w:tc>
        <w:tc>
          <w:tcPr>
            <w:tcW w:w="2041" w:type="dxa"/>
            <w:shd w:val="clear" w:color="auto" w:fill="F1EEF5"/>
          </w:tcPr>
          <w:p>
            <w:r>
              <w:rPr>
                <w:b/>
              </w:rPr>
              <w:t xml:space="preserve">330,000</w:t>
            </w:r>
          </w:p>
        </w:tc>
        <w:tc>
          <w:tcPr>
            <w:tcW w:w="4195" w:type="dxa"/>
            <w:shd w:val="clear" w:color="auto" w:fill="F1EEF5"/>
          </w:tcPr>
          <w:p>
            <w:r/>
          </w:p>
        </w:tc>
      </w:tr>
    </w:tbl>
    <w:p>
      <w:pPr>
        <w:pStyle w:val="Heading1"/>
      </w:pPr>
      <w:r>
        <w:rPr>
          <w:color w:val="4B3B63"/>
        </w:rPr>
        <w:t xml:space="preserve">六、风险与应对</w:t>
      </w:r>
    </w:p>
    <w:tbl>
      <w:tblPr>
        <w:tblStyle w:val="TableGrid"/>
        <w:tblW w:w="9071" w:type="dxa"/>
        <w:tblBorders>
          <w:top w:val="single" w:color="D7D0E1" w:sz="4" w:space="0"/>
          <w:left w:val="none" w:color="auto" w:sz="0" w:space="0"/>
          <w:bottom w:val="single" w:color="D7D0E1" w:sz="4" w:space="0"/>
          <w:right w:val="none" w:color="auto" w:sz="0" w:space="0"/>
          <w:insideH w:val="single" w:color="D7D0E1" w:sz="4" w:space="0"/>
          <w:insideV w:val="none" w:color="auto" w:sz="0" w:space="0"/>
        </w:tblBorders>
        <w:tblLayout w:type="fixed"/>
        <w:tblLook w:val="04A0"/>
      </w:tblPr>
      <w:tblGrid>
        <w:gridCol w:w="2835"/>
        <w:gridCol w:w="1134"/>
        <w:gridCol w:w="5102"/>
      </w:tblGrid>
      <w:tr>
        <w:tc>
          <w:tcPr>
            <w:tcW w:w="2835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风险</w:t>
            </w:r>
          </w:p>
        </w:tc>
        <w:tc>
          <w:tcPr>
            <w:tcW w:w="1134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影响</w:t>
            </w:r>
          </w:p>
        </w:tc>
        <w:tc>
          <w:tcPr>
            <w:tcW w:w="5102" w:type="dxa"/>
            <w:shd w:val="clear" w:color="auto" w:fill="4B3B63"/>
          </w:tcPr>
          <w:p>
            <w:r>
              <w:rPr>
                <w:b/>
                <w:color w:val="FFFFFF"/>
              </w:rPr>
              <w:t xml:space="preserve">应对措施</w:t>
            </w:r>
          </w:p>
        </w:tc>
      </w:tr>
      <w:tr>
        <w:tc>
          <w:tcPr>
            <w:tcW w:w="2835" w:type="dxa"/>
          </w:tcPr>
          <w:p>
            <w:r>
              <w:t xml:space="preserve">内容迁移量大于预期</w:t>
            </w:r>
          </w:p>
        </w:tc>
        <w:tc>
          <w:tcPr>
            <w:tcW w:w="1134" w:type="dxa"/>
          </w:tcPr>
          <w:p>
            <w:r>
              <w:t xml:space="preserve">高</w:t>
            </w:r>
          </w:p>
        </w:tc>
        <w:tc>
          <w:tcPr>
            <w:tcW w:w="5102" w:type="dxa"/>
          </w:tcPr>
          <w:p>
            <w:r>
              <w:t xml:space="preserve">提前两周启动盘点，非核心页面二期迁移</w:t>
            </w:r>
          </w:p>
        </w:tc>
      </w:tr>
      <w:tr>
        <w:tc>
          <w:tcPr>
            <w:tcW w:w="2835" w:type="dxa"/>
          </w:tcPr>
          <w:p>
            <w:r>
              <w:t xml:space="preserve">设计评审反复</w:t>
            </w:r>
          </w:p>
        </w:tc>
        <w:tc>
          <w:tcPr>
            <w:tcW w:w="1134" w:type="dxa"/>
          </w:tcPr>
          <w:p>
            <w:r>
              <w:t xml:space="preserve">中</w:t>
            </w:r>
          </w:p>
        </w:tc>
        <w:tc>
          <w:tcPr>
            <w:tcW w:w="5102" w:type="dxa"/>
          </w:tcPr>
          <w:p>
            <w:r>
              <w:t xml:space="preserve">每阶段限定两轮评审，明确决策人</w:t>
            </w:r>
          </w:p>
        </w:tc>
      </w:tr>
      <w:tr>
        <w:tc>
          <w:tcPr>
            <w:tcW w:w="2835" w:type="dxa"/>
          </w:tcPr>
          <w:p>
            <w:r>
              <w:t xml:space="preserve">第三方接口不稳定</w:t>
            </w:r>
          </w:p>
        </w:tc>
        <w:tc>
          <w:tcPr>
            <w:tcW w:w="1134" w:type="dxa"/>
          </w:tcPr>
          <w:p>
            <w:r>
              <w:t xml:space="preserve">中</w:t>
            </w:r>
          </w:p>
        </w:tc>
        <w:tc>
          <w:tcPr>
            <w:tcW w:w="5102" w:type="dxa"/>
          </w:tcPr>
          <w:p>
            <w:r>
              <w:t xml:space="preserve">关键接口准备降级方案</w:t>
            </w:r>
          </w:p>
        </w:tc>
      </w:tr>
    </w:tbl>
    <w:p>
      <w:pPr>
        <w:pStyle w:val="Heading1"/>
      </w:pPr>
      <w:r>
        <w:rPr>
          <w:color w:val="4B3B63"/>
        </w:rPr>
        <w:t xml:space="preserve">七、验收标准</w:t>
      </w:r>
    </w:p>
    <w:p>
      <w:pPr>
        <w:pStyle w:val="ListParagraph"/>
        <w:numPr>
          <w:ilvl w:val="0"/>
          <w:numId w:val="1"/>
        </w:numPr>
      </w:pPr>
      <w:r>
        <w:t xml:space="preserve">全部页面通过功能测试，主流浏览器与手机机型显示正常。</w:t>
      </w:r>
    </w:p>
    <w:p>
      <w:pPr>
        <w:pStyle w:val="ListParagraph"/>
        <w:numPr>
          <w:ilvl w:val="0"/>
          <w:numId w:val="1"/>
        </w:numPr>
      </w:pPr>
      <w:r>
        <w:t xml:space="preserve">移动端性能评分 90 分以上。</w:t>
      </w:r>
    </w:p>
    <w:p>
      <w:pPr>
        <w:pStyle w:val="ListParagraph"/>
        <w:numPr>
          <w:ilvl w:val="0"/>
          <w:numId w:val="1"/>
        </w:numPr>
      </w:pPr>
      <w:r>
        <w:t xml:space="preserve">转化埋点数据完整，可在看板中查看。</w:t>
      </w:r>
    </w:p>
    <w:sectPr>
      <w:footerReference xmlns:r="http://schemas.openxmlformats.org/officeDocument/2006/relationships" w:type="default" r:id="R2837300668444654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第 </w:t>
    </w:r>
    <w:fldSimple w:instr=" PAGE ">
      <w:r>
        <w:t xml:space="preserve">1</w:t>
      </w:r>
    </w:fldSimple>
    <w:r>
      <w:t xml:space="preserve"> 页 / 共 </w:t>
    </w:r>
    <w:fldSimple w:instr=" NUMPAGES ">
      <w:r>
        <w:t xml:space="preserve">1</w:t>
      </w:r>
    </w:fldSimple>
    <w:r>
      <w:t xml:space="preserve"> 页</w:t>
    </w: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552e57f7de544ce" /><Relationship Type="http://schemas.openxmlformats.org/officeDocument/2006/relationships/settings" Target="/word/settings.xml" Id="Rea50051999f645d9" /><Relationship Type="http://schemas.openxmlformats.org/officeDocument/2006/relationships/footer" Target="/word/footer1.xml" Id="R2837300668444654" /><Relationship Type="http://schemas.openxmlformats.org/officeDocument/2006/relationships/numbering" Target="/word/numbering.xml" Id="R65886783704c4cf7" /></Relationships>
</file>