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customXml/item.xml" ContentType="application/xml"/>
  <Override PartName="/customXml/itemProps1.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officeDocument" Target="/word/document.xml" Id="Re7ce812493bc4da0" /></Relationships>
</file>

<file path=word/document.xml><?xml version="1.0" encoding="utf-8"?>
<w:document xmlns:r="http://schemas.openxmlformats.org/officeDocument/2006/relationships" xmlns:w="http://schemas.openxmlformats.org/wordprocessingml/2006/main">
  <w:body>
    <w:p>
      <w:r>
        <w:t xml:space="preserve">Alex Chen</w:t>
      </w:r>
    </w:p>
    <w:p>
      <w:r>
        <w:t xml:space="preserve">Professor Maria Rivera</w:t>
      </w:r>
    </w:p>
    <w:p>
      <w:r>
        <w:t xml:space="preserve">English 102</w:t>
      </w:r>
    </w:p>
    <w:p>
      <w:r>
        <w:t xml:space="preserve">14 October 2026</w:t>
      </w:r>
    </w:p>
    <w:p>
      <w:pPr>
        <w:jc w:val="center"/>
      </w:pPr>
      <w:r>
        <w:t xml:space="preserve">The Quiet Commons: Public Libraries and the Renewal of Civic Life</w:t>
      </w:r>
    </w:p>
    <w:p>
      <w:pPr>
        <w:ind w:hanging="" w:firstLine="720"/>
      </w:pPr>
      <w:r>
        <w:t xml:space="preserve">Every weekday afternoon the reading room of a branch library fills with people who have nowhere else to be together: students sharing a table, retirees with the newspapers, parents waiting out the rain. Such rooms are easy to overlook, yet they do something the rest of the city has largely stopped doing. This essay argues that the public library has become the last widely available third place in American life, and that its value lies less in its collection than in the ordinary contact it makes possible.</w:t>
      </w:r>
    </w:p>
    <w:p>
      <w:pPr>
        <w:ind w:hanging="" w:firstLine="720"/>
      </w:pPr>
      <w:r>
        <w:t xml:space="preserve">The loss of that contact is well documented. Membership in civic associations fell steadily through the second half of the twentieth century, and with it went the informal trust that such membership sustains </w:t>
      </w:r>
      <w:sdt>
        <w:sdtPr>
          <w:id w:val="340207157"/>
          <w:citation/>
        </w:sdtPr>
        <w:sdtContent>
          <w:r>
            <w:fldChar w:fldCharType="begin"/>
          </w:r>
          <w:r>
            <w:instrText xml:space="preserve"> CITATION Put95 \p 67 \l 1033 </w:instrText>
          </w:r>
          <w:r>
            <w:fldChar w:fldCharType="separate"/>
          </w:r>
          <w:r>
            <w:rPr>
              <w:noProof/>
            </w:rPr>
            <w:t xml:space="preserve">(Putnam 67)</w:t>
          </w:r>
          <w:r>
            <w:fldChar w:fldCharType="end"/>
          </w:r>
        </w:sdtContent>
      </w:sdt>
      <w:r>
        <w:t xml:space="preserve">.</w:t>
      </w:r>
    </w:p>
    <w:p>
      <w:pPr>
        <w:ind w:hanging="" w:firstLine="720"/>
      </w:pPr>
      <w:r>
        <w:t xml:space="preserve">Oldenburg gives the missing ingredient a name. A third place is neither home nor work but a neutral ground where conversation is the main activity and where the regulars set the tone </w:t>
      </w:r>
      <w:sdt>
        <w:sdtPr>
          <w:id w:val="920339941"/>
          <w:citation/>
        </w:sdtPr>
        <w:sdtContent>
          <w:r>
            <w:fldChar w:fldCharType="begin"/>
          </w:r>
          <w:r>
            <w:instrText xml:space="preserve"> CITATION Old99 \p 16 \n \l 1033 </w:instrText>
          </w:r>
          <w:r>
            <w:fldChar w:fldCharType="separate"/>
          </w:r>
          <w:r>
            <w:rPr>
              <w:noProof/>
            </w:rPr>
            <w:t xml:space="preserve">(16)</w:t>
          </w:r>
          <w:r>
            <w:fldChar w:fldCharType="end"/>
          </w:r>
        </w:sdtContent>
      </w:sdt>
      <w:r>
        <w:t xml:space="preserve">.</w:t>
      </w:r>
    </w:p>
    <w:p>
      <w:pPr>
        <w:ind w:hanging="" w:firstLine="720"/>
      </w:pPr>
      <w:r>
        <w:t xml:space="preserve">Jane Jacobs observed decades earlier that the life of a street depends on "eyes upon the street" and on the small, unplanned exchanges of the people who share it </w:t>
      </w:r>
      <w:sdt>
        <w:sdtPr>
          <w:id w:val="1729666281"/>
          <w:citation/>
        </w:sdtPr>
        <w:sdtContent>
          <w:r>
            <w:fldChar w:fldCharType="begin"/>
          </w:r>
          <w:r>
            <w:instrText xml:space="preserve"> CITATION Jac61 \p 35 \n \l 1033 </w:instrText>
          </w:r>
          <w:r>
            <w:fldChar w:fldCharType="separate"/>
          </w:r>
          <w:r>
            <w:rPr>
              <w:noProof/>
            </w:rPr>
            <w:t xml:space="preserve">(35)</w:t>
          </w:r>
          <w:r>
            <w:fldChar w:fldCharType="end"/>
          </w:r>
        </w:sdtContent>
      </w:sdt>
      <w:r>
        <w:t xml:space="preserve">.</w:t>
      </w:r>
    </w:p>
    <w:p>
      <w:pPr>
        <w:ind w:hanging="" w:firstLine="720"/>
      </w:pPr>
      <w:r>
        <w:t xml:space="preserve">A library extends that sidewalk logic indoors. Nobody has to buy anything to stay, the rules are few and the same for everyone, and the person at the next table is as likely to be a stranger as a neighbour. Recent reporting makes the same point in the language of engineering: branches serve as social infrastructure in the way that bridges and power lines serve as physical infrastructure </w:t>
      </w:r>
      <w:sdt>
        <w:sdtPr>
          <w:id w:val="2119612816"/>
          <w:citation/>
        </w:sdtPr>
        <w:sdtContent>
          <w:r>
            <w:fldChar w:fldCharType="begin"/>
          </w:r>
          <w:r>
            <w:instrText xml:space="preserve"> CITATION Kli18 \l 1033 </w:instrText>
          </w:r>
          <w:r>
            <w:fldChar w:fldCharType="separate"/>
          </w:r>
          <w:r>
            <w:rPr>
              <w:noProof/>
            </w:rPr>
            <w:t xml:space="preserve">(Klinenberg)</w:t>
          </w:r>
          <w:r>
            <w:fldChar w:fldCharType="end"/>
          </w:r>
        </w:sdtContent>
      </w:sdt>
      <w:r>
        <w:t xml:space="preserve">.</w:t>
      </w:r>
    </w:p>
    <w:p>
      <w:pPr>
        <w:ind w:hanging="" w:firstLine="720"/>
      </w:pPr>
      <w:r>
        <w:t xml:space="preserve">None of this means that books no longer matter; the collection is the reason the room exists. But what the reading room offers, more than any single service, is a place to be among strangers without owing anyone anything, and that is what a civic life is made of.</w:t>
      </w:r>
    </w:p>
    <w:sdt>
      <w:sdtPr>
        <w:id w:val="604282452"/>
        <w:docPartObj>
          <w:docPartGallery w:val="Bibliographies"/>
          <w:docPartUnique/>
        </w:docPartObj>
      </w:sdtPr>
      <w:sdtContent>
        <w:p>
          <w:pPr>
            <w:keepNext/>
            <w:pageBreakBefore/>
            <w:spacing w:before="0" w:after="0" w:line="480" w:lineRule="auto"/>
            <w:jc w:val="center"/>
            <w:outlineLvl w:val="0"/>
          </w:pPr>
          <w:r>
            <w:t xml:space="preserve">Works Cited</w:t>
          </w:r>
        </w:p>
        <w:sdt>
          <w:sdtPr>
            <w:id w:val="1715668392"/>
            <w:bibliography/>
          </w:sdtPr>
          <w:sdtContent>
            <w:p>
              <w:pPr>
                <w:pStyle w:val="Bibliography"/>
                <w:spacing w:before="0" w:after="0" w:line="480" w:lineRule="auto"/>
                <w:ind w:left="720" w:hanging="720"/>
              </w:pPr>
              <w:r>
                <w:fldChar w:fldCharType="begin"/>
              </w:r>
              <w:r>
                <w:instrText xml:space="preserve"> BIBLIOGRAPHY </w:instrText>
              </w:r>
              <w:r>
                <w:fldChar w:fldCharType="separate"/>
              </w:r>
              <w:r>
                <w:rPr>
                  <w:noProof/>
                </w:rPr>
                <w:t xml:space="preserve">Jacobs, Jane. </w:t>
              </w:r>
              <w:r>
                <w:rPr>
                  <w:i/>
                  <w:noProof/>
                </w:rPr>
                <w:t xml:space="preserve">The Death and Life of Great American Cities</w:t>
              </w:r>
              <w:r>
                <w:rPr>
                  <w:noProof/>
                </w:rPr>
                <w:t xml:space="preserve">. Random House, 1961.</w:t>
              </w:r>
            </w:p>
            <w:p>
              <w:pPr>
                <w:pStyle w:val="Bibliography"/>
                <w:spacing w:before="0" w:after="0" w:line="480" w:lineRule="auto"/>
                <w:ind w:left="720" w:hanging="720"/>
              </w:pPr>
              <w:r>
                <w:rPr>
                  <w:noProof/>
                </w:rPr>
                <w:t xml:space="preserve">Klinenberg, Eric. “To Restore Civil Society, Start with the Library.” </w:t>
              </w:r>
              <w:r>
                <w:rPr>
                  <w:i/>
                  <w:noProof/>
                </w:rPr>
                <w:t xml:space="preserve">The New York Times</w:t>
              </w:r>
              <w:r>
                <w:rPr>
                  <w:noProof/>
                </w:rPr>
                <w:t xml:space="preserve">, 8 Sept. 2018, www.nytimes.com/2018/09/08/opinion/sunday/civil-society-library.html.</w:t>
              </w:r>
            </w:p>
            <w:p>
              <w:pPr>
                <w:pStyle w:val="Bibliography"/>
                <w:spacing w:before="0" w:after="0" w:line="480" w:lineRule="auto"/>
                <w:ind w:left="720" w:hanging="720"/>
              </w:pPr>
              <w:r>
                <w:rPr>
                  <w:noProof/>
                </w:rPr>
                <w:t xml:space="preserve">Oldenburg, Ray. </w:t>
              </w:r>
              <w:r>
                <w:rPr>
                  <w:i/>
                  <w:noProof/>
                </w:rPr>
                <w:t xml:space="preserve">The Great Good Place: Cafés, Coffee Shops, Bookstores, Bars, Hair Salons, and Other Hangouts at the Heart of a Community</w:t>
              </w:r>
              <w:r>
                <w:rPr>
                  <w:noProof/>
                </w:rPr>
                <w:t xml:space="preserve">. Marlowe, 1999.</w:t>
              </w:r>
            </w:p>
            <w:p>
              <w:pPr>
                <w:pStyle w:val="Bibliography"/>
                <w:spacing w:before="0" w:after="0" w:line="480" w:lineRule="auto"/>
                <w:ind w:left="720" w:hanging="720"/>
              </w:pPr>
              <w:r>
                <w:rPr>
                  <w:noProof/>
                </w:rPr>
                <w:t xml:space="preserve">Putnam, Robert D. “Bowling Alone: America's Declining Social Capital.” </w:t>
              </w:r>
              <w:r>
                <w:rPr>
                  <w:i/>
                  <w:noProof/>
                </w:rPr>
                <w:t xml:space="preserve">Journal of Democracy</w:t>
              </w:r>
              <w:r>
                <w:rPr>
                  <w:noProof/>
                </w:rPr>
                <w:t xml:space="preserve">, vol. 6, no. 1, 1995, pp. 65–78, https://doi.org/10.1353/jod.1995.0002.</w:t>
              </w:r>
              <w:r>
                <w:fldChar w:fldCharType="end"/>
              </w:r>
            </w:p>
          </w:sdtContent>
        </w:sdt>
      </w:sdtContent>
    </w:sdt>
    <w:sectPr>
      <w:headerReference xmlns:r="http://schemas.openxmlformats.org/officeDocument/2006/relationships" w:type="default" r:id="R239bfb3c79fd46df"/>
      <w:pgSz w:w="12240" w:h="15840"/>
      <w:pgMar w:top="1440" w:right="1440" w:bottom="1440" w:left="1440" w:header="720" w:footer="720" w:gutter="0"/>
    </w:sectPr>
  </w:body>
</w:document>
</file>

<file path=word/header1.xml><?xml version="1.0" encoding="utf-8"?>
<w:hdr xmlns:w="http://schemas.openxmlformats.org/wordprocessingml/2006/main">
  <w:p>
    <w:pPr>
      <w:jc w:val="right"/>
    </w:pPr>
    <w:r>
      <w:t xml:space="preserve">Chen </w:t>
    </w:r>
    <w:fldSimple w:instr=" PAGE ">
      <w:r>
        <w:t xml:space="preserve">1</w:t>
      </w:r>
    </w:fldSimple>
  </w:p>
</w:hdr>
</file>

<file path=word/settings.xml><?xml version="1.0" encoding="utf-8"?>
<w:settings xmlns:w="http://schemas.openxmlformats.org/wordprocessingml/2006/main">
  <w:compat>
    <w:compatSetting w:name="compatibilityMode" w:uri="http://schemas.microsoft.com/office/word" w:val="15"/>
  </w:compat>
  <w:docVars>
    <w:docVar w:name="WriterCitationStyle" w:val="mla"/>
  </w:docVars>
</w:settings>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76" w:lineRule="auto"/>
      </w:pPr>
    </w:pPrDefault>
  </w:docDefaults>
  <w:style w:type="paragraph" w:styleId="Normal" w:default="1">
    <w:name w:val="Normal"/>
    <w:qFormat/>
    <w:pPr>
      <w:spacing w:before="0" w:after="0" w:line="480" w:lineRule="auto"/>
    </w:pPr>
    <w:rPr>
      <w:rFonts w:ascii="Times New Roman" w:hAnsi="Times New Roman" w:eastAsia="Times New Roman" w:cs="Times New Roman"/>
      <w:sz w:val="24"/>
      <w:szCs w:val="24"/>
    </w:rPr>
  </w:style>
  <w:style w:type="paragraph" w:styleId="Title">
    <w:name w:val="Title"/>
    <w:basedOn w:val="Normal"/>
    <w:next w:val="Normal"/>
    <w:qFormat/>
    <w:pPr>
      <w:spacing w:after="240"/>
    </w:pPr>
    <w:rPr>
      <w:b/>
      <w:sz w:val="56"/>
      <w:szCs w:val="56"/>
    </w:rPr>
  </w:style>
  <w:style w:type="paragraph" w:styleId="Heading1">
    <w:name w:val="heading 1"/>
    <w:basedOn w:val="Normal"/>
    <w:next w:val="Normal"/>
    <w:qFormat/>
    <w:pPr>
      <w:keepNext/>
      <w:spacing w:before="36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240" w:after="120"/>
      <w:outlineLvl w:val="2"/>
    </w:pPr>
    <w:rPr>
      <w:b/>
      <w:sz w:val="26"/>
      <w:szCs w:val="26"/>
    </w:rPr>
  </w:style>
  <w:style w:type="paragraph" w:styleId="Heading4">
    <w:name w:val="heading 4"/>
    <w:basedOn w:val="Normal"/>
    <w:next w:val="Normal"/>
    <w:qFormat/>
    <w:pPr>
      <w:keepNext/>
      <w:spacing w:before="240" w:after="120"/>
      <w:outlineLvl w:val="3"/>
    </w:pPr>
    <w:rPr>
      <w:b/>
      <w:sz w:val="24"/>
      <w:szCs w:val="24"/>
    </w:rPr>
  </w:style>
  <w:style w:type="paragraph" w:styleId="Heading5">
    <w:name w:val="heading 5"/>
    <w:basedOn w:val="Normal"/>
    <w:next w:val="Normal"/>
    <w:qFormat/>
    <w:pPr>
      <w:keepNext/>
      <w:spacing w:before="240" w:after="120"/>
      <w:outlineLvl w:val="4"/>
    </w:pPr>
    <w:rPr>
      <w:b/>
      <w:sz w:val="22"/>
      <w:szCs w:val="22"/>
    </w:rPr>
  </w:style>
  <w:style w:type="paragraph" w:styleId="Heading6">
    <w:name w:val="heading 6"/>
    <w:basedOn w:val="Normal"/>
    <w:next w:val="Normal"/>
    <w:qFormat/>
    <w:pPr>
      <w:keepNext/>
      <w:spacing w:before="240" w:after="120"/>
      <w:outlineLvl w:val="5"/>
    </w:pPr>
    <w:rPr>
      <w:b/>
      <w:sz w:val="22"/>
      <w:szCs w:val="22"/>
    </w:rPr>
  </w:style>
  <w:style w:type="paragraph" w:styleId="Code">
    <w:name w:val="Code"/>
    <w:basedOn w:val="Normal"/>
    <w:qFormat/>
    <w:pPr>
      <w:shd w:val="clear" w:color="auto" w:fill="F2F2F2"/>
      <w:spacing w:after="0" w:line="240" w:lineRule="auto"/>
    </w:pPr>
    <w:rPr>
      <w:rFonts w:ascii="Consolas" w:hAnsi="Consolas" w:cs="Consolas"/>
      <w:sz w:val="20"/>
      <w:szCs w:val="20"/>
    </w:rPr>
  </w:style>
  <w:style w:type="paragraph" w:styleId="Quote">
    <w:name w:val="Quote"/>
    <w:basedOn w:val="Normal"/>
    <w:qFormat/>
    <w:pPr>
      <w:ind w:left="720"/>
    </w:pPr>
    <w:rPr>
      <w:i/>
      <w:color w:val="595959"/>
    </w:rPr>
  </w:style>
  <w:style w:type="paragraph" w:styleId="ListParagraph">
    <w:name w:val="List Paragraph"/>
    <w:basedOn w:val="Normal"/>
    <w:qFormat/>
    <w:pPr>
      <w:ind w:left="720"/>
      <w:contextualSpacing/>
    </w:pPr>
  </w:style>
  <w:style w:type="paragraph" w:styleId="Subtitle">
    <w:name w:val="Subtitle"/>
    <w:basedOn w:val="Normal"/>
    <w:next w:val="Normal"/>
    <w:qFormat/>
    <w:pPr>
      <w:spacing w:after="160"/>
    </w:pPr>
    <w:rPr>
      <w:color w:val="5A5A5A"/>
      <w:spacing w:val="15"/>
      <w:sz w:val="28"/>
      <w:szCs w:val="28"/>
    </w:rPr>
  </w:style>
  <w:style w:type="paragraph" w:styleId="NoSpacing">
    <w:name w:val="No Spacing"/>
    <w:qFormat/>
    <w:pPr>
      <w:spacing w:after="0" w:line="240" w:lineRule="auto"/>
    </w:pPr>
  </w:style>
  <w:style w:type="paragraph" w:styleId="Caption">
    <w:name w:val="caption"/>
    <w:basedOn w:val="Normal"/>
    <w:next w:val="Normal"/>
    <w:qFormat/>
    <w:pPr>
      <w:spacing w:after="200" w:line="240" w:lineRule="auto"/>
    </w:pPr>
    <w:rPr>
      <w:i/>
      <w:iCs/>
      <w:color w:val="44546A"/>
      <w:sz w:val="18"/>
      <w:szCs w:val="18"/>
    </w:rPr>
  </w:style>
  <w:style w:type="paragraph" w:styleId="Bibliography">
    <w:name w:val="Bibliography"/>
    <w:basedOn w:val="Normal"/>
    <w:next w:val="Normal"/>
    <w:uiPriority w:val="37"/>
    <w:semiHidden/>
    <w:unhideWhenUsed/>
  </w:style>
  <w:style w:type="paragraph" w:styleId="FootnoteText">
    <w:name w:val="footnote text"/>
    <w:basedOn w:val="Normal"/>
    <w:semiHidden/>
    <w:unhideWhenUsed/>
    <w:pPr>
      <w:spacing w:after="0" w:line="240" w:lineRule="auto"/>
    </w:pPr>
    <w:rPr>
      <w:sz w:val="20"/>
      <w:szCs w:val="20"/>
    </w:rPr>
  </w:style>
  <w:style w:type="character" w:styleId="FootnoteReference">
    <w:name w:val="foot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szCs w:val="20"/>
    </w:rPr>
  </w:style>
  <w:style w:type="character" w:styleId="EndnoteReference">
    <w:name w:val="endnote reference"/>
    <w:basedOn w:val="DefaultParagraphFont"/>
    <w:semiHidden/>
    <w:unhideWhenUsed/>
    <w:rPr>
      <w:vertAlign w:val="superscript"/>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IntenseEmphasis">
    <w:name w:val="Intense Emphasis"/>
    <w:basedOn w:val="DefaultParagraphFont"/>
    <w:qFormat/>
    <w:rPr>
      <w:i/>
      <w:iCs/>
      <w:color w:val="4472C4"/>
    </w:rPr>
  </w:style>
  <w:style w:type="character" w:styleId="SubtleEmphasis">
    <w:name w:val="Subtle Emphasis"/>
    <w:basedOn w:val="DefaultParagraphFont"/>
    <w:qFormat/>
    <w:rPr>
      <w:i/>
      <w:iCs/>
      <w:color w:val="404040"/>
    </w:rPr>
  </w:style>
  <w:style w:type="character" w:styleId="DefaultParagraphFont" w:default="1">
    <w:name w:val="Default Paragraph Font"/>
    <w:uiPriority w:val="1"/>
    <w:semiHidden/>
  </w:style>
  <w:style w:type="character" w:styleId="Hyperlink">
    <w:name w:val="Hyperlink"/>
    <w:rPr>
      <w:color w:val="0563C1"/>
      <w:u w:val="single"/>
    </w:rPr>
  </w:style>
  <w:style w:type="table" w:styleId="TableNormal" w:default="1">
    <w:name w:val="Normal Table"/>
    <w:semiHidden/>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pPr>
      <w:spacing w:after="0" w:line="240" w:lineRule="auto"/>
    </w:pPr>
    <w:tblPr>
      <w:tblStyleRowBandSize w:val="1"/>
      <w:tblStyleColBandSize w:val="1"/>
      <w:tblBorders>
        <w:top w:val="single" w:color="BFBFBF" w:sz="4" w:space="0"/>
        <w:bottom w:val="single" w:color="BFBFBF" w:sz="4" w:space="0"/>
        <w:insideH w:val="single" w:color="BFBFBF" w:sz="4" w:space="0"/>
      </w:tblBorders>
    </w:tblPr>
    <w:tblStylePr w:type="firstRow">
      <w:rPr>
        <w:b/>
        <w:bCs/>
      </w:rPr>
    </w:tblStylePr>
    <w:tblStylePr w:type="band1Horz">
      <w:tcPr>
        <w:shd w:val="clear" w:color="auto" w:fill="F2F2F2"/>
      </w:tcPr>
    </w:tblStylePr>
  </w:style>
  <w:style w:type="table" w:styleId="GridTable4Accent1">
    <w:name w:val="Grid Table 4 Accent 1"/>
    <w:basedOn w:val="TableNormal"/>
    <w:pPr>
      <w:spacing w:after="0" w:line="240" w:lineRule="auto"/>
    </w:p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band1Horz">
      <w:tblPr/>
      <w:tcPr>
        <w:shd w:val="clear" w:color="auto" w:fill="D9E2F3"/>
      </w:tcPr>
    </w:tblStylePr>
  </w:style>
  <w:style w:type="table" w:styleId="GridTable4Accent2">
    <w:name w:val="Grid Table 4 Accent 2"/>
    <w:basedOn w:val="TableNormal"/>
    <w:pPr>
      <w:spacing w:after="0" w:line="240" w:lineRule="auto"/>
    </w:pPr>
    <w:tblPr>
      <w:tblStyleRowBandSize w:val="1"/>
      <w:tblStyleColBandSize w:val="1"/>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Pr>
    <w:tblStylePr w:type="firstRow">
      <w:rPr>
        <w:b/>
        <w:bCs/>
        <w:color w:val="FFFFFF"/>
      </w:rPr>
      <w:tblPr/>
      <w:tcPr>
        <w:tcBorders>
          <w:top w:val="single" w:color="ED7D31" w:sz="4" w:space="0"/>
          <w:left w:val="single" w:color="ED7D31" w:sz="4" w:space="0"/>
          <w:bottom w:val="single" w:color="ED7D31" w:sz="4" w:space="0"/>
          <w:right w:val="single" w:color="ED7D31" w:sz="4" w:space="0"/>
          <w:insideH w:val="nil"/>
          <w:insideV w:val="nil"/>
        </w:tcBorders>
        <w:shd w:val="clear" w:color="auto" w:fill="ED7D31"/>
      </w:tcPr>
    </w:tblStylePr>
    <w:tblStylePr w:type="band1Horz">
      <w:tblPr/>
      <w:tcPr>
        <w:shd w:val="clear" w:color="auto" w:fill="FBE4D5"/>
      </w:tcPr>
    </w:tblStylePr>
  </w:style>
  <w:style w:type="table" w:styleId="ThreeLineTable">
    <w:name w:val="Three Line Table"/>
    <w:basedOn w:val="TableNormal"/>
    <w:uiPriority w:val="59"/>
    <w:pPr>
      <w:spacing w:after="0" w:line="240" w:lineRule="auto"/>
    </w:pPr>
    <w:tblPr>
      <w:tblBorders>
        <w:top w:val="single" w:color="auto" w:sz="12" w:space="0"/>
        <w:bottom w:val="single" w:color="auto" w:sz="12" w:space="0"/>
      </w:tblBorders>
    </w:tblPr>
    <w:tblStylePr w:type="firstRow">
      <w:tblPr/>
      <w:tcPr>
        <w:tcBorders>
          <w:bottom w:val="single" w:color="auto" w:sz="6" w:space="0"/>
        </w:tcBorders>
      </w:tcPr>
    </w:tblStylePr>
  </w:style>
  <w:style w:type="paragraph" w:styleId="TOCHeading">
    <w:name w:val="TOC Heading"/>
    <w:basedOn w:val="Heading1"/>
    <w:next w:val="Normal"/>
    <w:uiPriority w:val="39"/>
    <w:unhideWhenUsed/>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s>
</file>

<file path=word/_rels/document.xml.rels>&#65279;<?xml version="1.0" encoding="utf-8"?><Relationships xmlns="http://schemas.openxmlformats.org/package/2006/relationships"><Relationship Type="http://schemas.openxmlformats.org/officeDocument/2006/relationships/styles" Target="/word/styles.xml" Id="R79a9f89409c245b9" /><Relationship Type="http://schemas.openxmlformats.org/officeDocument/2006/relationships/settings" Target="/word/settings.xml" Id="R2df5da5c95dd469e" /><Relationship Type="http://schemas.openxmlformats.org/officeDocument/2006/relationships/header" Target="/word/header1.xml" Id="R239bfb3c79fd46df" /><Relationship Type="http://schemas.openxmlformats.org/officeDocument/2006/relationships/customXml" Target="/customXml/item.xml" Id="Reb5ad73b842848e8" /></Relationships>
</file>

<file path=customXml/_rels/item.xml.rels>&#65279;<?xml version="1.0" encoding="utf-8"?><Relationships xmlns="http://schemas.openxmlformats.org/package/2006/relationships"><Relationship Type="http://schemas.openxmlformats.org/officeDocument/2006/relationships/customXmlProps" Target="/customXml/itemProps1.xml" Id="R2b0a0a5c143b4b7f" /></Relationships>
</file>

<file path=customXml/item.xml><?xml version="1.0" encoding="utf-8"?>
<Sources xmlns:b="http://schemas.openxmlformats.org/officeDocument/2006/bibliography" xmlns="http://schemas.openxmlformats.org/officeDocument/2006/bibliography" SelectedStyle="\MLASeventhEditionOfficeOnline.xsl" StyleName="MLA" Version="7">
  <Source>
    <Tag>Put95</Tag>
    <Guid>{30A493D1-D551-40D3-B60D-E6BC1B96EB81}</Guid>
    <SourceType>JournalArticle</SourceType>
    <JournalName>Journal of Democracy</JournalName>
    <Author>
      <Author>
        <NameList>
          <Person>
            <Last>Putnam</Last>
            <First>Robert</First>
            <Middle>D.</Middle>
          </Person>
        </NameList>
      </Author>
    </Author>
    <Title>Bowling Alone: America's Declining Social Capital</Title>
    <Year>1995</Year>
    <Volume>6</Volume>
    <Issue>1</Issue>
    <Pages>65-78</Pages>
    <DOI>10.1353/jod.1995.0002</DOI>
  </Source>
  <Source>
    <Tag>Old99</Tag>
    <Guid>{B0056AF3-8296-4FBF-9448-E5BF2E2DA0E0}</Guid>
    <SourceType>Book</SourceType>
    <Author>
      <Author>
        <NameList>
          <Person>
            <Last>Oldenburg</Last>
            <First>Ray</First>
          </Person>
        </NameList>
      </Author>
    </Author>
    <Title>The Great Good Place: Cafés, Coffee Shops, Bookstores, Bars, Hair Salons, and Other Hangouts at the Heart of a Community</Title>
    <Publisher>Marlowe</Publisher>
    <City>New York</City>
    <Year>1999</Year>
  </Source>
  <Source>
    <Tag>Jac61</Tag>
    <Guid>{231304F0-A8E7-4ED3-B84A-96D68DB69152}</Guid>
    <SourceType>Book</SourceType>
    <Author>
      <Author>
        <NameList>
          <Person>
            <Last>Jacobs</Last>
            <First>Jane</First>
          </Person>
        </NameList>
      </Author>
    </Author>
    <Title>The Death and Life of Great American Cities</Title>
    <Publisher>Random House</Publisher>
    <City>New York</City>
    <Year>1961</Year>
  </Source>
  <Source>
    <Tag>Kli18</Tag>
    <Guid>{E305FEFD-0B94-4D10-BFA5-C931B6BACFD7}</Guid>
    <SourceType>ArticleInAPeriodical</SourceType>
    <PeriodicalTitle>The New York Times</PeriodicalTitle>
    <Author>
      <Author>
        <NameList>
          <Person>
            <Last>Klinenberg</Last>
            <First>Eric</First>
          </Person>
        </NameList>
      </Author>
    </Author>
    <Title>To Restore Civil Society, Start with the Library</Title>
    <Year>2018</Year>
    <Month>September</Month>
    <Day>8</Day>
    <URL>https://www.nytimes.com/2018/09/08/opinion/sunday/civil-society-library.html</URL>
    <YearAccessed>2026</YearAccessed>
    <MonthAccessed>October</MonthAccessed>
    <DayAccessed>1</DayAccessed>
  </Source>
</Sources>
</file>

<file path=customXml/itemProps1.xml><?xml version="1.0" encoding="utf-8"?>
<ds:datastoreItem xmlns:ds="http://schemas.openxmlformats.org/officeDocument/2006/customXml" ds:itemID="{BE8B73AD-A211-488E-9DDB-B0661D56F93A}">
  <ds:schemaRefs>
    <ds:schemaRef ds:uri="http://schemas.openxmlformats.org/officeDocument/2006/bibliography"/>
  </ds:schemaRefs>
</ds:datastoreItem>
</file>