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2175"/>
      <w:bookmarkStart w:id="1" w:name="_Toc24041"/>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27323"/>
      <w:bookmarkStart w:id="3" w:name="_Toc4286"/>
      <w:bookmarkStart w:id="4" w:name="_Toc15084"/>
      <w:bookmarkStart w:id="5" w:name="_Toc30504"/>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18536"/>
      <w:bookmarkStart w:id="7" w:name="_Toc8023"/>
      <w:bookmarkStart w:id="8" w:name="_Toc3808"/>
      <w:bookmarkStart w:id="9" w:name="_Toc13302"/>
      <w:bookmarkStart w:id="10" w:name="_Toc21660"/>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10722"/>
      <w:bookmarkStart w:id="12" w:name="_Toc22897"/>
      <w:bookmarkStart w:id="13" w:name="_Toc31486"/>
      <w:bookmarkStart w:id="14" w:name="_Toc1908"/>
      <w:bookmarkStart w:id="15" w:name="_Toc15764"/>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3944"/>
      <w:bookmarkStart w:id="17" w:name="_Toc9533"/>
      <w:bookmarkStart w:id="18" w:name="_Toc28438"/>
      <w:bookmarkStart w:id="19" w:name="_Toc30974"/>
      <w:bookmarkStart w:id="20" w:name="_Toc10742"/>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21066"/>
      <w:bookmarkStart w:id="22" w:name="_Toc10479"/>
      <w:bookmarkStart w:id="23" w:name="_Toc24562"/>
      <w:bookmarkStart w:id="24" w:name="_Toc12735"/>
      <w:bookmarkStart w:id="25" w:name="_Toc12799"/>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273"/>
      <w:bookmarkStart w:id="27" w:name="_Toc32296"/>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7297"/>
      <w:bookmarkStart w:id="29" w:name="_Toc14214"/>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0234"/>
      <w:bookmarkStart w:id="31" w:name="_Toc12825"/>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4882"/>
      <w:bookmarkStart w:id="35" w:name="_Toc22689"/>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6979"/>
      <w:bookmarkStart w:id="39" w:name="_Toc16466"/>
      <w:bookmarkStart w:id="40" w:name="_Toc6074"/>
      <w:bookmarkStart w:id="41" w:name="_Toc15610"/>
      <w:bookmarkStart w:id="42" w:name="_Toc2111"/>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12238"/>
      <w:bookmarkStart w:id="44" w:name="_Toc2959"/>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29429"/>
      <w:bookmarkStart w:id="46" w:name="_Toc31756"/>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30024"/>
      <w:bookmarkStart w:id="48" w:name="_Toc13932"/>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28400"/>
      <w:bookmarkStart w:id="50" w:name="_Toc7278"/>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9610"/>
      <w:bookmarkStart w:id="54" w:name="_Toc14334"/>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23303"/>
      <w:bookmarkStart w:id="56" w:name="_Toc4923"/>
      <w:bookmarkStart w:id="57" w:name="_Toc29112"/>
      <w:bookmarkStart w:id="58" w:name="_Toc9587"/>
      <w:bookmarkStart w:id="59" w:name="_Toc2076"/>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11297"/>
      <w:bookmarkStart w:id="61" w:name="_Toc30608"/>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5802"/>
      <w:bookmarkStart w:id="65" w:name="_Toc11662"/>
      <w:bookmarkStart w:id="66" w:name="_Toc19404"/>
      <w:bookmarkStart w:id="67" w:name="_Toc10013"/>
      <w:bookmarkStart w:id="68" w:name="_Toc14824"/>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4369"/>
      <w:bookmarkStart w:id="70" w:name="_Toc7573"/>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709"/>
      <w:bookmarkStart w:id="72" w:name="_Toc23871"/>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15298"/>
      <w:bookmarkStart w:id="74" w:name="_Toc25819"/>
      <w:bookmarkStart w:id="75" w:name="_Toc4810"/>
      <w:bookmarkStart w:id="76" w:name="_Toc18238"/>
      <w:bookmarkStart w:id="77" w:name="_Toc1826"/>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5646"/>
      <w:bookmarkStart w:id="81" w:name="_Toc18710"/>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CENELEC频段计划的色调映射响应消息说明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FCC频段计划的色调映射响应消息描述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480"/>
        </w:tabs>
        <w:kinsoku/>
        <w:wordWrap/>
        <w:overflowPunct/>
        <w:topLinePunct w:val="0"/>
        <w:autoSpaceDE/>
        <w:autoSpaceDN/>
        <w:bidi w:val="0"/>
        <w:adjustRightInd/>
        <w:snapToGrid/>
        <w:spacing w:line="240" w:lineRule="auto"/>
        <w:ind w:left="1475" w:leftChars="0" w:right="0" w:rightChars="0" w:firstLine="4" w:firstLine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在接收到色调映射响应命令帧时，MAC子层用相应的色调图和该设备的通信参数来更新邻居表。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，并且色调映射参数仍然有效（TMRValidTime大于“0”），则MAC子层不需要发送色调映射请求消息。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如果该位被设置，目标站将测量通道的载波质量，构建并发送一个色调映射响应消息回到发起者站。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色调映射响应消息应始终使用默认鲁棒调制传输。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如果没有数据发送到该设备，则MAC子层不应该向目标设备发送色调映射请求消息。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13929"/>
      <w:bookmarkStart w:id="85" w:name="_Toc18074"/>
      <w:bookmarkStart w:id="86" w:name="_Toc20241"/>
      <w:bookmarkStart w:id="87" w:name="_Toc19192"/>
      <w:bookmarkStart w:id="88" w:name="_Toc21578"/>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6958"/>
      <w:bookmarkStart w:id="90" w:name="_Toc8931"/>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23486"/>
      <w:bookmarkStart w:id="92" w:name="_Toc17878"/>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9.3.7.2中定义的邻居表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S-FSK 63和74 kHz频率切口。 参见[ITU-T G.9901]第B.3条）。</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频道接入公平限制指定退出次数尝试次数，退避指数设置为minBE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色调映射参数的最长录像时间以分钟为单位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在几分钟内，邻居表中的条目的最长生存时间</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协调器的路由成本用作信标有效载荷作为RC_COORD</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定义在符号形成期间使用的色调蒙版。</w:t>
            </w: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信标随机化的持续时间（秒）。</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该参数控制自适应CW线性下降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频道访问公平限制的速率适配因子</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使用最小CW连续尝试次数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此只读属性指示节点的能力。 见表9- 16。</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此只读属性指示设备的功能。 见表9-17。</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macCENELEC 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使用以下配置：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当I（i，j）= 0时，基本交错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交换器参数ni和nj不被交换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macFCCLegacyMode值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差分FCH调制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基本交错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0时，交换器参数ni和nj不被交换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单RS块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相干FCH调制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两个RS块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val="0"/>
          <w:bCs w:val="0"/>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b w:val="0"/>
          <w:bCs w:val="0"/>
          <w:lang w:val="en-US" w:eastAsia="zh-CN"/>
        </w:rPr>
      </w:pPr>
      <w:r>
        <w:rPr>
          <w:rFonts w:hint="eastAsia"/>
          <w:b w:val="0"/>
          <w:bCs w:val="0"/>
          <w:lang w:val="en-US" w:eastAsia="zh-CN"/>
        </w:rPr>
        <w:t>表9-18表示本建议书使用的现有IEEE 802.15.4 MAC子层属性。</w:t>
      </w:r>
    </w:p>
    <w:tbl>
      <w:tblPr>
        <w:tblStyle w:val="18"/>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属性</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识别码</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范围</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macAckWaitDuration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确认时间（以微秒为单位）</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aSymbolTime ×</w:t>
            </w:r>
            <w:r>
              <w:rPr>
                <w:rFonts w:hint="eastAsia" w:ascii="宋体" w:hAnsi="宋体" w:eastAsia="宋体" w:cs="宋体"/>
                <w:sz w:val="24"/>
                <w:szCs w:val="24"/>
                <w:lang w:val="en-US" w:eastAsia="zh-CN"/>
              </w:rPr>
              <w:t xml:space="preserve"> </w:t>
            </w:r>
            <w:r>
              <w:rPr>
                <w:rFonts w:ascii="宋体" w:hAnsi="宋体" w:eastAsia="宋体" w:cs="宋体"/>
                <w:sz w:val="24"/>
                <w:szCs w:val="24"/>
              </w:rPr>
              <w:t>(aRIFS + aCIFS)+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macBSN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信标帧序列号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macDSN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C</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数据帧序列号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后退指数的最大值。 它应该总是大于macMinBE</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macMaxCSMABackof fs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最大回退次数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macMaxFrameRetries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59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0-10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最大重传次数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macMinBE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F</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退货指数的最小值</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macPanId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ascii="宋体" w:hAnsi="宋体" w:eastAsia="宋体" w:cs="宋体"/>
                <w:sz w:val="24"/>
                <w:szCs w:val="24"/>
              </w:rPr>
              <w:t>PAN ID</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macSecurityEnabled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TRUE-FALSE</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安全启用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macShortAddress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r>
              <w:rPr>
                <w:rFonts w:hint="eastAsia" w:ascii="宋体" w:hAnsi="宋体" w:eastAsia="宋体" w:cs="宋体"/>
                <w:sz w:val="24"/>
                <w:szCs w:val="24"/>
                <w:lang w:val="en-US" w:eastAsia="zh-CN"/>
              </w:rPr>
              <w:t>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设备短地址</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macPromiscuousMode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混杂模式启用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macTimeStampSuppor ted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MAC帧时间戳支持启用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macKeyTable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Set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该属性保存MAC层加密所需的GMK密钥。 该属性可以保存两个16字节的密钥。 行索引对应于密钥标识符值。 出于安全考虑，键入条目不能被读取，只能写入或删除。</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macFrameCounter</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 – 0xFFFFFFFF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9820"/>
      <w:bookmarkStart w:id="97" w:name="_Toc16770"/>
      <w:bookmarkStart w:id="98" w:name="_Toc14896"/>
      <w:bookmarkStart w:id="99" w:name="_Toc1851"/>
      <w:bookmarkStart w:id="100" w:name="_Toc19442"/>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5589"/>
      <w:bookmarkStart w:id="102" w:name="_Toc32168"/>
      <w:r>
        <w:rPr>
          <w:rFonts w:hint="eastAsia"/>
          <w:b/>
          <w:bCs/>
          <w:lang w:val="en-US" w:eastAsia="zh-CN"/>
        </w:rPr>
        <w:t>选项</w:t>
      </w:r>
      <w:bookmarkEnd w:id="101"/>
      <w:bookmarkEnd w:id="102"/>
    </w:p>
    <w:p>
      <w:pPr>
        <w:keepNext w:val="0"/>
        <w:keepLines w:val="0"/>
        <w:pageBreakBefore w:val="0"/>
        <w:widowControl w:val="0"/>
        <w:numPr>
          <w:ilvl w:val="0"/>
          <w:numId w:val="0"/>
        </w:numPr>
        <w:tabs>
          <w:tab w:val="left" w:pos="850"/>
        </w:tabs>
        <w:kinsoku/>
        <w:wordWrap/>
        <w:overflowPunct/>
        <w:topLinePunct w:val="0"/>
        <w:autoSpaceDE/>
        <w:autoSpaceDN/>
        <w:bidi w:val="0"/>
        <w:adjustRightInd/>
        <w:snapToGrid/>
        <w:spacing w:line="240" w:lineRule="auto"/>
        <w:ind w:left="850" w:leftChars="0" w:right="0" w:rightChars="0"/>
        <w:jc w:val="left"/>
        <w:textAlignment w:val="auto"/>
        <w:outlineLvl w:val="3"/>
        <w:rPr>
          <w:rFonts w:hint="eastAsia"/>
          <w:b/>
          <w:bCs/>
          <w:lang w:val="en-US" w:eastAsia="zh-CN"/>
        </w:rPr>
      </w:pPr>
      <w:r>
        <w:rPr>
          <w:rFonts w:hint="eastAsia"/>
          <w:b w:val="0"/>
          <w:bCs w:val="0"/>
          <w:lang w:val="en-US" w:eastAsia="zh-CN"/>
        </w:rPr>
        <w:t>[IEEE 802.15.4]第7.5节中描述的MAC功能描述适用于表9-19中指定的选择。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7.5.2.3.4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7.5.2.5</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7.5.4.3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26003"/>
      <w:bookmarkStart w:id="104" w:name="_Toc1542"/>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TXCOEF[3:0]</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4：16-QAM</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5-7：保留值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TXCOEF[5:4]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TXCOEF[7:6]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TXCOEF[9:8]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TXCOEF[11:10]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TXCOEF[13:12]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TXCOEF[15:14]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TXCOEF[17:16]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TXCOEF[19:18]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TXCOEF[21:20]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TXCOEF[23:22]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TXCOEF[25:24]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TXCOEF[27:26]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TXCOEF[29:28]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TXCOEF[31:30]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TXCOEF[33:32]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TXCOEF[35:34]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TXCOEF[37:36]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TXCOEF[39:38]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TXCOEF[41:40]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TXCOEF[43:42]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TXCOEF[45:44]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TXCOEF[47:46]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17218"/>
      <w:bookmarkStart w:id="106" w:name="_Toc27310"/>
      <w:bookmarkStart w:id="107" w:name="_Toc24605"/>
      <w:bookmarkStart w:id="108" w:name="_Toc28129"/>
      <w:bookmarkStart w:id="109" w:name="_Toc12141"/>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2243"/>
      <w:bookmarkStart w:id="117" w:name="_Toc6608"/>
      <w:bookmarkStart w:id="118" w:name="_Toc15087"/>
      <w:bookmarkStart w:id="119" w:name="_Toc13348"/>
      <w:bookmarkStart w:id="120" w:name="_Toc20270"/>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5376"/>
      <w:bookmarkStart w:id="122" w:name="_Toc486"/>
      <w:bookmarkStart w:id="123" w:name="_Toc7032"/>
      <w:bookmarkStart w:id="124" w:name="_Toc25266"/>
      <w:bookmarkStart w:id="125" w:name="_Toc264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090"/>
      <w:bookmarkStart w:id="127" w:name="_Toc18854"/>
      <w:r>
        <w:rPr>
          <w:rFonts w:hint="eastAsia"/>
          <w:b/>
          <w:bCs/>
          <w:lang w:val="en-US" w:eastAsia="zh-CN"/>
        </w:rPr>
        <w:t>MCPS-DATA请求</w:t>
      </w:r>
      <w:bookmarkEnd w:id="126"/>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MCPS-DATA.request原语的语义如下：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SrcAddrMode,</w:t>
      </w:r>
      <w:r>
        <w:rPr>
          <w:rFonts w:hint="eastAsia"/>
          <w:b w:val="0"/>
          <w:bCs w:val="0"/>
          <w:lang w:val="en-US" w:eastAsia="zh-CN"/>
        </w:rPr>
        <w:tab/>
      </w:r>
      <w:r>
        <w:rPr>
          <w:rFonts w:hint="eastAsia"/>
          <w:b w:val="0"/>
          <w:bCs w:val="0"/>
          <w:lang w:val="en-US" w:eastAsia="zh-CN"/>
        </w:rPr>
        <w:tab/>
      </w:r>
      <w:r>
        <w:rPr>
          <w:rFonts w:hint="eastAsia"/>
          <w:b w:val="0"/>
          <w:bCs w:val="0"/>
          <w:lang w:val="en-US" w:eastAsia="zh-CN"/>
        </w:rPr>
        <w:t>//Src地址模式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DstAddrMode,</w:t>
      </w:r>
      <w:r>
        <w:rPr>
          <w:rFonts w:hint="eastAsia"/>
          <w:b w:val="0"/>
          <w:bCs w:val="0"/>
          <w:lang w:val="en-US" w:eastAsia="zh-CN"/>
        </w:rPr>
        <w:tab/>
      </w:r>
      <w:r>
        <w:rPr>
          <w:rFonts w:hint="eastAsia"/>
          <w:b w:val="0"/>
          <w:bCs w:val="0"/>
          <w:lang w:val="en-US" w:eastAsia="zh-CN"/>
        </w:rPr>
        <w:t>//Dst地址模式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DstPANId,</w:t>
      </w:r>
      <w:r>
        <w:rPr>
          <w:rFonts w:hint="eastAsia"/>
          <w:b w:val="0"/>
          <w:bCs w:val="0"/>
          <w:lang w:val="en-US" w:eastAsia="zh-CN"/>
        </w:rPr>
        <w:tab/>
      </w:r>
      <w:r>
        <w:rPr>
          <w:rFonts w:hint="eastAsia"/>
          <w:b w:val="0"/>
          <w:bCs w:val="0"/>
          <w:lang w:val="en-US" w:eastAsia="zh-CN"/>
        </w:rPr>
        <w:tab/>
      </w:r>
      <w:r>
        <w:rPr>
          <w:rFonts w:hint="eastAsia"/>
          <w:b w:val="0"/>
          <w:bCs w:val="0"/>
          <w:lang w:val="en-US" w:eastAsia="zh-CN"/>
        </w:rPr>
        <w:t>//Dst PAN 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//Dst地址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//msdu长度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//MSDU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msduHandle,</w:t>
      </w:r>
      <w:r>
        <w:rPr>
          <w:rFonts w:hint="eastAsia"/>
          <w:b w:val="0"/>
          <w:bCs w:val="0"/>
          <w:lang w:val="en-US" w:eastAsia="zh-CN"/>
        </w:rPr>
        <w:tab/>
      </w:r>
      <w:r>
        <w:rPr>
          <w:rFonts w:hint="eastAsia"/>
          <w:b w:val="0"/>
          <w:bCs w:val="0"/>
          <w:lang w:val="en-US" w:eastAsia="zh-CN"/>
        </w:rPr>
        <w:tab/>
      </w:r>
      <w:r>
        <w:rPr>
          <w:rFonts w:hint="eastAsia"/>
          <w:b w:val="0"/>
          <w:bCs w:val="0"/>
          <w:lang w:val="en-US" w:eastAsia="zh-CN"/>
        </w:rPr>
        <w:t>//msdu手柄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TxOptions,</w:t>
      </w:r>
      <w:r>
        <w:rPr>
          <w:rFonts w:hint="eastAsia"/>
          <w:b w:val="0"/>
          <w:bCs w:val="0"/>
          <w:lang w:val="en-US" w:eastAsia="zh-CN"/>
        </w:rPr>
        <w:tab/>
      </w:r>
      <w:r>
        <w:rPr>
          <w:rFonts w:hint="eastAsia"/>
          <w:b w:val="0"/>
          <w:bCs w:val="0"/>
          <w:lang w:val="en-US" w:eastAsia="zh-CN"/>
        </w:rPr>
        <w:tab/>
      </w:r>
      <w:r>
        <w:rPr>
          <w:rFonts w:hint="eastAsia"/>
          <w:b w:val="0"/>
          <w:bCs w:val="0"/>
          <w:lang w:val="en-US" w:eastAsia="zh-CN"/>
        </w:rPr>
        <w:t>//发送选项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SecurityLevel,</w:t>
      </w:r>
      <w:r>
        <w:rPr>
          <w:rFonts w:hint="eastAsia"/>
          <w:b w:val="0"/>
          <w:bCs w:val="0"/>
          <w:lang w:val="en-US" w:eastAsia="zh-CN"/>
        </w:rPr>
        <w:tab/>
      </w:r>
      <w:r>
        <w:rPr>
          <w:rFonts w:hint="eastAsia"/>
          <w:b w:val="0"/>
          <w:bCs w:val="0"/>
          <w:lang w:val="en-US" w:eastAsia="zh-CN"/>
        </w:rPr>
        <w:tab/>
      </w:r>
      <w:r>
        <w:rPr>
          <w:rFonts w:hint="eastAsia"/>
          <w:b w:val="0"/>
          <w:bCs w:val="0"/>
          <w:lang w:val="en-US" w:eastAsia="zh-CN"/>
        </w:rPr>
        <w:t>//安全级别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KeyIdMode,</w:t>
      </w:r>
      <w:r>
        <w:rPr>
          <w:rFonts w:hint="eastAsia"/>
          <w:b w:val="0"/>
          <w:bCs w:val="0"/>
          <w:lang w:val="en-US" w:eastAsia="zh-CN"/>
        </w:rPr>
        <w:tab/>
      </w:r>
      <w:r>
        <w:rPr>
          <w:rFonts w:hint="eastAsia"/>
          <w:b w:val="0"/>
          <w:bCs w:val="0"/>
          <w:lang w:val="en-US" w:eastAsia="zh-CN"/>
        </w:rPr>
        <w:tab/>
      </w:r>
      <w:r>
        <w:rPr>
          <w:rFonts w:hint="eastAsia"/>
          <w:b w:val="0"/>
          <w:bCs w:val="0"/>
          <w:lang w:val="en-US" w:eastAsia="zh-CN"/>
        </w:rPr>
        <w:t>//关键id模式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KeySource,</w:t>
      </w:r>
      <w:r>
        <w:rPr>
          <w:rFonts w:hint="eastAsia"/>
          <w:b w:val="0"/>
          <w:bCs w:val="0"/>
          <w:lang w:val="en-US" w:eastAsia="zh-CN"/>
        </w:rPr>
        <w:tab/>
      </w:r>
      <w:r>
        <w:rPr>
          <w:rFonts w:hint="eastAsia"/>
          <w:b w:val="0"/>
          <w:bCs w:val="0"/>
          <w:lang w:val="en-US" w:eastAsia="zh-CN"/>
        </w:rPr>
        <w:tab/>
      </w:r>
      <w:r>
        <w:rPr>
          <w:rFonts w:hint="eastAsia"/>
          <w:b w:val="0"/>
          <w:bCs w:val="0"/>
          <w:lang w:val="en-US" w:eastAsia="zh-CN"/>
        </w:rPr>
        <w:t>//关键来源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KeyIndex,</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//主要指标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QualityOfService</w:t>
      </w:r>
      <w:r>
        <w:rPr>
          <w:rFonts w:hint="eastAsia"/>
          <w:b w:val="0"/>
          <w:bCs w:val="0"/>
          <w:lang w:val="en-US" w:eastAsia="zh-CN"/>
        </w:rPr>
        <w:tab/>
      </w:r>
      <w:r>
        <w:rPr>
          <w:rFonts w:hint="eastAsia"/>
          <w:b w:val="0"/>
          <w:bCs w:val="0"/>
          <w:lang w:val="en-US" w:eastAsia="zh-CN"/>
        </w:rPr>
        <w:t>//服务质量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8270"/>
      <w:bookmarkStart w:id="129" w:name="_Toc23553"/>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2936"/>
      <w:bookmarkStart w:id="131" w:name="_Toc7988"/>
      <w:bookmarkStart w:id="132" w:name="_Toc26944"/>
      <w:bookmarkStart w:id="133" w:name="_Toc8019"/>
      <w:bookmarkStart w:id="134" w:name="_Toc15428"/>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2"/>
      <w:bookmarkStart w:id="136" w:name="_Toc28092"/>
      <w:bookmarkStart w:id="137" w:name="_Toc5352"/>
      <w:bookmarkStart w:id="138" w:name="_Toc25956"/>
      <w:bookmarkStart w:id="139" w:name="_Toc137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22313"/>
      <w:bookmarkStart w:id="141" w:name="_Toc3809"/>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6604"/>
      <w:bookmarkStart w:id="143" w:name="_Toc30283"/>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6973"/>
      <w:bookmarkStart w:id="145" w:name="_Toc22341"/>
      <w:bookmarkStart w:id="146" w:name="_Toc12803"/>
      <w:bookmarkStart w:id="147" w:name="_Toc14201"/>
      <w:bookmarkStart w:id="148" w:name="_Toc22844"/>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2363"/>
      <w:bookmarkStart w:id="150" w:name="_Toc18256"/>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7604"/>
      <w:bookmarkStart w:id="154" w:name="_Toc4172"/>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除了[IETF RFC 4944]中规定的LoWPAN头外，本建议书还定义了一个新的命令帧头。 这用于第9.4.3节中定义的网格路由过程。</w:t>
      </w:r>
      <w:bookmarkStart w:id="533" w:name="_GoBack"/>
      <w:bookmarkEnd w:id="533"/>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如图9-12所示，使用ESC报头类型（参见[IETF RFC 4944]的第5.1节）识别ADP子层命令帧，随后是一个指示ADP命令类型的8位调度字段。 如果6LowPAN帧中存在多个报头，则该报头应位于最后位置。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pPr>
      <w:r>
        <w:drawing>
          <wp:inline distT="0" distB="0" distL="114300" distR="114300">
            <wp:extent cx="4666615" cy="12192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66615" cy="12192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eastAsiaTheme="minorEastAsia"/>
          <w:lang w:val="en-US" w:eastAsia="zh-CN"/>
        </w:rPr>
      </w:pPr>
      <w:r>
        <w:rPr>
          <w:rFonts w:hint="eastAsia"/>
          <w:lang w:val="en-US" w:eastAsia="zh-CN"/>
        </w:rPr>
        <w:t>图 9-12 命令帧头格式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9805"/>
      <w:bookmarkStart w:id="158" w:name="_Toc10561"/>
      <w:bookmarkStart w:id="159" w:name="_Toc14313"/>
      <w:bookmarkStart w:id="160" w:name="_Toc25620"/>
      <w:bookmarkStart w:id="161" w:name="_Toc13388"/>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color w:val="auto"/>
          <w:highlight w:val="yellow"/>
          <w:lang w:val="en-US" w:eastAsia="zh-CN"/>
        </w:rPr>
        <w:t>LOADng是ITU-T G.9903默认路由机制，应由ITU-T G.9903设备支持</w:t>
      </w:r>
      <w:r>
        <w:rPr>
          <w:rFonts w:hint="eastAsia"/>
          <w:b w:val="0"/>
          <w:bCs w:val="0"/>
          <w:lang w:val="en-US" w:eastAsia="zh-CN"/>
        </w:rPr>
        <w:t>。 在本建议书中，附件D中规定的LOADng协议专门用于第2层路由，附件D中使用的术语“路由域”应被解释为“第2层路由域”。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附件H中规定的LOADng协议可能被禁用。 这允许ITU-T G.9903设备支持点对点单跳通信或非默认路由协议。 附录D中描述的网格布线适用于表9-36中的选择。</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13343"/>
      <w:bookmarkStart w:id="165" w:name="_Toc4297"/>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参数值解释：</w:t>
      </w:r>
    </w:p>
    <w:tbl>
      <w:tblPr>
        <w:tblStyle w:val="18"/>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参数值</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DstAddrMode=0x02</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16位短地址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 = MAC destination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目标地址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ascii="宋体" w:hAnsi="宋体" w:eastAsia="宋体" w:cs="宋体"/>
                <w:sz w:val="24"/>
                <w:szCs w:val="24"/>
              </w:rPr>
              <w:t>SrcAddr = MAC source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r>
        <w:drawing>
          <wp:inline distT="0" distB="0" distL="114300" distR="114300">
            <wp:extent cx="5268595" cy="32448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3244850"/>
                    </a:xfrm>
                    <a:prstGeom prst="rect">
                      <a:avLst/>
                    </a:prstGeom>
                    <a:noFill/>
                    <a:ln w="9525">
                      <a:noFill/>
                    </a:ln>
                  </pic:spPr>
                </pic:pic>
              </a:graphicData>
            </a:graphic>
          </wp:inline>
        </w:drawing>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分组路由机制基于[IETF RFC 4944]的第11.1节。 本节详细说明广播和组播数据包的路由。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如[IETF RFC 4944]的第11.1节所述，每个广播分组具有包含序列号的BC0头部。 每次节点发送广播数据包时，它将增加该序列号。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每个节点应具有广播日志表。 该表用于路由广播数据包，每个条目包含表9-31中描述的参数。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每当一个设备接收到具有严格大于0的网格报头的HopsLft字段（见[IETF RFC 4944]的第5.2节）的广播地址时，它将检查具有相同SrcAddr的广播日志表中是否存在条目，SeqNumber。 如果存在条目，则接收到的帧被静默地丢弃。 否则，在表中添加一个新条目，并使用值adpBroadcastLogTableEntryTTL初始化TimeToLive字段（参见表9-27）。 当该值达到0时，该条目将从广播日志表中删除。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当设备接收到广播帧时，必须在广播日志表中创建一个条目，它将减少其HopsLft字段。 如果HopsLft不为零，则触发所接收的广播帧的发送。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这可以通过以下算法来总结，在接收到目的地址为0xFFFF的帧时执行（对于相应的流程图也参见图9-14）：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注 - 在组播地址的情况下，如[IETF RFC 4944]第3节所述，广播地址0xFFFF用于MAC级别。 使用与广播帧相同的算法路由多播帧。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广播日志表在信息库中具有adpBroadcastLogTable属性（参见表9-27和9-31）。</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每个设备可以属于一组或多组设备。 IB属性adpGroupTable（见表9-27）存储16位组地址列表。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当设备接收MAC广播消息时，如果6LoWPAN网格报头中的最终目的地址等于adpGroupTable中的16位组地址之一，则会向上层生成ADPD-DATA.indication原语（如上所述） 在第9.4.3.2.2.1节）。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可以使用ADPM-SET.request原语从adpGroupTable中添加或删除组。 该表的大小是实现特定的，并且应至少有一个条目。 组由上层管理的方式超出了本文档的范围。</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手动路由发现 可以由上层触发，用于 维护 或 性能目的。 这通过调用ADPM-ROUTE-DISCOVERY.request原语来完成。 然后，适配子层生成RREQ帧并执行如第9.4.3.1节所述的算法。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算法完成后，适配子层生成具有相应状态码的ADPM-ROUTEDISCOVERY.confirm原语，并最终修改其路由表。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只能同时处理一个路由发现过程。 任何其他ADPM-ROUTEDISCOVERY.request都将被忽略。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所有设备都应支持LOADng协议，并相应地修改其路由表。</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自动路由发现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如果一个ADPD.DATA.request原语被调用，其DiscoverRoute参数设置为TRUE，并且如果在由DstAddr指定的设备的路由表中没有条目可用，则适配层生成RREQ并执行第9.4节中描述的算法 .3.1为了找到到目的地的路线。 如果路由发现成功，则根据新发现的路由将数据帧发送到目的地。 如果路由发现失败，则适配层将生成状态码为ROUTE_ERROR的ADPD-DATA.confirm原语。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如果使用其DiscoverRoute参数设置为FALSE来调用ADPD.DATA.request原语，并且如果在由DstAddr指定的设备的路由表中没有条目可用，则适配层将生成ADPD-DATA.confirm原语，其中 状态代码ROUTE_ERROR。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路径修复程序见第9.4.3.2.5节。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节点应在两个连续的RREQ / RERR生成之间等待adpRREQRERRWait秒，以限制网络中广播数据包的数量。 adpRREQRERRWait属性的定义在9.4.1.1节中给出。</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路由发现可以由上层触发，用于维护或性能目的。这通过调用ADPM-PATH-DISCOVERY.request原语来完成。然后，适配子层生成路径请求帧（PREQ），并执行以下子条款中描述的算法。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在算法完成之后（在PREQ接收到具有与路径发现目的地（DstAddr）对应的预期发起者）的路径应答帧（PREP）之后或在PREQ传输之后经过adpPathDiscoveryTime之后），适配子层生成ADPM-PATH-DISCOVERY.confirm原始到上层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在其PREQ帧发送后的adpPathDiscoveryTime秒后接收的路径应答帧将被忽略。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PREQ帧中的目标字段和PREP帧中的预期发起方字段）用作路径发现的标识符，因此同一目的地只能处理一个路径发现过程。当第一个仍在进行时，对同一目的地的路径发现的第二次调用将导致ALREADY_IN_PROGRESS状态。 PREQ帧沿着前向路径发送，同时携带更新的逐跳链路与度量类型字段相关联的成本信息由ADPM-PATHDISCOVERY.request给出。类似地，沿着反向路径发送PREP帧，同时承载更新的逐跳链路成本信息。请注意，由ADPM-PATH-DISCOVERY.request给出的度量类型字段（PathMetricType）与adpMetricType属性共享相同的标识符和计算过程。然而，它们可以不同（即，路径发现可以收集与用于路由的路由不同的度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在路径发现期间，不允许链路修复，路由错误和路由表更新。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生成路径请求（PREQ）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生成PREQ消息的节点（见第9.4.3.2.7.4节）应：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按照上层的指导，设置节点的目的地址到PREQ消息传播的地方。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设置指标路径发现消息中报告的链路成本的度量类型（按照上层指导）。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然后，发送PREQ中描述的动作适用。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在接收路径请求（PREQ）时，正向路径上的第i个节点（见第9.4.3.2.7.4节）：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将其16位地址附加到Hop-i转发路径字段。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追加由PathMetricType指定的链接成本，并将其与传入帧更新为Hop-i转发路径链路成本字段。如果节点不支持度量，则“不支持度量标准”（MNS）字段设置为1，并将其链路成本字段设置为0。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如果PREQ目的地址是接收到PREQ消息的节点的地址，则PREQ不转发，并且应用PREP生成。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如果在路由表中找到PREQ目的地址，则将PREQ消息转发到目的地的下一跳（见第9.4.3.2.1节）。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如果在路由表中没有找到PREQ目的地址，或者PREQ传输失败，则应用PREP生成。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val="0"/>
          <w:bCs w:val="0"/>
          <w:lang w:val="en-US" w:eastAsia="zh-CN"/>
        </w:rPr>
      </w:pPr>
      <w:r>
        <w:rPr>
          <w:rFonts w:hint="eastAsia"/>
          <w:b/>
          <w:bCs/>
          <w:lang w:val="en-US" w:eastAsia="zh-CN"/>
        </w:rPr>
        <w:t>生成路径回复（PREP）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生成PREP消息的节点（见第9.4.3.2.7.5节）应：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将PREQ始发者地址设置为目标地址。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将PREQ目的地址设置为预期的发起方地址。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追加PathMetricType，MNS和保留位，由PREQ消息传送的正向路径地址及其相关链路成本。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然后，发送PREP中描述的动作适用。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在接收路径答复（PREP）时，反向路径上的第j个节点（见第9.4.3.2.7.5节）：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将其16位地址附加到Hop-j反向路径字段。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追加PathMetricType指定的链接成本，并将其与传入帧进行更新，转发到Hop-j转发路径链路成本字段。 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如果PREP目标地址是接收PREP的节点的地址，则ADPMPATH-DISCOVERY.confirm（见第9.4.6.2.21节）被发送到上层，PathAddress字段包含构成节点的地址表 路径（或路径的一部分）及其相关的正向和反向链路成本。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如果在路由表中找到PREP目标地址，则节点将PREP消息转发到目的地的下一跳（见第9.4.3.2.1节）。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如果在路由表中没有找到PREP目的地址，或者PREP传输失败，则节点丢弃PREP。</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RREQ：路由请求（Route 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RREP：路由回复（Route Reply）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RERR：路由错误（Route 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路由修复有两种情况：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•当中间节点接收到不存在的目的地址的数据包时在路由表中，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•假设传输不成功（MCPS-DATA.confirm状态等于TRANSACTION_EXPIRED或NO_ACK）。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在路由修复过程中缓冲数据包待处理。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为了修复路由，节点传播RREQ，其发起方地址设置为其自己的地址，目的地址设置为数据包的最终目的地址。 在这些情况下，RREQ消息中的路由修复标志设置为“1”，Hop Limit字段设置为（HopLeft-1），HopLeft值取自触发路由修复过程的数据帧。 针对这些RREQ产生的RREP消息，将其修复标志设置为“1”。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如果修复节点在2 * adpNetTraversalTime秒内从最终目的地收到RREP（见表9-27），则更新其路由表，并通过新路由将缓冲的数据包发送到目的地。 如果分组传输由于链路断开而再次发生故障，则不再进行路由修复，并且丢弃该分组。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如果路由修复过程在中间节点失败，则该节点向发起方发送RERR，并且丢弃缓冲的数据包。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RERR消息携带一个错误代码，指示修复失败的原因。 错误代码在表9-37中定义。 RRER生成应符合9.4.3.2.3.3。</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lang w:val="en-US" w:eastAsia="zh-CN"/>
              </w:rPr>
              <w:t>码</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没有可用的路由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1-251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252-255</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未分配：预留用于实验用途</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9-37 路由错误码</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前向和反向链路成本可以用于附件B中定义的路由成本计算。虽然可以从接收的RREQ计算前向链路成本，但是可以通过以下方法获得反向链路成本：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1. 使用邻居表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如果上一跳信息在邻居表中，并且仍然有效，则可以用于计算反向链路成本。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2. 使用RLCREQ（反向链路成本请求）和RLCREP（反向链路成本回复）：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如果adpRLCEnabled设置为TRUE，则可以将单播RLCREQ发送到上一跳以请求反向链路成本。 在接收到RLCREQ之后，上一跳应计算反向链路成本，并用RLCREP进行回复，例如RLCREP.link-cost =反向链路成本。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LOADng路由器至少等待两个连续的RLCREQ消息之间的adpRREQRERRWait秒。</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本条款中描述的数据包和消息格式应用于实施LOADng（见附件D）。</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分组的生成，转发和处理应遵循LOADng协议。 预计一些路由数据包将为每一跳改变其内容。 因此不得使用6loWPAN网格报头和广播报头：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——当广播RREQ时，RREQ消息被发送到MAC层广播地址，而没有6loWPAN广播报头。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——发送所有路由消息，都不带6loWPAN 网格报头。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根据附录D生成，转发和处理的所有数据包的一般格式如图9-15和表9-38所示。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pPr>
      <w:r>
        <w:drawing>
          <wp:inline distT="0" distB="0" distL="114300" distR="114300">
            <wp:extent cx="5273040" cy="401066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040" cy="40106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RREQ和RREP消息的类型字段分别等于0和1。 RREQ和RREP格式如图9-16和表9-39所示，根据附件D生成，转发和处理。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pPr>
      <w:r>
        <w:drawing>
          <wp:inline distT="0" distB="0" distL="114300" distR="114300">
            <wp:extent cx="5271770" cy="2054225"/>
            <wp:effectExtent l="0" t="0" r="508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1770" cy="2054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eastAsia="宋体"/>
          <w:lang w:val="en-US" w:eastAsia="zh-CN"/>
        </w:rPr>
      </w:pPr>
      <w:r>
        <w:rPr>
          <w:rFonts w:hint="eastAsia" w:eastAsia="宋体"/>
          <w:lang w:val="en-US" w:eastAsia="zh-CN"/>
        </w:rPr>
        <w:t>表9-39 路由请求（RREQ）和路由回复（RREP）消息字段描述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路由错误（RERR）消息格式Route Error</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路径请求（PREQ）消息格式Path Request</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路径响应（PREP）消息格式Path Reply</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RLC请求消息格式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RLC响应消息格式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22453"/>
      <w:bookmarkStart w:id="174" w:name="_Toc13527"/>
      <w:bookmarkStart w:id="175" w:name="_Toc18827"/>
      <w:bookmarkStart w:id="176" w:name="_Toc18566"/>
      <w:bookmarkStart w:id="177" w:name="_Toc12197"/>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7947"/>
      <w:bookmarkStart w:id="179" w:name="_Toc31031"/>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5479"/>
      <w:bookmarkStart w:id="181" w:name="_Toc20844"/>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r>
        <w:rPr>
          <w:rFonts w:hint="eastAsia"/>
          <w:b/>
          <w:bCs/>
          <w:color w:val="0000FF"/>
          <w:lang w:val="en-US" w:eastAsia="zh-CN"/>
        </w:rPr>
        <w:t>（先不看）</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本条款对6LoWPAN自举程序提出了一些增强和澄清。 当ADPM-NETWORK-JOIN.request原语被上层调用时，执行此过程。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图9-25提供了在引导过程中在设备之间交换的消息的概述。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LBA（LoWPAN Bootstrapping Agent）：LoWPAN自举代理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LBD（LoWPAN Bootstrapping Device）：LoWPAN自举装置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LBP（LoWPAN Bootstrapping Protocol）：LoWPAN自举协议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LBS（LoWPAN Bootstrapping Server）：LoWPAN自举服务器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EAP（Extensible Authentication Protocol ）: 可扩展认证协议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9-25 Bootstrapping协议消息序列图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图9-26总结了在LBD和LBS之间需要交换单个LBP协议消息时，在设备不同协议层之间PAN上的标称关联过程中涉及到的转发消息。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图9-26 自举协议消息转发顺序图</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11777"/>
      <w:bookmarkStart w:id="185" w:name="_Toc9479"/>
      <w:bookmarkStart w:id="186" w:name="_Toc31115"/>
      <w:bookmarkStart w:id="187" w:name="_Toc3407"/>
      <w:bookmarkStart w:id="188" w:name="_Toc24922"/>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20486"/>
      <w:bookmarkStart w:id="190" w:name="_Toc4671"/>
      <w:bookmarkStart w:id="191" w:name="_Toc13156"/>
      <w:bookmarkStart w:id="192" w:name="_Toc10516"/>
      <w:bookmarkStart w:id="193" w:name="_Toc4875"/>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1050"/>
      <w:bookmarkStart w:id="195" w:name="_Toc8047"/>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r>
        <w:rPr>
          <w:rFonts w:hint="eastAsia"/>
          <w:b/>
          <w:bCs/>
          <w:lang w:val="en-US" w:eastAsia="zh-CN"/>
        </w:rPr>
        <w:t>;</w:t>
      </w:r>
      <w:r>
        <w:rPr>
          <w:rFonts w:hint="default"/>
          <w:b/>
          <w:bCs/>
          <w:lang w:val="en-US" w:eastAsia="zh-CN"/>
        </w:rPr>
        <w:t>’</w:t>
      </w:r>
      <w:r>
        <w:rPr>
          <w:rFonts w:hint="eastAsia"/>
          <w:b/>
          <w:bCs/>
          <w:lang w:val="en-US" w:eastAsia="zh-CN"/>
        </w:rPr>
        <w:t>[]\</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该原语用于将接收的数据从适配子层传送到上层。 这个原语的语义如下：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ADPD-DATA.indication（NsduLength，Nsdu，LinkQualityIndicator）</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名称</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有效范围</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Nsdu长度</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0-1280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一组八位字节</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接收到的Nsdu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ascii="宋体" w:hAnsi="宋体" w:eastAsia="宋体" w:cs="宋体"/>
                <w:sz w:val="24"/>
                <w:szCs w:val="24"/>
              </w:rPr>
              <w:t>LinkQualityIndicator</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0x00-0xFF</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在接收帧期间的链路质量的值。（链路质量指标）</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9-53 ADPD-DATA.indication原语的参数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当最终目的地是已经接收到的当前站的有效数据帧时，该原语由适配子层产生。</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在生成该原语时，向上层通知数据帧的到达。</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1046"/>
      <w:bookmarkStart w:id="201" w:name="_Toc22058"/>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ADPM允许传输用于网络维护的命令帧。ADPM支持的原语列表是：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876"/>
      <w:bookmarkStart w:id="228" w:name="_Toc16005"/>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30601"/>
      <w:bookmarkStart w:id="238" w:name="_Toc27513"/>
      <w:bookmarkStart w:id="239" w:name="_Toc28674"/>
      <w:bookmarkStart w:id="240" w:name="_Toc4593"/>
      <w:bookmarkStart w:id="241" w:name="_Toc22818"/>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27113"/>
      <w:bookmarkStart w:id="243" w:name="_Toc25330"/>
      <w:bookmarkStart w:id="244" w:name="_Toc96"/>
      <w:bookmarkStart w:id="245" w:name="_Toc7006"/>
      <w:bookmarkStart w:id="246" w:name="_Toc29012"/>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12276"/>
      <w:bookmarkStart w:id="248" w:name="_Toc12031"/>
      <w:bookmarkStart w:id="249" w:name="_Toc3713"/>
      <w:bookmarkStart w:id="250" w:name="_Toc9308"/>
      <w:bookmarkStart w:id="251" w:name="_Toc9904"/>
      <w:bookmarkStart w:id="252" w:name="_Toc2410"/>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27544"/>
      <w:bookmarkStart w:id="254" w:name="_Toc11889"/>
      <w:bookmarkStart w:id="255" w:name="_Toc2242"/>
      <w:bookmarkStart w:id="256" w:name="_Toc2625"/>
      <w:bookmarkStart w:id="257" w:name="_Toc14059"/>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10492"/>
      <w:bookmarkStart w:id="259" w:name="_Toc31170"/>
      <w:bookmarkStart w:id="260" w:name="_Toc9348"/>
      <w:bookmarkStart w:id="261" w:name="_Toc5961"/>
      <w:bookmarkStart w:id="262" w:name="_Toc13615"/>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5040"/>
      <w:bookmarkStart w:id="264" w:name="_Toc8827"/>
      <w:bookmarkStart w:id="265" w:name="_Toc1278"/>
      <w:bookmarkStart w:id="266" w:name="_Toc31159"/>
      <w:bookmarkStart w:id="267" w:name="_Toc25100"/>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5938"/>
      <w:bookmarkStart w:id="269" w:name="_Toc5110"/>
      <w:bookmarkStart w:id="270" w:name="_Toc29726"/>
      <w:bookmarkStart w:id="271" w:name="_Toc10728"/>
      <w:bookmarkStart w:id="272" w:name="_Toc18587"/>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8215"/>
      <w:bookmarkStart w:id="274" w:name="_Toc10854"/>
      <w:bookmarkStart w:id="275" w:name="_Toc15081"/>
      <w:bookmarkStart w:id="276" w:name="_Toc30538"/>
      <w:bookmarkStart w:id="277" w:name="_Toc9044"/>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4703"/>
      <w:bookmarkStart w:id="279" w:name="_Toc23818"/>
      <w:bookmarkStart w:id="280" w:name="_Toc15258"/>
      <w:bookmarkStart w:id="281" w:name="_Toc28429"/>
      <w:bookmarkStart w:id="282" w:name="_Toc31295"/>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32440"/>
      <w:bookmarkStart w:id="284" w:name="_Toc1634"/>
      <w:bookmarkStart w:id="285" w:name="_Toc1745"/>
      <w:bookmarkStart w:id="286" w:name="_Toc24319"/>
      <w:bookmarkStart w:id="287" w:name="_Toc23864"/>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18051"/>
      <w:bookmarkStart w:id="289" w:name="_Toc26609"/>
      <w:bookmarkStart w:id="290" w:name="_Toc19177"/>
      <w:bookmarkStart w:id="291" w:name="_Toc3938"/>
      <w:bookmarkStart w:id="292" w:name="_Toc26824"/>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20843"/>
      <w:bookmarkStart w:id="294" w:name="_Toc611"/>
      <w:bookmarkStart w:id="295" w:name="_Toc19161"/>
      <w:bookmarkStart w:id="296" w:name="_Toc24690"/>
      <w:bookmarkStart w:id="297" w:name="_Toc727"/>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14588"/>
      <w:bookmarkStart w:id="299" w:name="_Toc11807"/>
      <w:bookmarkStart w:id="300" w:name="_Toc32164"/>
      <w:bookmarkStart w:id="301" w:name="_Toc16095"/>
      <w:bookmarkStart w:id="302" w:name="_Toc13755"/>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13826"/>
      <w:bookmarkStart w:id="304" w:name="_Toc8943"/>
      <w:bookmarkStart w:id="305" w:name="_Toc24879"/>
      <w:bookmarkStart w:id="306" w:name="_Toc24513"/>
      <w:bookmarkStart w:id="307" w:name="_Toc21500"/>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18551"/>
      <w:bookmarkStart w:id="309" w:name="_Toc21559"/>
      <w:bookmarkStart w:id="310" w:name="_Toc18917"/>
      <w:bookmarkStart w:id="311" w:name="_Toc23615"/>
      <w:bookmarkStart w:id="312" w:name="_Toc1618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20081"/>
      <w:bookmarkStart w:id="314" w:name="_Toc15496"/>
      <w:bookmarkStart w:id="315" w:name="_Toc4219"/>
      <w:bookmarkStart w:id="316" w:name="_Toc11754"/>
      <w:bookmarkStart w:id="317" w:name="_Toc24904"/>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19262"/>
      <w:bookmarkStart w:id="319" w:name="_Toc30014"/>
      <w:bookmarkStart w:id="320" w:name="_Toc26463"/>
      <w:bookmarkStart w:id="321" w:name="_Toc4165"/>
      <w:bookmarkStart w:id="322" w:name="_Toc31423"/>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2691"/>
      <w:bookmarkStart w:id="324" w:name="_Toc21421"/>
      <w:bookmarkStart w:id="325" w:name="_Toc28299"/>
      <w:bookmarkStart w:id="326" w:name="_Toc21313"/>
      <w:bookmarkStart w:id="327" w:name="_Toc8098"/>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15322"/>
      <w:bookmarkStart w:id="329" w:name="_Toc2302"/>
      <w:bookmarkStart w:id="330" w:name="_Toc12060"/>
      <w:bookmarkStart w:id="331" w:name="_Toc20161"/>
      <w:bookmarkStart w:id="332" w:name="_Toc9050"/>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9557"/>
      <w:bookmarkStart w:id="334" w:name="_Toc19119"/>
      <w:bookmarkStart w:id="335" w:name="_Toc4743"/>
      <w:bookmarkStart w:id="336" w:name="_Toc18106"/>
      <w:bookmarkStart w:id="337" w:name="_Toc19603"/>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28912"/>
      <w:bookmarkStart w:id="339" w:name="_Toc30752"/>
      <w:bookmarkStart w:id="340" w:name="_Toc29356"/>
      <w:bookmarkStart w:id="341" w:name="_Toc23880"/>
      <w:bookmarkStart w:id="342" w:name="_Toc2193"/>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755"/>
      <w:bookmarkStart w:id="344" w:name="_Toc23087"/>
      <w:bookmarkStart w:id="345" w:name="_Toc15165"/>
      <w:bookmarkStart w:id="346" w:name="_Toc5311"/>
      <w:bookmarkStart w:id="347" w:name="_Toc11977"/>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27149"/>
      <w:bookmarkStart w:id="349" w:name="_Toc2835"/>
      <w:bookmarkStart w:id="350" w:name="_Toc11467"/>
      <w:bookmarkStart w:id="351" w:name="_Toc9999"/>
      <w:bookmarkStart w:id="352" w:name="_Toc8128"/>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5481"/>
      <w:bookmarkStart w:id="354" w:name="_Toc11534"/>
      <w:bookmarkStart w:id="355" w:name="_Toc28852"/>
      <w:bookmarkStart w:id="356" w:name="_Toc24623"/>
      <w:bookmarkStart w:id="357" w:name="_Toc30713"/>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20966"/>
      <w:bookmarkStart w:id="359" w:name="_Toc18273"/>
      <w:bookmarkStart w:id="360" w:name="_Toc29213"/>
      <w:bookmarkStart w:id="361" w:name="_Toc1801"/>
      <w:bookmarkStart w:id="362" w:name="_Toc24703"/>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30075"/>
      <w:bookmarkStart w:id="364" w:name="_Toc17053"/>
      <w:bookmarkStart w:id="365" w:name="_Toc2596"/>
      <w:bookmarkStart w:id="366" w:name="_Toc928"/>
      <w:bookmarkStart w:id="367" w:name="_Toc12760"/>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32627"/>
      <w:bookmarkStart w:id="369" w:name="_Toc4964"/>
      <w:bookmarkStart w:id="370" w:name="_Toc17233"/>
      <w:bookmarkStart w:id="371" w:name="_Toc17634"/>
      <w:bookmarkStart w:id="372" w:name="_Toc24199"/>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6250"/>
      <w:bookmarkStart w:id="374" w:name="_Toc18601"/>
      <w:bookmarkStart w:id="375" w:name="_Toc12120"/>
      <w:bookmarkStart w:id="376" w:name="_Toc26151"/>
      <w:bookmarkStart w:id="377" w:name="_Toc17403"/>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4301"/>
      <w:bookmarkStart w:id="379" w:name="_Toc19208"/>
      <w:bookmarkStart w:id="380" w:name="_Toc15353"/>
      <w:bookmarkStart w:id="381" w:name="_Toc25291"/>
      <w:bookmarkStart w:id="382" w:name="_Toc950"/>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24881"/>
      <w:bookmarkStart w:id="384" w:name="_Toc22060"/>
      <w:bookmarkStart w:id="385" w:name="_Toc3473"/>
      <w:bookmarkStart w:id="386" w:name="_Toc30532"/>
      <w:bookmarkStart w:id="387" w:name="_Toc4968"/>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27627"/>
      <w:bookmarkStart w:id="389" w:name="_Toc24151"/>
      <w:bookmarkStart w:id="390" w:name="_Toc6262"/>
      <w:bookmarkStart w:id="391" w:name="_Toc28936"/>
      <w:bookmarkStart w:id="392" w:name="_Toc24622"/>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3828"/>
      <w:bookmarkStart w:id="394" w:name="_Toc12791"/>
      <w:bookmarkStart w:id="395" w:name="_Toc13997"/>
      <w:bookmarkStart w:id="396" w:name="_Toc21296"/>
      <w:bookmarkStart w:id="397" w:name="_Toc17061"/>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22596"/>
      <w:bookmarkStart w:id="399" w:name="_Toc16643"/>
      <w:bookmarkStart w:id="400" w:name="_Toc25050"/>
      <w:bookmarkStart w:id="401" w:name="_Toc21243"/>
      <w:bookmarkStart w:id="402" w:name="_Toc31113"/>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3896"/>
      <w:bookmarkStart w:id="404" w:name="_Toc26071"/>
      <w:bookmarkStart w:id="405" w:name="_Toc11899"/>
      <w:bookmarkStart w:id="406" w:name="_Toc30624"/>
      <w:bookmarkStart w:id="407" w:name="_Toc7214"/>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25582"/>
      <w:bookmarkStart w:id="409" w:name="_Toc11357"/>
      <w:bookmarkStart w:id="410" w:name="_Toc15942"/>
      <w:bookmarkStart w:id="411" w:name="_Toc4521"/>
      <w:bookmarkStart w:id="412" w:name="_Toc2548"/>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31878"/>
      <w:bookmarkStart w:id="414" w:name="_Toc12058"/>
      <w:bookmarkStart w:id="415" w:name="_Toc27075"/>
      <w:bookmarkStart w:id="416" w:name="_Toc24192"/>
      <w:bookmarkStart w:id="417" w:name="_Toc26867"/>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12019"/>
      <w:bookmarkStart w:id="419" w:name="_Toc18034"/>
      <w:bookmarkStart w:id="420" w:name="_Toc28664"/>
      <w:bookmarkStart w:id="421" w:name="_Toc26286"/>
      <w:bookmarkStart w:id="422" w:name="_Toc32493"/>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2711"/>
      <w:bookmarkStart w:id="424" w:name="_Toc30643"/>
      <w:bookmarkStart w:id="425" w:name="_Toc15162"/>
      <w:bookmarkStart w:id="426" w:name="_Toc14990"/>
      <w:bookmarkStart w:id="427" w:name="_Toc26411"/>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32700"/>
      <w:bookmarkStart w:id="429" w:name="_Toc9701"/>
      <w:bookmarkStart w:id="430" w:name="_Toc435"/>
      <w:bookmarkStart w:id="431" w:name="_Toc24532"/>
      <w:bookmarkStart w:id="432" w:name="_Toc11386"/>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15370"/>
      <w:bookmarkStart w:id="434" w:name="_Toc4585"/>
      <w:bookmarkStart w:id="435" w:name="_Toc5354"/>
      <w:bookmarkStart w:id="436" w:name="_Toc5402"/>
      <w:bookmarkStart w:id="437" w:name="_Toc31143"/>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2660"/>
      <w:bookmarkStart w:id="439" w:name="_Toc18473"/>
      <w:bookmarkStart w:id="440" w:name="_Toc22929"/>
      <w:bookmarkStart w:id="441" w:name="_Toc12066"/>
      <w:bookmarkStart w:id="442" w:name="_Toc18112"/>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7647"/>
      <w:bookmarkStart w:id="444" w:name="_Toc15128"/>
      <w:bookmarkStart w:id="445" w:name="_Toc5527"/>
      <w:bookmarkStart w:id="446" w:name="_Toc15149"/>
      <w:bookmarkStart w:id="447" w:name="_Toc7193"/>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17413"/>
      <w:bookmarkStart w:id="449" w:name="_Toc26256"/>
      <w:bookmarkStart w:id="450" w:name="_Toc30703"/>
      <w:bookmarkStart w:id="451" w:name="_Toc22928"/>
      <w:bookmarkStart w:id="452" w:name="_Toc24211"/>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9795"/>
      <w:bookmarkStart w:id="454" w:name="_Toc13723"/>
      <w:bookmarkStart w:id="455" w:name="_Toc6251"/>
      <w:bookmarkStart w:id="456" w:name="_Toc15728"/>
      <w:bookmarkStart w:id="457" w:name="_Toc19396"/>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5803"/>
      <w:bookmarkStart w:id="459" w:name="_Toc4644"/>
      <w:bookmarkStart w:id="460" w:name="_Toc24010"/>
      <w:bookmarkStart w:id="461" w:name="_Toc32197"/>
      <w:bookmarkStart w:id="462" w:name="_Toc9386"/>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28509"/>
      <w:bookmarkStart w:id="464" w:name="_Toc3251"/>
      <w:bookmarkStart w:id="465" w:name="_Toc21993"/>
      <w:bookmarkStart w:id="466" w:name="_Toc6051"/>
      <w:bookmarkStart w:id="467" w:name="_Toc6366"/>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6791"/>
      <w:bookmarkStart w:id="469" w:name="_Toc9033"/>
      <w:bookmarkStart w:id="470" w:name="_Toc25656"/>
      <w:bookmarkStart w:id="471" w:name="_Toc2578"/>
      <w:bookmarkStart w:id="472" w:name="_Toc24340"/>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15765"/>
      <w:bookmarkStart w:id="474" w:name="_Toc30791"/>
      <w:bookmarkStart w:id="475" w:name="_Toc19430"/>
      <w:bookmarkStart w:id="476" w:name="_Toc32201"/>
      <w:bookmarkStart w:id="477" w:name="_Toc1395"/>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10771"/>
      <w:bookmarkStart w:id="479" w:name="_Toc23448"/>
      <w:bookmarkStart w:id="480" w:name="_Toc3146"/>
      <w:bookmarkStart w:id="481" w:name="_Toc17313"/>
      <w:bookmarkStart w:id="482" w:name="_Toc20158"/>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2990"/>
      <w:bookmarkStart w:id="484" w:name="_Toc5487"/>
      <w:bookmarkStart w:id="485" w:name="_Toc30799"/>
      <w:bookmarkStart w:id="486" w:name="_Toc1882"/>
      <w:bookmarkStart w:id="487" w:name="_Toc26012"/>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12353"/>
      <w:bookmarkStart w:id="489" w:name="_Toc769"/>
      <w:bookmarkStart w:id="490" w:name="_Toc11291"/>
      <w:bookmarkStart w:id="491" w:name="_Toc12577"/>
      <w:bookmarkStart w:id="492" w:name="_Toc5348"/>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30678"/>
      <w:bookmarkStart w:id="494" w:name="_Toc14573"/>
      <w:bookmarkStart w:id="495" w:name="_Toc14023"/>
      <w:bookmarkStart w:id="496" w:name="_Toc8859"/>
      <w:bookmarkStart w:id="497" w:name="_Toc31084"/>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28763"/>
      <w:bookmarkStart w:id="499" w:name="_Toc12369"/>
      <w:bookmarkStart w:id="500" w:name="_Toc8626"/>
      <w:bookmarkStart w:id="501" w:name="_Toc26762"/>
      <w:bookmarkStart w:id="502" w:name="_Toc1976"/>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14596"/>
      <w:bookmarkStart w:id="504" w:name="_Toc7915"/>
      <w:bookmarkStart w:id="505" w:name="_Toc30284"/>
      <w:bookmarkStart w:id="506" w:name="_Toc16132"/>
      <w:bookmarkStart w:id="507" w:name="_Toc6414"/>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1281"/>
      <w:bookmarkStart w:id="509" w:name="_Toc15169"/>
      <w:bookmarkStart w:id="510" w:name="_Toc17897"/>
      <w:bookmarkStart w:id="511" w:name="_Toc5061"/>
      <w:bookmarkStart w:id="512" w:name="_Toc21937"/>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11"/>
      <w:bookmarkStart w:id="514" w:name="_Toc29714"/>
      <w:bookmarkStart w:id="515" w:name="_Toc3980"/>
      <w:bookmarkStart w:id="516" w:name="_Toc8321"/>
      <w:bookmarkStart w:id="517" w:name="_Toc19772"/>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19864"/>
      <w:bookmarkStart w:id="519" w:name="_Toc8131"/>
      <w:bookmarkStart w:id="520" w:name="_Toc684"/>
      <w:bookmarkStart w:id="521" w:name="_Toc10367"/>
      <w:bookmarkStart w:id="522" w:name="_Toc5835"/>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20086"/>
      <w:bookmarkStart w:id="524" w:name="_Toc31964"/>
      <w:bookmarkStart w:id="525" w:name="_Toc27595"/>
      <w:bookmarkStart w:id="526" w:name="_Toc25063"/>
      <w:bookmarkStart w:id="527" w:name="_Toc13921"/>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23875"/>
      <w:bookmarkStart w:id="529" w:name="_Toc1989"/>
      <w:bookmarkStart w:id="530" w:name="_Toc18904"/>
      <w:bookmarkStart w:id="531" w:name="_Toc20736"/>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0FA67F5"/>
    <w:rsid w:val="01221284"/>
    <w:rsid w:val="01DD4AED"/>
    <w:rsid w:val="020247D6"/>
    <w:rsid w:val="020520F2"/>
    <w:rsid w:val="02640533"/>
    <w:rsid w:val="034052D5"/>
    <w:rsid w:val="036208EE"/>
    <w:rsid w:val="03AF5932"/>
    <w:rsid w:val="044E5DC0"/>
    <w:rsid w:val="04DD3A44"/>
    <w:rsid w:val="05353F52"/>
    <w:rsid w:val="065C4EF0"/>
    <w:rsid w:val="068E3338"/>
    <w:rsid w:val="07AD2C2C"/>
    <w:rsid w:val="07C91CC5"/>
    <w:rsid w:val="07DD197F"/>
    <w:rsid w:val="08023015"/>
    <w:rsid w:val="084C094B"/>
    <w:rsid w:val="08960434"/>
    <w:rsid w:val="09785BF6"/>
    <w:rsid w:val="09EF775F"/>
    <w:rsid w:val="0A246077"/>
    <w:rsid w:val="0A3F1F76"/>
    <w:rsid w:val="0AE11D18"/>
    <w:rsid w:val="0B3C6E62"/>
    <w:rsid w:val="0B695FD7"/>
    <w:rsid w:val="0C383805"/>
    <w:rsid w:val="0C395B73"/>
    <w:rsid w:val="0C641E8E"/>
    <w:rsid w:val="0D096EFB"/>
    <w:rsid w:val="0DF26CBE"/>
    <w:rsid w:val="0E0749EB"/>
    <w:rsid w:val="0E4D5947"/>
    <w:rsid w:val="0E9675F4"/>
    <w:rsid w:val="0F87790A"/>
    <w:rsid w:val="0FAD0E06"/>
    <w:rsid w:val="10594C16"/>
    <w:rsid w:val="109745B4"/>
    <w:rsid w:val="10E80AC7"/>
    <w:rsid w:val="10EF7374"/>
    <w:rsid w:val="11402D86"/>
    <w:rsid w:val="11EB411F"/>
    <w:rsid w:val="11EE28F2"/>
    <w:rsid w:val="12AB7EA9"/>
    <w:rsid w:val="12AE2F11"/>
    <w:rsid w:val="130E11A6"/>
    <w:rsid w:val="135E71BB"/>
    <w:rsid w:val="13655388"/>
    <w:rsid w:val="139E4A88"/>
    <w:rsid w:val="13CB1F3A"/>
    <w:rsid w:val="13E368AB"/>
    <w:rsid w:val="13E55583"/>
    <w:rsid w:val="14404B9F"/>
    <w:rsid w:val="14865A40"/>
    <w:rsid w:val="14D02D9E"/>
    <w:rsid w:val="15A04834"/>
    <w:rsid w:val="16043722"/>
    <w:rsid w:val="164179A7"/>
    <w:rsid w:val="17147AAC"/>
    <w:rsid w:val="17353F66"/>
    <w:rsid w:val="17826C3B"/>
    <w:rsid w:val="17992FDE"/>
    <w:rsid w:val="17C0019C"/>
    <w:rsid w:val="17D11059"/>
    <w:rsid w:val="17D5633B"/>
    <w:rsid w:val="18416458"/>
    <w:rsid w:val="187E20AD"/>
    <w:rsid w:val="18862A3D"/>
    <w:rsid w:val="18CD232A"/>
    <w:rsid w:val="1A031C1D"/>
    <w:rsid w:val="1A9226B4"/>
    <w:rsid w:val="1B0126DD"/>
    <w:rsid w:val="1B733C98"/>
    <w:rsid w:val="1CC412E5"/>
    <w:rsid w:val="1D943519"/>
    <w:rsid w:val="1E001E5B"/>
    <w:rsid w:val="1E587F52"/>
    <w:rsid w:val="1E615D47"/>
    <w:rsid w:val="1FE7230D"/>
    <w:rsid w:val="201A0D43"/>
    <w:rsid w:val="20731B7C"/>
    <w:rsid w:val="21A045C5"/>
    <w:rsid w:val="21F82656"/>
    <w:rsid w:val="22130C39"/>
    <w:rsid w:val="236D2DAC"/>
    <w:rsid w:val="23803E89"/>
    <w:rsid w:val="23DD7124"/>
    <w:rsid w:val="23F86650"/>
    <w:rsid w:val="24087044"/>
    <w:rsid w:val="24511BEB"/>
    <w:rsid w:val="24926643"/>
    <w:rsid w:val="24DD5757"/>
    <w:rsid w:val="25AA630C"/>
    <w:rsid w:val="261C5C16"/>
    <w:rsid w:val="26F91E1A"/>
    <w:rsid w:val="27652F96"/>
    <w:rsid w:val="27AB3737"/>
    <w:rsid w:val="27FF5104"/>
    <w:rsid w:val="281033C2"/>
    <w:rsid w:val="28DB34C1"/>
    <w:rsid w:val="29BD1E6F"/>
    <w:rsid w:val="29CF0282"/>
    <w:rsid w:val="2A7C35D8"/>
    <w:rsid w:val="2BEB2664"/>
    <w:rsid w:val="2C637D73"/>
    <w:rsid w:val="2C7809BA"/>
    <w:rsid w:val="2C912A45"/>
    <w:rsid w:val="2CA63A30"/>
    <w:rsid w:val="2D1953B3"/>
    <w:rsid w:val="2DA87039"/>
    <w:rsid w:val="2E095E9D"/>
    <w:rsid w:val="2F32739A"/>
    <w:rsid w:val="2F572C78"/>
    <w:rsid w:val="2F737219"/>
    <w:rsid w:val="2F7F66F4"/>
    <w:rsid w:val="2FEF5CAB"/>
    <w:rsid w:val="30567229"/>
    <w:rsid w:val="3059390B"/>
    <w:rsid w:val="30E15D75"/>
    <w:rsid w:val="31A65C31"/>
    <w:rsid w:val="324F0C6D"/>
    <w:rsid w:val="327A6369"/>
    <w:rsid w:val="33542F34"/>
    <w:rsid w:val="336935A1"/>
    <w:rsid w:val="338F4F74"/>
    <w:rsid w:val="33B4614B"/>
    <w:rsid w:val="33BE5D81"/>
    <w:rsid w:val="36314C8A"/>
    <w:rsid w:val="36926342"/>
    <w:rsid w:val="36FB51E8"/>
    <w:rsid w:val="3743759E"/>
    <w:rsid w:val="379B0A4E"/>
    <w:rsid w:val="37DA04AB"/>
    <w:rsid w:val="380E39ED"/>
    <w:rsid w:val="384B2953"/>
    <w:rsid w:val="386B78DE"/>
    <w:rsid w:val="38B036AD"/>
    <w:rsid w:val="38D15E85"/>
    <w:rsid w:val="397B4E1A"/>
    <w:rsid w:val="399D6077"/>
    <w:rsid w:val="39C92C00"/>
    <w:rsid w:val="3A490E95"/>
    <w:rsid w:val="3AAC4323"/>
    <w:rsid w:val="3ACF47C6"/>
    <w:rsid w:val="3B227779"/>
    <w:rsid w:val="3BBB5023"/>
    <w:rsid w:val="3BF50B20"/>
    <w:rsid w:val="3C121871"/>
    <w:rsid w:val="3C655CD1"/>
    <w:rsid w:val="3E51781E"/>
    <w:rsid w:val="3E8C08FF"/>
    <w:rsid w:val="3F09165E"/>
    <w:rsid w:val="3F365688"/>
    <w:rsid w:val="40057A5C"/>
    <w:rsid w:val="40121ADA"/>
    <w:rsid w:val="40F1774C"/>
    <w:rsid w:val="413F5BA9"/>
    <w:rsid w:val="42312978"/>
    <w:rsid w:val="424E503E"/>
    <w:rsid w:val="43221125"/>
    <w:rsid w:val="432826B9"/>
    <w:rsid w:val="43DF0AA6"/>
    <w:rsid w:val="445957E6"/>
    <w:rsid w:val="44693F71"/>
    <w:rsid w:val="44CB0A73"/>
    <w:rsid w:val="44E05985"/>
    <w:rsid w:val="4546591C"/>
    <w:rsid w:val="458B5B16"/>
    <w:rsid w:val="46141CB9"/>
    <w:rsid w:val="465A6C24"/>
    <w:rsid w:val="46A32D42"/>
    <w:rsid w:val="48440AB8"/>
    <w:rsid w:val="489139C3"/>
    <w:rsid w:val="48997E96"/>
    <w:rsid w:val="4A797491"/>
    <w:rsid w:val="4AB50846"/>
    <w:rsid w:val="4B392D14"/>
    <w:rsid w:val="4BD94E8C"/>
    <w:rsid w:val="4CFD30FB"/>
    <w:rsid w:val="4D067122"/>
    <w:rsid w:val="4D6A7F08"/>
    <w:rsid w:val="4D7C0432"/>
    <w:rsid w:val="4D7D1D93"/>
    <w:rsid w:val="4D7F450C"/>
    <w:rsid w:val="4DAC2986"/>
    <w:rsid w:val="4DF7680A"/>
    <w:rsid w:val="4F4104F7"/>
    <w:rsid w:val="4FF2449A"/>
    <w:rsid w:val="50490B69"/>
    <w:rsid w:val="50902B95"/>
    <w:rsid w:val="50AD1271"/>
    <w:rsid w:val="5140344D"/>
    <w:rsid w:val="51477CE3"/>
    <w:rsid w:val="5164442D"/>
    <w:rsid w:val="51A91997"/>
    <w:rsid w:val="520D314C"/>
    <w:rsid w:val="52A964D7"/>
    <w:rsid w:val="537070F9"/>
    <w:rsid w:val="53A10AAB"/>
    <w:rsid w:val="53BF6470"/>
    <w:rsid w:val="541F7182"/>
    <w:rsid w:val="547C1A98"/>
    <w:rsid w:val="549632DA"/>
    <w:rsid w:val="556928D9"/>
    <w:rsid w:val="558E7C1C"/>
    <w:rsid w:val="55A54364"/>
    <w:rsid w:val="568C21D0"/>
    <w:rsid w:val="575F1051"/>
    <w:rsid w:val="57615907"/>
    <w:rsid w:val="578543D3"/>
    <w:rsid w:val="57A168A5"/>
    <w:rsid w:val="57E033E7"/>
    <w:rsid w:val="58143308"/>
    <w:rsid w:val="58246CE3"/>
    <w:rsid w:val="587D6128"/>
    <w:rsid w:val="58AD3DB6"/>
    <w:rsid w:val="58AE61F9"/>
    <w:rsid w:val="58B73E2D"/>
    <w:rsid w:val="5A145EAE"/>
    <w:rsid w:val="5A172B0F"/>
    <w:rsid w:val="5A6D5A53"/>
    <w:rsid w:val="5A8C3E35"/>
    <w:rsid w:val="5B022422"/>
    <w:rsid w:val="5B2203D0"/>
    <w:rsid w:val="5B224B73"/>
    <w:rsid w:val="5BC7003B"/>
    <w:rsid w:val="5BF65853"/>
    <w:rsid w:val="5C4749E8"/>
    <w:rsid w:val="5C95788E"/>
    <w:rsid w:val="5CE9451F"/>
    <w:rsid w:val="5D085410"/>
    <w:rsid w:val="5D090330"/>
    <w:rsid w:val="5D436B41"/>
    <w:rsid w:val="5DC3306E"/>
    <w:rsid w:val="5E825B24"/>
    <w:rsid w:val="5EF55F96"/>
    <w:rsid w:val="5FB371A7"/>
    <w:rsid w:val="5FF14E90"/>
    <w:rsid w:val="60AB7AED"/>
    <w:rsid w:val="62BE174C"/>
    <w:rsid w:val="630B5077"/>
    <w:rsid w:val="645B7628"/>
    <w:rsid w:val="64691546"/>
    <w:rsid w:val="64E41262"/>
    <w:rsid w:val="6527786E"/>
    <w:rsid w:val="654A63AA"/>
    <w:rsid w:val="657F51D8"/>
    <w:rsid w:val="66473244"/>
    <w:rsid w:val="66663097"/>
    <w:rsid w:val="668D696A"/>
    <w:rsid w:val="678A0783"/>
    <w:rsid w:val="67CF2D32"/>
    <w:rsid w:val="67D406A3"/>
    <w:rsid w:val="6865327C"/>
    <w:rsid w:val="697A1AD7"/>
    <w:rsid w:val="6A5F7515"/>
    <w:rsid w:val="6B493208"/>
    <w:rsid w:val="6B583A4E"/>
    <w:rsid w:val="6C854D03"/>
    <w:rsid w:val="6C9A26FB"/>
    <w:rsid w:val="6CC17DC1"/>
    <w:rsid w:val="6CD82AC6"/>
    <w:rsid w:val="6D7B3BEE"/>
    <w:rsid w:val="6D971531"/>
    <w:rsid w:val="6E066405"/>
    <w:rsid w:val="6E235AA5"/>
    <w:rsid w:val="6EC76AE1"/>
    <w:rsid w:val="6EE75DEE"/>
    <w:rsid w:val="6EF0372A"/>
    <w:rsid w:val="6F603C20"/>
    <w:rsid w:val="6F6E0383"/>
    <w:rsid w:val="6FE10032"/>
    <w:rsid w:val="6FED1EEE"/>
    <w:rsid w:val="70054937"/>
    <w:rsid w:val="71035B94"/>
    <w:rsid w:val="710B5987"/>
    <w:rsid w:val="71E34D75"/>
    <w:rsid w:val="725101C2"/>
    <w:rsid w:val="72796960"/>
    <w:rsid w:val="73016A79"/>
    <w:rsid w:val="7392185C"/>
    <w:rsid w:val="74664845"/>
    <w:rsid w:val="748E09AF"/>
    <w:rsid w:val="74B4521A"/>
    <w:rsid w:val="74FA5D29"/>
    <w:rsid w:val="75D57765"/>
    <w:rsid w:val="761F6E69"/>
    <w:rsid w:val="764C7037"/>
    <w:rsid w:val="7667192E"/>
    <w:rsid w:val="76780E12"/>
    <w:rsid w:val="76C92406"/>
    <w:rsid w:val="788757CA"/>
    <w:rsid w:val="78950B8E"/>
    <w:rsid w:val="78D81E27"/>
    <w:rsid w:val="79B85491"/>
    <w:rsid w:val="79BD3241"/>
    <w:rsid w:val="79F04629"/>
    <w:rsid w:val="7A972773"/>
    <w:rsid w:val="7AD97179"/>
    <w:rsid w:val="7D27480F"/>
    <w:rsid w:val="7D91176A"/>
    <w:rsid w:val="7DE54AA9"/>
    <w:rsid w:val="7DE56769"/>
    <w:rsid w:val="7DFF1355"/>
    <w:rsid w:val="7E512CA8"/>
    <w:rsid w:val="7E7D6D6C"/>
    <w:rsid w:val="7EA82D1F"/>
    <w:rsid w:val="7EDD55E9"/>
    <w:rsid w:val="7EF2791C"/>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2017-11-04T08:55:06Z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