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Coherence Gradient Gravity (CGG)</w:t>
      </w:r>
    </w:p>
    <w:p>
      <w:pPr>
        <w:pStyle w:val="BodyText"/>
      </w:pPr>
      <w:r>
        <w:t xml:space="preserve">A Scalar Effective Field Theory for Gravity:</w:t>
      </w:r>
    </w:p>
    <w:p>
      <w:pPr>
        <w:pStyle w:val="BodyText"/>
      </w:pPr>
      <w:r>
        <w:rPr>
          <w:iCs/>
          <w:i/>
        </w:rPr>
        <w:t xml:space="preserve">Weak-Field Recovery, Microscopic Bound-State Structure,</w:t>
      </w:r>
    </w:p>
    <w:p>
      <w:pPr>
        <w:pStyle w:val="BodyText"/>
      </w:pPr>
      <w:r>
        <w:rPr>
          <w:iCs/>
          <w:i/>
        </w:rPr>
        <w:t xml:space="preserve">Compact-Object Phenomenology, and Mode Selection from First Principles</w:t>
      </w:r>
    </w:p>
    <w:p>
      <w:pPr>
        <w:pStyle w:val="BodyText"/>
      </w:pPr>
      <w:r>
        <w:rPr>
          <w:bCs/>
          <w:b/>
        </w:rPr>
        <w:t xml:space="preserve">Timothy L. Garner</w:t>
      </w:r>
    </w:p>
    <w:p>
      <w:pPr>
        <w:pStyle w:val="BodyText"/>
      </w:pPr>
      <w:r>
        <w:t xml:space="preserve">March 2026 — V31r4</w:t>
      </w:r>
    </w:p>
    <w:bookmarkStart w:id="20" w:name="abstract"/>
    <w:p>
      <w:pPr>
        <w:pStyle w:val="Heading1"/>
      </w:pPr>
      <w:r>
        <w:rPr>
          <w:bCs/>
          <w:b/>
        </w:rPr>
        <w:t xml:space="preserve">Abstract</w:t>
      </w:r>
    </w:p>
    <w:p>
      <w:pPr>
        <w:pStyle w:val="FirstParagraph"/>
      </w:pPr>
      <w:r>
        <w:t xml:space="preserve">Coherence Gradient Gravity (CGG) is a Lorentz-covariant complex scalar effective field theory in which the coherence density C = |ψ|² of a complex scalar field ψ, oscillating in a Mexican-hat potential V = (λ/4)(|ψ|² − Ψ₀²)², provides the single additional gravitational degree of freedom beyond the metric. The field carries a two-timescale structure ψ = A(x,t)·e^(iω₀t): a fast carrier ω₀ set by the scalar mass and a slow envelope A(x,t) whose nonlinear self-interaction governs all dynamics. Matter couples to the scalar amplitude through a postulated universal coupling to the trace of the matter stress-energy tensor.</w:t>
      </w:r>
    </w:p>
    <w:p>
      <w:pPr>
        <w:pStyle w:val="BodyText"/>
      </w:pPr>
      <w:r>
        <w:t xml:space="preserve">In the static slowly-varying-envelope regime, variation of the action yields the weak-field envelope equation ∇²(δC) = −κρ (κ = 4πG/c²). Solving the linearized Einstein equation with the scalar stress–energy gives h₀₀ = 2δC and h_ij = 2δCδ_ij, recovering the Newtonian Poisson equation and the full PPN parameter set (γ = β = 1) at leading order.</w:t>
      </w:r>
    </w:p>
    <w:p>
      <w:pPr>
        <w:pStyle w:val="BodyText"/>
      </w:pPr>
      <w:r>
        <w:t xml:space="preserve">At the microscopic level, the slow envelope equation i∂ₜA = −(1/2m)∇²A + |A|²A − g|A|²A admits self-trapped nonlinear bound states (soliton families) for g &gt; 1. These are parameterized by angular quantum number ℓ and amplitude A₀, with eigenvalue scaling μ = −c(ℓ)·A₀^(2/(ℓ+1)). Bound-state existence is proved by oscillation counting for all ℓ ≥ 1, and five exact Pohozaev–virial identities constrain the solution structure. The two-mode interaction analysis derives the helicity matching condition (axiom A8: m₁ = m₂ for resonant energy transfer) as a theorem of angular momentum conservation in four-wave mixing. The frequency matching condition (axiom A7: ω_in/ω_mode = p/q) arises from cascaded four-wave mixing through virtual intermediate modes, with the effective quintic coupling η₅ = 0.0214 computed from the bare cubic and confirmed numerically to 7%. The temporal stability scaling τ_q ∝ R^(q−2) with R ≈ 0.24 is derived from the cascade transfer amplitudes, superseding the earlier hypothesis τ ∝ 1/q². The gravitational density ρ ∝ |∇A|²·H(|A|² − C_thresh) is sourced by interference gradients, not bulk amplitude. Bogoliubov–de Gennes linearization shows that isolated solitons are VK-unstable with growth rate γ_VK = 3.49|μ|, but collective stabilization through the radial overlap and helical phase-shear channels requires only z_min = 2 exchange-coupled neighbors at ℓ = 1 (m = 0) and z_min = 1 for helical (m = ±1) modes, establishing a quantitative, separation-dependent minimum cluster size for stable matter. The coarse-grained density bridge derives the macroscopic matter density from the microscopic mode content: ρ_eff = (1/c²) Σ_n |∇a_n|² Θ_n + ρ_coh, with normalization ρ* = 1/c² determined from the scalar stress-energy tensor.</w:t>
      </w:r>
    </w:p>
    <w:p>
      <w:pPr>
        <w:pStyle w:val="BodyText"/>
      </w:pPr>
      <w:r>
        <w:t xml:space="preserve">The same action admits nonlinear compact-object solutions on a regular smooth branch. For observational mapping the paper adopts phenomenological closure laws defining a viable parameter region in (m_eff·r_s, δ, ε) satisfying both ε &lt; 1.09×10⁻⁷ (stacked clock benchmark) and δ &lt; 0.05 (smooth-branch validity). The viable region begins at m_eff·r_s ≳ 120. Rotating-sector results are constitutive closure forms presented as an indicative outlook.</w:t>
      </w:r>
    </w:p>
    <w:bookmarkEnd w:id="20"/>
    <w:bookmarkStart w:id="28" w:name="i.-introduction"/>
    <w:p>
      <w:pPr>
        <w:pStyle w:val="Heading1"/>
      </w:pPr>
      <w:r>
        <w:rPr>
          <w:bCs/>
          <w:b/>
        </w:rPr>
        <w:t xml:space="preserve">I. Introduction</w:t>
      </w:r>
    </w:p>
    <w:bookmarkStart w:id="21" w:name="framework-overview"/>
    <w:p>
      <w:pPr>
        <w:pStyle w:val="Heading2"/>
      </w:pPr>
      <w:r>
        <w:rPr>
          <w:bCs/>
          <w:b/>
        </w:rPr>
        <w:t xml:space="preserve">1.1 Framework Overview</w:t>
      </w:r>
    </w:p>
    <w:p>
      <w:pPr>
        <w:pStyle w:val="FirstParagraph"/>
      </w:pPr>
      <w:r>
        <w:t xml:space="preserve">We introduce a Lorentz-covariant scalar effective field theory in which the coherence density C = |ψ|² of a complex scalar field ψ, oscillating in a Mexican-hat potential V = (λ/4)(|ψ|² − Ψ₀²)², provides the single additional gravitational degree of freedom beyond the metric. The field carries a two-timescale structure:</w:t>
      </w:r>
    </w:p>
    <w:p>
      <w:pPr>
        <w:pStyle w:val="SourceCode"/>
      </w:pPr>
      <w:r>
        <w:rPr>
          <w:rStyle w:val="VerbatimChar"/>
        </w:rPr>
        <w:t xml:space="preserve">ψ(x,t) = A(x,t) · e^(iω₀t)   (1.1)</w:t>
      </w:r>
    </w:p>
    <w:p>
      <w:pPr>
        <w:pStyle w:val="FirstParagraph"/>
      </w:pPr>
      <w:r>
        <w:t xml:space="preserve">where ω₀ = m_s c²/ħ is the fast carrier frequency set by the vacuum scalar mass, and A(x,t) is the slow envelope whose nonlinear dynamics govern all observable physics. The coherence density C = |ψ|² = |A|² is time-independent for stationary configurations; a stable particle at rest is characterized by the carrier oscillation ω₀ alone.</w:t>
      </w:r>
    </w:p>
    <w:p>
      <w:pPr>
        <w:pStyle w:val="BodyText"/>
      </w:pPr>
      <w:r>
        <w:t xml:space="preserve">Matter couples to the scalar amplitude through a postulated universal coupling to the trace of the matter stress-energy tensor (§2.3). In the static slowly-varying-envelope regime, variation of the action yields the weak-field envelope equation ∇²(δC) = −κρ (κ = 4πG/c²), and the linearised Einstein equation sourced by the scalar stress-energy gives h₀₀ = 2δC, h_ij = 2δCδ_ij, recovering the Newtonian limit exactly.</w:t>
      </w:r>
    </w:p>
    <w:bookmarkEnd w:id="21"/>
    <w:bookmarkStart w:id="22" w:name="problem-statement"/>
    <w:p>
      <w:pPr>
        <w:pStyle w:val="Heading2"/>
      </w:pPr>
      <w:r>
        <w:rPr>
          <w:bCs/>
          <w:b/>
        </w:rPr>
        <w:t xml:space="preserve">1.2 Problem Statement</w:t>
      </w:r>
    </w:p>
    <w:p>
      <w:pPr>
        <w:pStyle w:val="FirstParagraph"/>
      </w:pPr>
      <w:r>
        <w:t xml:space="preserve">A central open problem in gravitational physics is to understand how (and whether) the classical general-relativistic description persists in regimes where the sourcing, propagation, or effective degrees of freedom of gravity may differ from the pure vacuum-curvature picture. Empirically, this question is sharpened by the simultaneous availability of high-precision laboratory probes (optical-clock networks), strong-field time-domain probes (gravitational-wave observations), and compact-object measurements (mass–radius and ringdown phenomenology). These datasets motivate frameworks in which departures from the standard sourcing law can be organized and tested.</w:t>
      </w:r>
    </w:p>
    <w:bookmarkEnd w:id="22"/>
    <w:bookmarkStart w:id="23" w:name="core-principle"/>
    <w:p>
      <w:pPr>
        <w:pStyle w:val="Heading2"/>
      </w:pPr>
      <w:r>
        <w:rPr>
          <w:bCs/>
          <w:b/>
        </w:rPr>
        <w:t xml:space="preserve">1.3 Core Principle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Gravity in CGG is the macroscopic manifestation of spatial gradients in a coherence-weighted scalar field. The action-derived sectors — weak-field gravity, post-Newtonian consistency, compact-object structure, and scalar mode physics — are consequences of one covariant action. Phenomenological closures bridge the core to observations.</w:t>
            </w:r>
          </w:p>
        </w:tc>
      </w:tr>
    </w:tbl>
    <w:p>
      <w:pPr>
        <w:pStyle w:val="BodyText"/>
      </w:pPr>
      <w:r>
        <w:t xml:space="preserve">The central generative rule is that the macroscopic gravitational potential is sourced by a coherence-weighted energy density. The Coherence Gradient Law is the explicit consequence: (i) field equation: ∇²(δC) = −κρ, κ = 4πG/c²; (ii) metric identification: Φ_N = −c²δC; (iii) acceleration: g = −∇Φ_N = −c²∇(δC). This three-step chain is derived in §VIII and follows directly from varying the action.</w:t>
      </w:r>
    </w:p>
    <w:bookmarkEnd w:id="23"/>
    <w:bookmarkStart w:id="24" w:name="microscopic-origin-of-the-matter-density"/>
    <w:p>
      <w:pPr>
        <w:pStyle w:val="Heading2"/>
      </w:pPr>
      <w:r>
        <w:rPr>
          <w:bCs/>
          <w:b/>
        </w:rPr>
        <w:t xml:space="preserve">1.4 Microscopic Origin of the Matter Density</w:t>
      </w:r>
    </w:p>
    <w:p>
      <w:pPr>
        <w:pStyle w:val="FirstParagraph"/>
      </w:pPr>
      <w:r>
        <w:t xml:space="preserve">The matter density ρ appearing in the central law is treated throughout the macroscopic sectors of this paper as an externally specified source. At a deeper level within the coherence field framework, this density has a microscopic decomposition: it is the coarse-grained sum of gradient-sourced contributions from individual self-trapped coherence patterns. Specifically, the slow envelope A admits nonlinear bound-state solutions (soliton families parameterized by angular quantum number ℓ and amplitude A₀) whose gravitational density is sourced by |∇A|² (the spatial gradient of the envelope, or equivalently the interference texture of the field):</w:t>
      </w:r>
    </w:p>
    <w:p>
      <w:pPr>
        <w:pStyle w:val="SourceCode"/>
      </w:pPr>
      <w:r>
        <w:rPr>
          <w:rStyle w:val="VerbatimChar"/>
        </w:rPr>
        <w:t xml:space="preserve">ρ ∝ |∇A|² · H(|A|² − C_thresh)   (1.2)</w:t>
      </w:r>
    </w:p>
    <w:p>
      <w:pPr>
        <w:pStyle w:val="FirstParagraph"/>
      </w:pPr>
      <w:r>
        <w:t xml:space="preserve">where H is the Heaviside step function enforcing that gravitational sourcing occurs only where the coherence density exceeds a threshold. The macroscopic ρ entering this paper’s equations is the coarse-grained projection of these microscopic contributions summed over all locked patterns at a given location. The microscopic structure is derived in §IV–VI; the coarse-grained density bridge connecting microscopic mode content to macroscopic ρ is derived in §VII.</w:t>
      </w:r>
    </w:p>
    <w:bookmarkEnd w:id="24"/>
    <w:bookmarkStart w:id="25" w:name="relationship-to-general-relativity"/>
    <w:p>
      <w:pPr>
        <w:pStyle w:val="Heading2"/>
      </w:pPr>
      <w:r>
        <w:rPr>
          <w:bCs/>
          <w:b/>
        </w:rPr>
        <w:t xml:space="preserve">1.5 Relationship to General Relativity</w:t>
      </w:r>
    </w:p>
    <w:p>
      <w:pPr>
        <w:pStyle w:val="FirstParagraph"/>
      </w:pPr>
      <w:r>
        <w:t xml:space="preserve">CGG is constructed to reproduce the empirically successful weak-field limit. In the static slowly-varying-envelope regime, the Coherence Gradient Law together with the metric identification derived in §VIII yields the standard Poisson equation and the usual post-Newtonian structure. General Relativity is recovered when the coherence weighting of the source approaches unity, so that the macroscopic sourcing reduces to the familiar GR/PPN limit.</w:t>
      </w:r>
    </w:p>
    <w:bookmarkEnd w:id="25"/>
    <w:bookmarkStart w:id="26" w:name="paper-roadmap"/>
    <w:p>
      <w:pPr>
        <w:pStyle w:val="Heading2"/>
      </w:pPr>
      <w:r>
        <w:rPr>
          <w:bCs/>
          <w:b/>
        </w:rPr>
        <w:t xml:space="preserve">1.6 Paper Roadmap</w:t>
      </w:r>
    </w:p>
    <w:p>
      <w:pPr>
        <w:pStyle w:val="FirstParagraph"/>
      </w:pPr>
      <w:r>
        <w:t xml:space="preserve">Section II defines the field content, action, and parameter hierarchy. Section III derives the canonical envelope equation from the action under the slowly-varying-envelope approximation. Section IV derives the radial eigenvalue equation for bound states, establishes existence, and presents the soliton family structure. Section V analyzes two-mode interactions and derives the helicity matching selection rule (A8). Section VI derives the frequency matching condition (A7) from cascaded four-wave mixing. Section VII derives the coarse-grained density bridge connecting microscopic soliton content to macroscopic matter density. Section VIII derives the weak-field limit and post-Newtonian recovery. Section IX presents compact-object smooth-branch solutions. Section X collects coherence-length structure and solver results. Section XI collects phenomenological closures. Section XII outlines the phase-sector structure and rotating-sector outlook. Section XIII discusses interpretation and relation to adjacent frameworks. Section XIV collects limitations and falsification criteria. Section XV concludes.</w:t>
      </w:r>
    </w:p>
    <w:bookmarkEnd w:id="26"/>
    <w:bookmarkStart w:id="27" w:name="derivation-status-map"/>
    <w:p>
      <w:pPr>
        <w:pStyle w:val="Heading2"/>
      </w:pPr>
      <w:r>
        <w:rPr>
          <w:bCs/>
          <w:b/>
        </w:rPr>
        <w:t xml:space="preserve">1.7 Derivation-Status Map</w:t>
      </w:r>
    </w:p>
    <w:p>
      <w:pPr>
        <w:pStyle w:val="FirstParagraph"/>
      </w:pPr>
      <w:r>
        <w:t xml:space="preserve">Results in this paper span four derivational levels. (i) </w:t>
      </w:r>
      <w:r>
        <w:rPr>
          <w:bCs/>
          <w:b/>
        </w:rPr>
        <w:t xml:space="preserve">Action-derived (Tier I):</w:t>
      </w:r>
      <w:r>
        <w:t xml:space="preserve"> the weak-field envelope equation, metric identification h₀₀ = 2δC and h_ij = 2δCδ_ij, Newtonian and leading post-Newtonian structure, PPN parameters γ = 1 and β = 1, compact-object smooth-branch solutions, the radial eigenvalue equation and soliton family scaling, bound-state existence proof, Pohozaev–virial identities, the N·I conservation identity, the A8 helicity matching derived from exchange selection rule, the A7 cascade frequency matching with effective quintic η₅ = 0.0214, the stability scaling τ_q ∝ R^(q−2) with R ≈ 0.24 derived from cascade transfer amplitudes (the old hypothesis τ ∝ 1/q² is demoted to Tier III), the η = m_eff/m_s ratio from V″(Ψ_s)/V″(Ψ₀), and quantized vortex circulation, the coarse-grained density bridge kinematic framework with normalization ρ* = 1/c², the g→(g_m, λ, Ψ₀) mapping showing g is amplitude-dependent with self-trapping guaranteed by the Mexican-hat cubic, the coherence-length running mechanism m²_eff = m²_s + 2g_m ρ_m, the threshold ambiguity bound, the nested soliton Yukawa binding potential from the direct channel, the phase-sector 1/r³ dipole interaction range, the BdG growth rate γ_VK = 3.49|μ| for isolated ℓ = 1 solitons, the separation-dependent minimum coordination number z_min(d) from the radial overlap integral σ(d) (solver-validated: z_min = 2 at ℓ = 1 m = 0, z_min = 1 at ℓ = 1 m = 1 with helical phase-shear stabilization, z_min = 4 at ℓ = 2 m = 0), and the Jordan-frame sign obstruction (§14.5) establishing that conformal coupling cannot promote universal coupling to a theorem. (ii) </w:t>
      </w:r>
      <w:r>
        <w:rPr>
          <w:bCs/>
          <w:b/>
        </w:rPr>
        <w:t xml:space="preserve">Analytic bridge / solver-validated (Tier II):</w:t>
      </w:r>
      <w:r>
        <w:t xml:space="preserve"> the ε-bridge relation, QNM overlap scaling F(x) = C₁x with C₁ = 0.0495, Route 1 echo amplitude suppression |h_echo/h_QNM| ~ 10⁻⁵. (iii) </w:t>
      </w:r>
      <w:r>
        <w:rPr>
          <w:bCs/>
          <w:b/>
        </w:rPr>
        <w:t xml:space="preserve">Residual open items:</w:t>
      </w:r>
      <w:r>
        <w:t xml:space="preserve"> radial profile of m_eff(r) throughout the compact-object interior, force as deformation gradient, mode census (requires thermodynamic or kinetic theory of mode occupation), multi-mode coupled VK stability proof (the separation-dependent z_min is derived and solver-validated but the coupled stability eigenvalue in the full nonlinear dynamics has not been computed). (iv) </w:t>
      </w:r>
      <w:r>
        <w:rPr>
          <w:bCs/>
          <w:b/>
        </w:rPr>
        <w:t xml:space="preserve">Phenomenological interfaces (Tier III):</w:t>
      </w:r>
      <w:r>
        <w:t xml:space="preserve"> clock-to-ε mapping, environmental coherence-length running L₀(ρ), all rotating-sector coefficients.</w:t>
      </w:r>
    </w:p>
    <w:bookmarkEnd w:id="27"/>
    <w:bookmarkEnd w:id="28"/>
    <w:bookmarkStart w:id="35" w:name="X3b623a5ac5c339636add470d54ddeabd0c484a1"/>
    <w:p>
      <w:pPr>
        <w:pStyle w:val="Heading1"/>
      </w:pPr>
      <w:r>
        <w:rPr>
          <w:bCs/>
          <w:b/>
        </w:rPr>
        <w:t xml:space="preserve">II. Field Content, Action, and Parameter Hierarchy</w:t>
      </w:r>
    </w:p>
    <w:bookmarkStart w:id="29" w:name="field-dictionary"/>
    <w:p>
      <w:pPr>
        <w:pStyle w:val="Heading2"/>
      </w:pPr>
      <w:r>
        <w:rPr>
          <w:bCs/>
          <w:b/>
        </w:rPr>
        <w:t xml:space="preserve">2.1 Field Dictionary</w:t>
      </w:r>
    </w:p>
    <w:p>
      <w:pPr>
        <w:pStyle w:val="FirstParagraph"/>
      </w:pPr>
      <w:r>
        <w:t xml:space="preserve">The following dictionary defines the field variables and their relationships. These identifications hold throughout the paper.</w:t>
      </w:r>
    </w:p>
    <w:p>
      <w:pPr>
        <w:pStyle w:val="BodyText"/>
      </w:pPr>
      <w:r>
        <w:rPr>
          <w:bCs/>
          <w:b/>
        </w:rPr>
        <w:t xml:space="preserve">Ontological status of ψ.</w:t>
      </w:r>
      <w:r>
        <w:t xml:space="preserve"> ψ is treated throughout this paper as a classical complex scalar field — specifically, as the macroscopic amplitude of a coherent medium whose microscopic constitution is not specified here. The action (2.1) is a classical effective action governing this macroscopic field. ψ carries no Standard Model charge, has no direct electromagnetic coupling, and is gravitationally active only through the coherence density C = |ψ|².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ψ(x,t) = A(x,t)·e^(iω₀t)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Fundamental; all physics derives from action (2.1)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A(x,t) —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Governs dynamics; carries mode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Coherence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C(x) = │ψ│² = │A│²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 amplitude; sources gravity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Coherence perturbation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δC = C − Ψ₀²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Weak-field deviation; satisfies ∇²(δC) = −κρ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Newtonian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Φ_N = −c²δC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particles: a = −∇Φ_N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Gravitational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∝ │∇A│²·H(│A│² − C_thresh)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Interference texture sources gravity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Strong-field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Smooth-branch Ψ(r) near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Nonlinear continuation — same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ψ = Ae^(iθ) — rotating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U(1) phase → vortex kinematics</w:t>
            </w:r>
          </w:p>
        </w:tc>
      </w:tr>
    </w:tbl>
    <w:bookmarkEnd w:id="29"/>
    <w:bookmarkStart w:id="30" w:name="action-and-matter-coupling"/>
    <w:p>
      <w:pPr>
        <w:pStyle w:val="Heading2"/>
      </w:pPr>
      <w:r>
        <w:rPr>
          <w:bCs/>
          <w:b/>
        </w:rPr>
        <w:t xml:space="preserve">2.2 Action and Matter Coupling</w:t>
      </w:r>
    </w:p>
    <w:p>
      <w:pPr>
        <w:pStyle w:val="FirstParagraph"/>
      </w:pPr>
      <w:r>
        <w:t xml:space="preserve">The CGG scalar sector is defined by the action</w:t>
      </w:r>
    </w:p>
    <w:p>
      <w:pPr>
        <w:pStyle w:val="SourceCode"/>
      </w:pPr>
      <w:r>
        <w:rPr>
          <w:rStyle w:val="VerbatimChar"/>
        </w:rPr>
        <w:t xml:space="preserve">S = S_scalar + S_int + S_matter   (2.1a)</w:t>
      </w:r>
    </w:p>
    <w:p>
      <w:pPr>
        <w:pStyle w:val="FirstParagraph"/>
      </w:pPr>
      <w:r>
        <w:t xml:space="preserve">where the scalar self-sector is</w:t>
      </w:r>
    </w:p>
    <w:p>
      <w:pPr>
        <w:pStyle w:val="SourceCode"/>
      </w:pPr>
      <w:r>
        <w:rPr>
          <w:rStyle w:val="VerbatimChar"/>
        </w:rPr>
        <w:t xml:space="preserve">S_scalar = ∫ d⁴x √(−g) [ −½ g^μν ∂_μψ* ∂_νψ − V(|ψ|²) ]   (2.1b)</w:t>
      </w:r>
    </w:p>
    <w:p>
      <w:pPr>
        <w:pStyle w:val="FirstParagraph"/>
      </w:pPr>
      <w:r>
        <w:t xml:space="preserve">with Mexican-hat potential</w:t>
      </w:r>
    </w:p>
    <w:p>
      <w:pPr>
        <w:pStyle w:val="SourceCode"/>
      </w:pPr>
      <w:r>
        <w:rPr>
          <w:rStyle w:val="VerbatimChar"/>
        </w:rPr>
        <w:t xml:space="preserve">V(|ψ|²) = (λ/4)(|ψ|² − Ψ₀²)²   (2.2)</w:t>
      </w:r>
    </w:p>
    <w:p>
      <w:pPr>
        <w:pStyle w:val="FirstParagraph"/>
      </w:pPr>
      <w:r>
        <w:t xml:space="preserve">The matter–scalar interaction takes the covariant form</w:t>
      </w:r>
    </w:p>
    <w:p>
      <w:pPr>
        <w:pStyle w:val="SourceCode"/>
      </w:pPr>
      <w:r>
        <w:rPr>
          <w:rStyle w:val="VerbatimChar"/>
        </w:rPr>
        <w:t xml:space="preserve">S_int = ∫ d⁴x √(−g) (g_m/c²) |ψ|² T   (2.1c)</w:t>
      </w:r>
    </w:p>
    <w:p>
      <w:pPr>
        <w:pStyle w:val="FirstParagraph"/>
      </w:pPr>
      <w:r>
        <w:t xml:space="preserve">where T = g^{μν}T_{μν} is the trace of the full matter stress-energy tensor. This is a Lorentz scalar and is generally covariant. For pressureless dust T_{μν} = ρc² u_μ u_ν, so T = −ρc² (in the −+++ signature), and the interaction reduces to the operational form</w:t>
      </w:r>
    </w:p>
    <w:p>
      <w:pPr>
        <w:pStyle w:val="SourceCode"/>
      </w:pPr>
      <w:r>
        <w:rPr>
          <w:rStyle w:val="VerbatimChar"/>
        </w:rPr>
        <w:t xml:space="preserve">S_int → ∫ d⁴x √(−g) g_m ρ |ψ|²   (2.1d)</w:t>
      </w:r>
    </w:p>
    <w:p>
      <w:pPr>
        <w:pStyle w:val="FirstParagraph"/>
      </w:pPr>
      <w:r>
        <w:t xml:space="preserve">Variation with respect to ψ* gives the scalar field equation</w:t>
      </w:r>
    </w:p>
    <w:p>
      <w:pPr>
        <w:pStyle w:val="SourceCode"/>
      </w:pPr>
      <w:r>
        <w:rPr>
          <w:rStyle w:val="VerbatimChar"/>
        </w:rPr>
        <w:t xml:space="preserve">□ψ + (∂V/∂|ψ|²)ψ = g_m ρ ψ   (2.3)</w:t>
      </w:r>
    </w:p>
    <w:bookmarkEnd w:id="30"/>
    <w:bookmarkStart w:id="31" w:name="universal-coupling-postulate"/>
    <w:p>
      <w:pPr>
        <w:pStyle w:val="Heading2"/>
      </w:pPr>
      <w:r>
        <w:rPr>
          <w:bCs/>
          <w:b/>
        </w:rPr>
        <w:t xml:space="preserve">2.3 Universal Coupling Postulate</w:t>
      </w:r>
    </w:p>
    <w:p>
      <w:pPr>
        <w:pStyle w:val="FirstParagraph"/>
      </w:pPr>
      <w:r>
        <w:rPr>
          <w:bCs/>
          <w:b/>
        </w:rPr>
        <w:t xml:space="preserve">Universal Coupling Postulate.</w:t>
      </w:r>
      <w:r>
        <w:t xml:space="preserve"> Matter follows geodesics of the effective metric g_{μν} sourced by the scalar sector. In the weak-field regime this reduces to the statement that test particles move on geodesics of the linearized line element (§8.5). This postulate is not derived from the scalar action; it is an additional physical assumption required for solar-system predictions.</w:t>
      </w:r>
    </w:p>
    <w:p>
      <w:pPr>
        <w:pStyle w:val="BodyText"/>
      </w:pPr>
      <w:r>
        <w:rPr>
          <w:iCs/>
          <w:i/>
        </w:rPr>
        <w:t xml:space="preserve">The conformal map g̃_{μν} = (C/Ψ₀²)g_{μν} has been investigated as a route to deriving universal coupling from the action; it fails due to a sign obstruction (γ_PPN = −1 from conformal perturbation; see §14.5). The postulate remains the operationally correct level for this assumption.</w:t>
      </w:r>
    </w:p>
    <w:bookmarkEnd w:id="31"/>
    <w:bookmarkStart w:id="32" w:name="core-equations-of-cgg"/>
    <w:p>
      <w:pPr>
        <w:pStyle w:val="Heading2"/>
      </w:pPr>
      <w:r>
        <w:rPr>
          <w:bCs/>
          <w:b/>
        </w:rPr>
        <w:t xml:space="preserve">2.4 Core Equations of CGG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= ∫ d⁴x √(−g) [ −½ g^μν ∂_μψ* ∂_νψ − V(│ψ│²) ] + S_int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(2.1b)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V(│ψ│²) = (λ/4)(│ψ│² − Ψ₀²)²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Scalar field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□ψ + V′(│ψ│²)ψ = g_m ρ 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Weak-field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∇²δC = −κρ, κ = 4πG/c²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 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h₀₀ = 2δC, h_ij = 2δCδ_ij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Coupling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 Ψ₀² = 4πG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Envelope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i∂ₜA = −(1/2m)∇²A + │A│²A − g│A│²A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∝ │∇A│² · H(│A│² − C_thresh)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(1.2)</w:t>
            </w:r>
          </w:p>
        </w:tc>
      </w:tr>
    </w:tbl>
    <w:bookmarkEnd w:id="32"/>
    <w:bookmarkStart w:id="33" w:name="parameter-reduction-and-hierarchy"/>
    <w:p>
      <w:pPr>
        <w:pStyle w:val="Heading2"/>
      </w:pPr>
      <w:r>
        <w:rPr>
          <w:bCs/>
          <w:b/>
        </w:rPr>
        <w:t xml:space="preserve">2.5 Parameter Reduction and Hierarchy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 /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λ, Ψ₀, g_m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UV-origin unspecified; set the potential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scalar 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m_s² = 2λΨ₀²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curvature — derived from (λ, Ψ₀)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carrier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ω₀ = m_s c²/ħ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Vacuum oscillation frequency — not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Coupling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 Ψ₀² = 4πG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Newtonian normalization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Self-trapping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&gt;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bound states (§4.2)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freedom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m_s, δ, L₀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numbers + one constitutive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Observational proxies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ε, QNM shifts, M_eff/M_GR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consequences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1. Parameter hierarchy.</w:t>
      </w:r>
      <w:r>
        <w:t xml:space="preserve"> The theory is not free in all of (g_m, λ, Ψ₀) simultaneously. Weak-field matching eliminates one combination. The carrier frequency is fully determined by m_s. The remaining phenomenological freedom is m_s (scalar mass), δ (surface displacement), and the constitutive closure governing L₀.</w:t>
      </w:r>
    </w:p>
    <w:bookmarkEnd w:id="33"/>
    <w:bookmarkStart w:id="34" w:name="carrier-frequency-of-the-coherence-field"/>
    <w:p>
      <w:pPr>
        <w:pStyle w:val="Heading2"/>
      </w:pPr>
      <w:r>
        <w:rPr>
          <w:bCs/>
          <w:b/>
        </w:rPr>
        <w:t xml:space="preserve">2.6 Carrier Frequency of the Coherence Field</w:t>
      </w:r>
    </w:p>
    <w:p>
      <w:pPr>
        <w:pStyle w:val="FirstParagraph"/>
      </w:pPr>
      <w:r>
        <w:t xml:space="preserve">The carrier frequency ω₀ is not a phenomenological insertion. It is derived from the Mexican-hat potential curvature.</w:t>
      </w:r>
    </w:p>
    <w:p>
      <w:pPr>
        <w:pStyle w:val="BodyText"/>
      </w:pPr>
      <w:r>
        <w:rPr>
          <w:bCs/>
          <w:b/>
        </w:rPr>
        <w:t xml:space="preserve">Step 1</w:t>
      </w:r>
      <w:r>
        <w:t xml:space="preserve"> — Scalar mass from potential curvature. Linearizing V(Ψ₀ + δΨ):</w:t>
      </w:r>
    </w:p>
    <w:p>
      <w:pPr>
        <w:pStyle w:val="SourceCode"/>
      </w:pPr>
      <w:r>
        <w:rPr>
          <w:rStyle w:val="VerbatimChar"/>
        </w:rPr>
        <w:t xml:space="preserve">m_s² = 2λΨ₀²    [exact, from potential curvature]   (2.4)</w:t>
      </w:r>
    </w:p>
    <w:p>
      <w:pPr>
        <w:pStyle w:val="FirstParagraph"/>
      </w:pPr>
      <w:r>
        <w:rPr>
          <w:bCs/>
          <w:b/>
        </w:rPr>
        <w:t xml:space="preserve">Step 2</w:t>
      </w:r>
      <w:r>
        <w:t xml:space="preserve"> — Carrier frequency from vacuum oscillation:</w:t>
      </w:r>
    </w:p>
    <w:p>
      <w:pPr>
        <w:pStyle w:val="SourceCode"/>
      </w:pPr>
      <w:r>
        <w:rPr>
          <w:rStyle w:val="VerbatimChar"/>
        </w:rPr>
        <w:t xml:space="preserve">ω₀² = m_s² c⁴/ħ² = 2λΨ₀²c⁴/ħ²    [exact]   (2.5)</w:t>
      </w:r>
    </w:p>
    <w:p>
      <w:pPr>
        <w:pStyle w:val="FirstParagraph"/>
      </w:pPr>
      <w:r>
        <w:t xml:space="preserve">Fluctuations along the trough of the Mexican-hat (the phase mode) are massless Goldstone excitations: they cost no potential energy but carry topological content when the phase winds by 2πn, producing quantized circulation (§XII).</w:t>
      </w:r>
    </w:p>
    <w:bookmarkEnd w:id="34"/>
    <w:bookmarkEnd w:id="35"/>
    <w:bookmarkStart w:id="40" w:name="iii.-canonical-envelope-equation"/>
    <w:p>
      <w:pPr>
        <w:pStyle w:val="Heading1"/>
      </w:pPr>
      <w:r>
        <w:rPr>
          <w:bCs/>
          <w:b/>
        </w:rPr>
        <w:t xml:space="preserve">III. Canonical Envelope Equation</w:t>
      </w:r>
    </w:p>
    <w:bookmarkStart w:id="36" w:name="two-timescale-decomposition"/>
    <w:p>
      <w:pPr>
        <w:pStyle w:val="Heading2"/>
      </w:pPr>
      <w:r>
        <w:rPr>
          <w:bCs/>
          <w:b/>
        </w:rPr>
        <w:t xml:space="preserve">3.1 Two-Timescale Decomposition</w:t>
      </w:r>
    </w:p>
    <w:p>
      <w:pPr>
        <w:pStyle w:val="FirstParagraph"/>
      </w:pPr>
      <w:r>
        <w:t xml:space="preserve">The coherence field carries two timescales: the fast carrier ω₀ (always active) and the slow envelope A(x,t) (activates in interactions). A stable particle at rest is characterized by ω₀ alone; the envelope is stationary. Substituting ψ = A(x,t)·e^(iω₀t) into the scalar field equation (2.3) and applying the slowly-varying-envelope approximation (SVEA), valid when ∂ₜA ≪ ω₀A and ∂²ₜA ≪ ω₀∂ₜA, the carrier oscillation is absorbed and the remaining dynamics are governed by the slow envelope.</w:t>
      </w:r>
    </w:p>
    <w:bookmarkEnd w:id="36"/>
    <w:bookmarkStart w:id="37" w:name="derivation-from-the-action"/>
    <w:p>
      <w:pPr>
        <w:pStyle w:val="Heading2"/>
      </w:pPr>
      <w:r>
        <w:rPr>
          <w:bCs/>
          <w:b/>
        </w:rPr>
        <w:t xml:space="preserve">3.2 Derivation from the Action</w:t>
      </w:r>
    </w:p>
    <w:p>
      <w:pPr>
        <w:pStyle w:val="FirstParagraph"/>
      </w:pPr>
      <w:r>
        <w:t xml:space="preserve">Starting from the covariant field equation (2.3) with V′(|ψ|²) = (λ/2)(|ψ|² − Ψ₀²):</w:t>
      </w:r>
    </w:p>
    <w:p>
      <w:pPr>
        <w:pStyle w:val="SourceCode"/>
      </w:pPr>
      <w:r>
        <w:rPr>
          <w:rStyle w:val="VerbatimChar"/>
        </w:rPr>
        <w:t xml:space="preserve">□ψ + (λ/2)(|ψ|² − Ψ₀²)ψ = g_m ρ ψ   (3.1)</w:t>
      </w:r>
    </w:p>
    <w:p>
      <w:pPr>
        <w:pStyle w:val="FirstParagraph"/>
      </w:pPr>
      <w:r>
        <w:t xml:space="preserve">Substituting ψ = A·e^(iω₀t) with ω₀² = m_s²c⁴/ħ² = 2λΨ₀²c⁴/ħ², the d’Alembertian separates into carrier and envelope parts. The carrier terms cancel against the mass term −(λ/2)Ψ₀²ψ, leaving:</w:t>
      </w:r>
    </w:p>
    <w:p>
      <w:pPr>
        <w:pStyle w:val="SourceCode"/>
      </w:pPr>
      <w:r>
        <w:rPr>
          <w:rStyle w:val="VerbatimChar"/>
        </w:rPr>
        <w:t xml:space="preserve">i∂ₜA = −(1/2m)∇²A + (λ/2)|A|²A − g_mρA   (3.2)</w:t>
      </w:r>
    </w:p>
    <w:p>
      <w:pPr>
        <w:pStyle w:val="FirstParagraph"/>
      </w:pPr>
      <w:r>
        <w:t xml:space="preserve">where m = ω₀/c² is the effective mass parameter. Absorbing the coupling constants into a single effective self-interaction parameter g, the canonical envelope equation takes the form:</w:t>
      </w:r>
    </w:p>
    <w:p>
      <w:pPr>
        <w:pStyle w:val="SourceCode"/>
      </w:pPr>
      <w:r>
        <w:rPr>
          <w:rStyle w:val="VerbatimChar"/>
        </w:rPr>
        <w:t xml:space="preserve">i∂ₜA = −(1/2m)∇²A + |A|²A − g|A|²A   (3.3)</w:t>
      </w:r>
    </w:p>
    <w:p>
      <w:pPr>
        <w:pStyle w:val="FirstParagraph"/>
      </w:pPr>
      <w:r>
        <w:rPr>
          <w:bCs/>
          <w:b/>
        </w:rPr>
        <w:t xml:space="preserve">[Tier I] </w:t>
      </w:r>
      <w:r>
        <w:rPr>
          <w:iCs/>
          <w:i/>
        </w:rPr>
        <w:t xml:space="preserve">Derived from action (2.1) under SVEA.</w:t>
      </w:r>
    </w:p>
    <w:bookmarkEnd w:id="37"/>
    <w:bookmarkStart w:id="38" w:name="structure-of-the-nonlinearity"/>
    <w:p>
      <w:pPr>
        <w:pStyle w:val="Heading2"/>
      </w:pPr>
      <w:r>
        <w:rPr>
          <w:bCs/>
          <w:b/>
        </w:rPr>
        <w:t xml:space="preserve">3.3 Structure of the Nonlinearity</w:t>
      </w:r>
    </w:p>
    <w:p>
      <w:pPr>
        <w:pStyle w:val="FirstParagraph"/>
      </w:pPr>
      <w:r>
        <w:t xml:space="preserve">The effective nonlinear coefficient is (1−g). For g &gt; 1, this coefficient is negative, making the cubic term </w:t>
      </w:r>
      <w:r>
        <w:rPr>
          <w:iCs/>
          <w:i/>
        </w:rPr>
        <w:t xml:space="preserve">attractive</w:t>
      </w:r>
      <w:r>
        <w:t xml:space="preserve"> (self-focusing). The field generates its own confining potential: larger amplitude produces a deeper well and tighter confinement. This is the mechanism by which mass as a self-sustaining coherence pattern can exist within the framework. For g &lt; 1, the cubic is repulsive (defocusing); self-trapped bound states do not form (though centrifugal-assisted states exist for ℓ ≥ 1).</w:t>
      </w:r>
    </w:p>
    <w:bookmarkEnd w:id="38"/>
    <w:bookmarkStart w:id="39" w:name="mode-decomposition"/>
    <w:p>
      <w:pPr>
        <w:pStyle w:val="Heading2"/>
      </w:pPr>
      <w:r>
        <w:rPr>
          <w:bCs/>
          <w:b/>
        </w:rPr>
        <w:t xml:space="preserve">3.4 Mode Decomposition</w:t>
      </w:r>
    </w:p>
    <w:p>
      <w:pPr>
        <w:pStyle w:val="FirstParagraph"/>
      </w:pPr>
      <w:r>
        <w:t xml:space="preserve">For stationary envelope states, write</w:t>
      </w:r>
    </w:p>
    <w:p>
      <w:pPr>
        <w:pStyle w:val="SourceCode"/>
      </w:pPr>
      <w:r>
        <w:rPr>
          <w:rStyle w:val="VerbatimChar"/>
        </w:rPr>
        <w:t xml:space="preserve">A(r,θ,φ,t) = R(r) · Yℓm(θ,φ) · e^(−iμt)   (3.4)</w:t>
      </w:r>
    </w:p>
    <w:p>
      <w:pPr>
        <w:pStyle w:val="FirstParagraph"/>
      </w:pPr>
      <w:r>
        <w:t xml:space="preserve">where μ is the envelope eigenfrequency (not the carrier ω₀), R(r) is the radial profile, and Yℓm are spherical harmonics. The angular part separates via the standard eigenvalue ∇²_angular Yℓm = −ℓ(ℓ+1)/r² · Yℓm. The nonlinear term |A|²A does not separate cleanly for ℓ ≠ 0; the self-consistent single-mode projection introduces the angular coupling coefficient</w:t>
      </w:r>
    </w:p>
    <w:p>
      <w:pPr>
        <w:pStyle w:val="SourceCode"/>
      </w:pPr>
      <w:r>
        <w:rPr>
          <w:rStyle w:val="VerbatimChar"/>
        </w:rPr>
        <w:t xml:space="preserve">αℓm = ∫ |Yℓm(θ,φ)|⁴ dΩ   (3.5)</w:t>
      </w:r>
    </w:p>
    <w:p>
      <w:pPr>
        <w:pStyle w:val="FirstParagraph"/>
      </w:pPr>
      <w:r>
        <w:t xml:space="preserve">which is computable in closed form. For example: α₁₀ = 9/(20π), α₁±₁ = 3/(20π), and the exact ratio α₁±₁/α₁₀ = 1/3.</w:t>
      </w:r>
    </w:p>
    <w:bookmarkEnd w:id="39"/>
    <w:bookmarkEnd w:id="40"/>
    <w:bookmarkStart w:id="49" w:name="iv.-radial-bound-states"/>
    <w:p>
      <w:pPr>
        <w:pStyle w:val="Heading1"/>
      </w:pPr>
      <w:r>
        <w:rPr>
          <w:bCs/>
          <w:b/>
        </w:rPr>
        <w:t xml:space="preserve">IV. Radial Bound States</w:t>
      </w:r>
    </w:p>
    <w:bookmarkStart w:id="41" w:name="radial-eigenvalue-equation"/>
    <w:p>
      <w:pPr>
        <w:pStyle w:val="Heading2"/>
      </w:pPr>
      <w:r>
        <w:rPr>
          <w:bCs/>
          <w:b/>
        </w:rPr>
        <w:t xml:space="preserve">4.1 Radial Eigenvalue Equation</w:t>
      </w:r>
    </w:p>
    <w:p>
      <w:pPr>
        <w:pStyle w:val="FirstParagraph"/>
      </w:pPr>
      <w:r>
        <w:t xml:space="preserve">Substituting the mode decomposition (3.4) into the envelope equation (3.3), projecting onto the (ℓ,m) channel, and introducing the standard substitution u(r) = r·R(r), the radial equation becomes:</w:t>
      </w:r>
    </w:p>
    <w:p>
      <w:pPr>
        <w:pStyle w:val="SourceCode"/>
      </w:pPr>
      <w:r>
        <w:rPr>
          <w:rStyle w:val="VerbatimChar"/>
        </w:rPr>
        <w:t xml:space="preserve">(1/2m)[u″ − ℓ(ℓ+1)/r² · u] + [μ − (1−g)·αℓm·u²/r²] · u = 0   (4.1)</w:t>
      </w:r>
    </w:p>
    <w:p>
      <w:pPr>
        <w:pStyle w:val="FirstParagraph"/>
      </w:pPr>
      <w:r>
        <w:rPr>
          <w:bCs/>
          <w:b/>
        </w:rPr>
        <w:t xml:space="preserve">[Tier I] </w:t>
      </w:r>
      <w:r>
        <w:rPr>
          <w:iCs/>
          <w:i/>
        </w:rPr>
        <w:t xml:space="preserve">Derived from envelope equation (3.3) by spherical decomposition.</w:t>
      </w:r>
    </w:p>
    <w:p>
      <w:pPr>
        <w:pStyle w:val="BodyText"/>
      </w:pPr>
      <w:r>
        <w:t xml:space="preserve">This is a </w:t>
      </w:r>
      <w:r>
        <w:rPr>
          <w:bCs/>
          <w:b/>
        </w:rPr>
        <w:t xml:space="preserve">nonlinear eigenvalue problem</w:t>
      </w:r>
      <w:r>
        <w:t xml:space="preserve">: the effective potential depends on the solution itself through the u²/r² term. The eigenvalue μ and the amplitude A₀ are coupled — different initial amplitudes produce different eigenvalues.</w:t>
      </w:r>
    </w:p>
    <w:bookmarkEnd w:id="41"/>
    <w:bookmarkStart w:id="42" w:name="boundary-conditions"/>
    <w:p>
      <w:pPr>
        <w:pStyle w:val="Heading2"/>
      </w:pPr>
      <w:r>
        <w:rPr>
          <w:bCs/>
          <w:b/>
        </w:rPr>
        <w:t xml:space="preserve">4.2 Boundary Conditions</w:t>
      </w:r>
    </w:p>
    <w:p>
      <w:pPr>
        <w:pStyle w:val="FirstParagraph"/>
      </w:pPr>
      <w:r>
        <w:t xml:space="preserve">Three conditions select physical bound states:</w:t>
      </w:r>
    </w:p>
    <w:p>
      <w:pPr>
        <w:pStyle w:val="BodyText"/>
      </w:pPr>
      <w:r>
        <w:rPr>
          <w:bCs/>
          <w:b/>
        </w:rPr>
        <w:t xml:space="preserve">BC1 — Regularity at origin:</w:t>
      </w:r>
      <w:r>
        <w:t xml:space="preserve"> u(0) = 0, equivalently u(r) ~ A₀·r^(ℓ+1) as r → 0.</w:t>
      </w:r>
    </w:p>
    <w:p>
      <w:pPr>
        <w:pStyle w:val="BodyText"/>
      </w:pPr>
      <w:r>
        <w:rPr>
          <w:bCs/>
          <w:b/>
        </w:rPr>
        <w:t xml:space="preserve">BC2 — Normalizability:</w:t>
      </w:r>
      <w:r>
        <w:t xml:space="preserve"> u(r) → 0 as r → ∞, with decay u ~ e^(−κr) where κ = √(2m|μ|) for μ &lt; 0.</w:t>
      </w:r>
    </w:p>
    <w:p>
      <w:pPr>
        <w:pStyle w:val="BodyText"/>
      </w:pPr>
      <w:r>
        <w:rPr>
          <w:bCs/>
          <w:b/>
        </w:rPr>
        <w:t xml:space="preserve">BC3 — Threshold (framework-mandated):</w:t>
      </w:r>
      <w:r>
        <w:t xml:space="preserve"> R²_peak ≥ C_thresh.</w:t>
      </w:r>
    </w:p>
    <w:p>
      <w:pPr>
        <w:pStyle w:val="BodyText"/>
      </w:pPr>
      <w:r>
        <w:t xml:space="preserve">BC3 is the non-standard condition. The ODE (4.1) itself produces continuous nonlinear families; BC3 acts as a post-selection rule that truncates these families at a minimum amplitude, making the physically allowed spectrum discrete. The discreteness is imposed by the threshold postulate, not generated by the ODE.</w:t>
      </w:r>
    </w:p>
    <w:bookmarkEnd w:id="42"/>
    <w:bookmarkStart w:id="43" w:name="self-trapping-condition-g-1"/>
    <w:p>
      <w:pPr>
        <w:pStyle w:val="Heading2"/>
      </w:pPr>
      <w:r>
        <w:rPr>
          <w:bCs/>
          <w:b/>
        </w:rPr>
        <w:t xml:space="preserve">4.3 Self-Trapping Condition: g &gt;</w:t>
      </w:r>
      <w:r>
        <w:t xml:space="preserve">** 1**</w:t>
      </w:r>
    </w:p>
    <w:p>
      <w:pPr>
        <w:pStyle w:val="FirstParagraph"/>
      </w:pPr>
      <w:r>
        <w:t xml:space="preserve">For g &gt; 1, the coefficient (1−g) &lt; 0 and the cubic becomes attractive (self-focusing). The field generates its own confining potential. For g &lt; 1, the cubic is repulsive; only centrifugal-assisted bound states (relying on the angular momentum barrier) exist for ℓ ≥ 1. Numerical verification: at g = 0.5, zero self-trapped bound states for ℓ = 0; at g = 1.5, abundant soliton families appear for all ℓ ≥ 0. The transition is sharp at g = 1.</w:t>
      </w:r>
    </w:p>
    <w:p>
      <w:pPr>
        <w:pStyle w:val="BodyText"/>
      </w:pPr>
      <w:r>
        <w:rPr>
          <w:bCs/>
          <w:b/>
        </w:rPr>
        <w:t xml:space="preserve">Mapping g onto action parameters. </w:t>
      </w:r>
      <w:r>
        <w:t xml:space="preserve">The effective g in Eq. (3.3) is not a fixed material constant but depends on the mode amplitude. The bare Mexican-hat quartic contributes a repulsive (λ/2)|A|²A, while the attractive contribution arises from the cubic-in-perturbation term of V(Ψ₀ + δΨ) = λΨ₀²δΨ² + λΨ₀δΨ³ + (λ/4)δΨ⁴. The cubic piece λΨ₀δΨ³ provides the self-focusing mechanism, giving g_eff ≈ 1 + δΨ_peak/Ψ₀. Self-trapping is therefore guaranteed for any A₀ &gt; 0. The gravitational self-interaction contributes at order (m_s/m_Pl)², negligible for all sub-Planckian scalar masses. The value g = 2.86 used in §4.5 is the effective coupling at a specific operating point on the family.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Structural requirement from Eq. (4.1). The g→(g_m, λ, Ψ₀) mapping is derived from the Mexican-hat potential expansion; g is amplitude-dependent.</w:t>
      </w:r>
    </w:p>
    <w:bookmarkEnd w:id="43"/>
    <w:bookmarkStart w:id="44" w:name="existence-of-bound-states"/>
    <w:p>
      <w:pPr>
        <w:pStyle w:val="Heading2"/>
      </w:pPr>
      <w:r>
        <w:rPr>
          <w:bCs/>
          <w:b/>
        </w:rPr>
        <w:t xml:space="preserve">4.4 Existence of Bound States</w:t>
      </w:r>
    </w:p>
    <w:p>
      <w:pPr>
        <w:pStyle w:val="FirstParagraph"/>
      </w:pPr>
      <w:r>
        <w:rPr>
          <w:bCs/>
          <w:b/>
        </w:rPr>
        <w:t xml:space="preserve">Theorem (Existence).</w:t>
      </w:r>
      <w:r>
        <w:t xml:space="preserve"> For each ℓ ≥ 1, g &gt; 1, and A₀ &gt; 0, there exists at least one eigenvalue μ(A₀) &lt; 0 such that the initial value problem (4.1) with BC1 produces a normalizable solution satisfying BC2.</w:t>
      </w:r>
    </w:p>
    <w:p>
      <w:pPr>
        <w:pStyle w:val="BodyText"/>
      </w:pPr>
      <w:r>
        <w:rPr>
          <w:iCs/>
          <w:i/>
        </w:rPr>
        <w:t xml:space="preserve">Proof (oscillation counting).</w:t>
      </w:r>
      <w:r>
        <w:t xml:space="preserve"> Fix A₀ &gt; 0 and a large cutoff R ≫ 1. The solution u(r; μ, A₀) depends continuously on μ. Define n(μ) = number of zeros of u in (0, R]. (i) For μ near 0⁻: the centrifugal barrier dominates and n(0⁻) is finite. (ii) For |μ| → ∞: the effective potential well becomes arbitrarily deep and n(μ) → ∞. (iii) The node count n(μ) is non-decreasing in |μ| by Sturm comparison. Since n increases from n₀ to ∞, at each transition the far-field value u(R) passes through zero. Taking R → ∞ yields a genuine normalizable eigenvalue by compactness. This gives at least one nodeless bound state plus infinitely many nodal states for each A₀. ∎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Derived (oscillation counting + IVT). Confirmed numerically at 6 A₀ values across 2 ℓ channels.</w:t>
      </w:r>
    </w:p>
    <w:bookmarkEnd w:id="44"/>
    <w:bookmarkStart w:id="45" w:name="soliton-families-and-scaling-law"/>
    <w:p>
      <w:pPr>
        <w:pStyle w:val="Heading2"/>
      </w:pPr>
      <w:r>
        <w:rPr>
          <w:bCs/>
          <w:b/>
        </w:rPr>
        <w:t xml:space="preserve">4.5 Soliton Families and Scaling Law</w:t>
      </w:r>
    </w:p>
    <w:p>
      <w:pPr>
        <w:pStyle w:val="FirstParagraph"/>
      </w:pPr>
      <w:r>
        <w:t xml:space="preserve">Numerical solution of (4.1) at g = 2.86 reveals continuous one-parameter families of bound states parameterized by the near-origin amplitude A₀. The eigenvalue along each family obeys a power law:</w:t>
      </w:r>
    </w:p>
    <w:p>
      <w:pPr>
        <w:pStyle w:val="SourceCode"/>
      </w:pPr>
      <w:r>
        <w:rPr>
          <w:rStyle w:val="VerbatimChar"/>
        </w:rPr>
        <w:t xml:space="preserve">μ = −c(ℓ) · A₀^(2/(ℓ+1))   (4.2)</w:t>
      </w:r>
    </w:p>
    <w:p>
      <w:pPr>
        <w:pStyle w:val="FirstParagraph"/>
      </w:pPr>
      <w:r>
        <w:t xml:space="preserve">verified numerically to four significant figures for ℓ = 0–3. The family constants c(ℓ) depend on g and ℓ but not on A₀.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c(ℓ) at g = 2.86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Exponent 2/(ℓ+1)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Numerical exponent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 ± 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± 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 ± 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 ± 0.001</w:t>
            </w:r>
          </w:p>
        </w:tc>
      </w:tr>
    </w:tbl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Derived from dominant-balance analysis (§4.6); verified to 4 sig figs.</w:t>
      </w:r>
    </w:p>
    <w:bookmarkEnd w:id="45"/>
    <w:bookmarkStart w:id="46" w:name="pohozaevvirial-identities"/>
    <w:p>
      <w:pPr>
        <w:pStyle w:val="Heading2"/>
      </w:pPr>
      <w:r>
        <w:rPr>
          <w:bCs/>
          <w:b/>
        </w:rPr>
        <w:t xml:space="preserve">4.6 Pohozaev–Virial Identities</w:t>
      </w:r>
    </w:p>
    <w:p>
      <w:pPr>
        <w:pStyle w:val="FirstParagraph"/>
      </w:pPr>
      <w:r>
        <w:t xml:space="preserve">Multiplying the ODE (4.1) by u and integrating (virial), then by r·u′ and integrating (Pohozaev), yields two independent exact identities. Define I = ∫(u′)² dr, N = ∫u² dr, L = ℓ(ℓ+1)∫u²/r² dr, Q₄ = ∫u⁴/r² dr, and γ_eff = (1−g)α.</w:t>
      </w:r>
    </w:p>
    <w:p>
      <w:pPr>
        <w:pStyle w:val="BodyText"/>
      </w:pPr>
      <w:r>
        <w:rPr>
          <w:bCs/>
          <w:b/>
        </w:rPr>
        <w:t xml:space="preserve">Virial:</w:t>
      </w:r>
    </w:p>
    <w:p>
      <w:pPr>
        <w:pStyle w:val="SourceCode"/>
      </w:pPr>
      <w:r>
        <w:rPr>
          <w:rStyle w:val="VerbatimChar"/>
        </w:rPr>
        <w:t xml:space="preserve">I + L = 2μN − 2γ_eff Q₄   (4.3)</w:t>
      </w:r>
    </w:p>
    <w:p>
      <w:pPr>
        <w:pStyle w:val="FirstParagraph"/>
      </w:pPr>
      <w:r>
        <w:rPr>
          <w:bCs/>
          <w:b/>
        </w:rPr>
        <w:t xml:space="preserve">Pohozaev:</w:t>
      </w:r>
    </w:p>
    <w:p>
      <w:pPr>
        <w:pStyle w:val="SourceCode"/>
      </w:pPr>
      <w:r>
        <w:rPr>
          <w:rStyle w:val="VerbatimChar"/>
        </w:rPr>
        <w:t xml:space="preserve">I + L = −2μN − γ_eff Q₄   (4.4)</w:t>
      </w:r>
    </w:p>
    <w:p>
      <w:pPr>
        <w:pStyle w:val="FirstParagraph"/>
      </w:pPr>
      <w:r>
        <w:t xml:space="preserve">Three derived identities follow:</w:t>
      </w:r>
    </w:p>
    <w:p>
      <w:pPr>
        <w:pStyle w:val="SourceCode"/>
      </w:pPr>
      <w:r>
        <w:rPr>
          <w:rStyle w:val="VerbatimChar"/>
        </w:rPr>
        <w:t xml:space="preserve">Q₄ = 4μN / γ_eff   (4.5)</w:t>
      </w:r>
      <w:r>
        <w:br/>
        <w:br/>
      </w:r>
      <w:r>
        <w:rPr>
          <w:rStyle w:val="VerbatimChar"/>
        </w:rPr>
        <w:t xml:space="preserve">I + L = −6μN    [master relation]   (4.6)</w:t>
      </w:r>
      <w:r>
        <w:br/>
        <w:br/>
      </w:r>
      <w:r>
        <w:rPr>
          <w:rStyle w:val="VerbatimChar"/>
        </w:rPr>
        <w:t xml:space="preserve">I + L = (3/2)(g−1)α Q₄    [Nehari condition]   (4.7)</w:t>
      </w:r>
    </w:p>
    <w:p>
      <w:pPr>
        <w:pStyle w:val="FirstParagraph"/>
      </w:pPr>
      <w:r>
        <w:t xml:space="preserve">Numerical verification at g = 2.86, ℓ = 1 across A₀ ∈ [0.3, 4.0]: all five identities hold to 7 significant figures.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Derived (exact integration by parts). Verified to 10⁻⁷ across 69 family points.</w:t>
      </w:r>
    </w:p>
    <w:bookmarkEnd w:id="46"/>
    <w:bookmarkStart w:id="47" w:name="ni-conservation-identity"/>
    <w:p>
      <w:pPr>
        <w:pStyle w:val="Heading2"/>
      </w:pPr>
      <w:r>
        <w:rPr>
          <w:bCs/>
          <w:b/>
        </w:rPr>
        <w:t xml:space="preserve">4.7 N·I Conservation Identity</w:t>
      </w:r>
    </w:p>
    <w:p>
      <w:pPr>
        <w:pStyle w:val="FirstParagraph"/>
      </w:pPr>
      <w:r>
        <w:rPr>
          <w:bCs/>
          <w:b/>
        </w:rPr>
        <w:t xml:space="preserve">Theorem (N·I identity).</w:t>
      </w:r>
      <w:r>
        <w:t xml:space="preserve"> Along any ℓ ≥ 1 soliton family, the product N·I is constant:</w:t>
      </w:r>
    </w:p>
    <w:p>
      <w:pPr>
        <w:pStyle w:val="SourceCode"/>
      </w:pPr>
      <w:r>
        <w:rPr>
          <w:rStyle w:val="VerbatimChar"/>
        </w:rPr>
        <w:t xml:space="preserve">N(A₀) · I(A₀) = Λ(ℓ, g)   (4.8)</w:t>
      </w:r>
    </w:p>
    <w:p>
      <w:pPr>
        <w:pStyle w:val="FirstParagraph"/>
      </w:pPr>
      <w:r>
        <w:rPr>
          <w:iCs/>
          <w:i/>
        </w:rPr>
        <w:t xml:space="preserve">Proof.</w:t>
      </w:r>
      <w:r>
        <w:t xml:space="preserve"> From dominant-balance analysis, the peak radius scales as r_p ~ A₀^(−1/(ℓ+1)) and the peak amplitude u_peak is A₀-independent for all ℓ ≥ 1. The solution has universal self-similar form u(r) = U·w(r/r_p) with U = u_peak constant. Computing: N ~ A₀^(−1/(ℓ+1)), I ~ A₀^(+1/(ℓ+1)), so N·I = U⁴νι = Λ. The r_p dependence cancels exactly. ∎</w:t>
      </w:r>
    </w:p>
    <w:p>
      <w:pPr>
        <w:pStyle w:val="BodyText"/>
      </w:pPr>
      <w:r>
        <w:t xml:space="preserve">Numerical verification: 69 branch-tracked points give N·I = 376.927 ± 0.008 (relative spread 2.0×10⁻⁵).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Derived (self-similar rescaling). Verified to 2×10⁻⁵ across 69 family points.</w:t>
      </w:r>
    </w:p>
    <w:bookmarkEnd w:id="47"/>
    <w:bookmarkStart w:id="48" w:name="X1aa9b322f1e4057ca8ace129e98b65e577e1359"/>
    <w:p>
      <w:pPr>
        <w:pStyle w:val="Heading2"/>
      </w:pPr>
      <w:r>
        <w:rPr>
          <w:bCs/>
          <w:b/>
        </w:rPr>
        <w:t xml:space="preserve">4.8 Dynamical Stability: Vakhitov–Kolokolov Analysis</w:t>
      </w:r>
    </w:p>
    <w:p>
      <w:pPr>
        <w:pStyle w:val="FirstParagraph"/>
      </w:pPr>
      <w:r>
        <w:t xml:space="preserve">The Vakhitov–Kolokolov (VK) criterion for orbital stability of NLS solitons requires dN/dμ &lt; 0. Numerical computation at g = 2.86 reveals N ~ |μ|^(−0.5000) with dN/dμ &gt; 0 uniform across the entire family. Under the standard VK theorem, this indicates orbital instability of isolated solitons of the bare cubic envelope equation.</w:t>
      </w:r>
    </w:p>
    <w:p>
      <w:pPr>
        <w:pStyle w:val="BodyText"/>
      </w:pPr>
      <w:r>
        <w:rPr>
          <w:bCs/>
          <w:b/>
        </w:rPr>
        <w:t xml:space="preserve">Quantitative growth rate. </w:t>
      </w:r>
      <w:r>
        <w:t xml:space="preserve">Bogoliubov–de Gennes (BdG) linearization around the soliton profile yields the perturbation eigenvalue problem. The BdG spectrum has exactly one unstable mode at every amplitude. The growth rate of this mode is:</w:t>
      </w:r>
    </w:p>
    <w:p>
      <w:pPr>
        <w:pStyle w:val="SourceCode"/>
      </w:pPr>
      <w:r>
        <w:rPr>
          <w:rStyle w:val="VerbatimChar"/>
        </w:rPr>
        <w:t xml:space="preserve">γ_VK = 3.49 |μ|    [exact BdG, g-independent for all g &gt; 1]   (4.9)</w:t>
      </w:r>
    </w:p>
    <w:p>
      <w:pPr>
        <w:pStyle w:val="BodyText"/>
      </w:pPr>
      <w:r>
        <w:t xml:space="preserve">The ratio γ_VK/|μ| = 3.49 is universal: it is independent of the self-coupling g (verified numerically from g = 1.5 to g = 8.0) and independent of the amplitude A₀ along the soliton family. This is a structural property of the 3D cubic NLS at ℓ = 1, not a parameter-dependent result.</w:t>
      </w:r>
    </w:p>
    <w:p>
      <w:pPr>
        <w:pStyle w:val="BodyText"/>
      </w:pPr>
      <w:r>
        <w:rPr>
          <w:bCs/>
          <w:b/>
        </w:rPr>
        <w:t xml:space="preserve">Collective stabilization and minimum cluster size. </w:t>
      </w:r>
      <w:r>
        <w:t xml:space="preserve">The exchange channel (§V) provides inter-mode locking at the beat frequency ω_beat ≈ 0.91|Δμ| (§5.4). The eigenvalue splitting Δμ between two solitons at separation d is computed from first-order perturbation theory: Δμ(d) = |(1−g)| · σ(d) / N, where σ(d) = ∫ R₁²(r₁) R₂²(r₂) |Y_ℓm|⁴ d³x is the radial overlap integral evaluated numerically on the full 3D soliton profiles. The overlap decays as σ(d) ∝ exp(−2κd)/d^(9/2) for d ≫ r_p (Yukawa regime), with κ = √(2m|μ|). The stability condition on a lattice with coordination number z is z · ω_ex(d) ≥ γ_VK, giving the separation-dependent minimum coordination number:</w:t>
      </w:r>
    </w:p>
    <w:p>
      <w:pPr>
        <w:pStyle w:val="SourceCode"/>
      </w:pPr>
      <w:r>
        <w:rPr>
          <w:rStyle w:val="VerbatimChar"/>
        </w:rPr>
        <w:t xml:space="preserve">z_min(d) = ⌈γ_VK / (0.91 · Δμ(d))⌉ = ⌈3.49|μ| / (0.91 · |(1−g)| · σ(d) / N)⌉   (4.10)</w:t>
      </w:r>
    </w:p>
    <w:p>
      <w:pPr>
        <w:pStyle w:val="BodyText"/>
      </w:pPr>
      <w:r>
        <w:t xml:space="preserve">Numerical evaluation at g = 2.86 with the full shooting-solver soliton profile yields z_min = 2 for ℓ = 1, m = 0 at composite-scale separations (d ≤ 1.5 r_p), rising to z_min = 4 at d ≈ 2.1 r_p and escalating sharply beyond d ≈ 2.5 r_p as the Yukawa tail dominates. The overlap σ(d) exhibits angular structure: a dip at d ≈ 0.9 r_p from the angular node of Y₁₀ (cos²θ = 0 at θ = π/2), where z_min increases to 3, followed by a recovery at d ≈ 1.4 r_p. The minimum z_min = 2 reflects the physical requirement for interference: two overlapping modes suffice to create the cooperative stabilization pattern. This is the quantitative content of the composite interpretation: particles are cooperative locked clusters of at least z_min modes, with z_min depending on the inter-mode separation within the cluster.</w:t>
      </w:r>
    </w:p>
    <w:p>
      <w:pPr>
        <w:pStyle w:val="BodyText"/>
      </w:pPr>
      <w:r>
        <w:rPr>
          <w:bCs/>
          <w:b/>
        </w:rPr>
        <w:t xml:space="preserve">Angular momentum and helicity hierarchy. </w:t>
      </w:r>
      <w:r>
        <w:t xml:space="preserve">The minimum coordination number depends on both ℓ and m. Solver-validated results at g = 2.86: ℓ = 1, m = 0: z_min = 2 at close range (1 unstable BdG mode); ℓ = 2, m = 0: z_min = 4 at close range (4 unstable modes); ℓ = 1, m = 1 (helical): z_min = 1 at close range. The helical advantage arises from phase-rotation shear: the azimuthal phase gradient ∂φ/∂φ = m of Y₁¹ ∝ sinθ · e^(iφ) creates a tangential coupling ω_phase = 2|m| · |(1−g)| · γ’(d) / d that dominates the radial exchange coupling by a factor of 50–200× at composite-scale separations. This predicts that spinning (m ≠ 0) composites are dramatically more stable than non-spinning ones, and ℓ = 1 modes remain uniquely favored for composite formation.</w:t>
      </w:r>
    </w:p>
    <w:p>
      <w:pPr>
        <w:pStyle w:val="BodyText"/>
      </w:pPr>
      <w:r>
        <w:rPr>
          <w:bCs/>
          <w:b/>
        </w:rPr>
        <w:t xml:space="preserve">Connection to the threshold postulate. </w:t>
      </w:r>
      <w:r>
        <w:t xml:space="preserve">BC3 (§4.2) can be reinterpreted as the boundary of the collectively stable regime: the threshold C_thresh selects modes whose amplitude is sufficient for the exchange-channel locking to overcome the VK growth rate within a cluster of N_min neighbors.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VK sign, BdG growth rate γ_VK = 3.49|μ|, radial overlap σ(d) with Yukawa decay and angular node structure, separation-dependent z_min(d), helical shear mechanism ω_phase ∝ |m|·σ(d)/d, and the ℓ-hierarchy are derived from the envelope equation and verified by numerical shooting solver across 80–200 sweep points per configuration. The coupled multi-mode stability eigenvalue (proving that z_min neighbors actually stabilize in the full nonlinear dynamics) remains open.</w:t>
      </w:r>
    </w:p>
    <w:bookmarkEnd w:id="48"/>
    <w:bookmarkEnd w:id="49"/>
    <w:bookmarkStart w:id="54" w:name="X942dc8a5b850b6f4c2ad3c2fce96c5e35d4587b"/>
    <w:p>
      <w:pPr>
        <w:pStyle w:val="Heading1"/>
      </w:pPr>
      <w:r>
        <w:rPr>
          <w:bCs/>
          <w:b/>
        </w:rPr>
        <w:t xml:space="preserve">V. Two-Mode Interactions and Selection Rules</w:t>
      </w:r>
    </w:p>
    <w:bookmarkStart w:id="50" w:name="coupled-mode-equations"/>
    <w:p>
      <w:pPr>
        <w:pStyle w:val="Heading2"/>
      </w:pPr>
      <w:r>
        <w:rPr>
          <w:bCs/>
          <w:b/>
        </w:rPr>
        <w:t xml:space="preserve">5.1 Coupled Mode Equations</w:t>
      </w:r>
    </w:p>
    <w:p>
      <w:pPr>
        <w:pStyle w:val="FirstParagraph"/>
      </w:pPr>
      <w:r>
        <w:t xml:space="preserve">Consider two modes A₁ = R₁(r)Yℓ₁m₁ e^(−iμ₁t) and A₂ = R₂(r)Yℓ₂m₂ e^(−iμ₂t). Substituting A = A₁ + A₂ into the cubic nonlinearity |A|²A and expanding yields self-phase modulation terms, direct (cross-coupling) terms, and exchange (four-wave mixing) terms. The temporal structure separates these contributions:</w:t>
      </w:r>
    </w:p>
    <w:p>
      <w:pPr>
        <w:pStyle w:val="BodyText"/>
      </w:pPr>
      <w:r>
        <w:t xml:space="preserve">The </w:t>
      </w:r>
      <w:r>
        <w:rPr>
          <w:bCs/>
          <w:b/>
        </w:rPr>
        <w:t xml:space="preserve">direct</w:t>
      </w:r>
      <w:r>
        <w:t xml:space="preserve"> term |A₁|²A₂ ∝ e^(−iμ₂t) is stationary and acts as an effective potential. The </w:t>
      </w:r>
      <w:r>
        <w:rPr>
          <w:bCs/>
          <w:b/>
        </w:rPr>
        <w:t xml:space="preserve">exchange</w:t>
      </w:r>
      <w:r>
        <w:t xml:space="preserve"> term A₁²A₂* ∝ e^(−i(2μ₁−μ₂)t) oscillates at a combination frequency and drives resonant energy transfer only when 2μ₁ − μ₂ matches an available eigenfrequency.</w:t>
      </w:r>
    </w:p>
    <w:bookmarkEnd w:id="50"/>
    <w:bookmarkStart w:id="51" w:name="three-interaction-channels"/>
    <w:p>
      <w:pPr>
        <w:pStyle w:val="Heading2"/>
      </w:pPr>
      <w:r>
        <w:rPr>
          <w:bCs/>
          <w:b/>
        </w:rPr>
        <w:t xml:space="preserve">5.2 Three Interaction Channels</w:t>
      </w:r>
    </w:p>
    <w:p>
      <w:pPr>
        <w:pStyle w:val="FirstParagraph"/>
      </w:pPr>
      <w:r>
        <w:t xml:space="preserve">Projecting onto a target mode yields three classes of angular coupling integrals:</w:t>
      </w:r>
    </w:p>
    <w:p>
      <w:pPr>
        <w:pStyle w:val="BodyText"/>
      </w:pPr>
      <w:r>
        <w:rPr>
          <w:bCs/>
          <w:b/>
        </w:rPr>
        <w:t xml:space="preserve">Channel I — Direct (cross-coupling):</w:t>
      </w:r>
    </w:p>
    <w:p>
      <w:pPr>
        <w:pStyle w:val="SourceCode"/>
      </w:pPr>
      <w:r>
        <w:rPr>
          <w:rStyle w:val="VerbatimChar"/>
        </w:rPr>
        <w:t xml:space="preserve">β₁₂ = ∫ |Yℓ₁m₁|² |Yℓ₂m₂|² dΩ   (5.1)</w:t>
      </w:r>
    </w:p>
    <w:p>
      <w:pPr>
        <w:pStyle w:val="FirstParagraph"/>
      </w:pPr>
      <w:r>
        <w:t xml:space="preserve">Because the integrand is the product of two positive-definite functions, β₁₂ &gt; 0 for all mode pairs without exception. No angular selection rule blocks the direct channel. Numerically verified: the three-way control experiment (full coupling vs direct-only vs uncoupled) establishes that the direct channel produces exactly zero net energy transfer.</w:t>
      </w:r>
    </w:p>
    <w:p>
      <w:pPr>
        <w:pStyle w:val="BodyText"/>
      </w:pPr>
      <w:r>
        <w:rPr>
          <w:bCs/>
          <w:b/>
        </w:rPr>
        <w:t xml:space="preserve">Channel II — Exchange (four-wave mixing):</w:t>
      </w:r>
    </w:p>
    <w:p>
      <w:pPr>
        <w:pStyle w:val="SourceCode"/>
      </w:pPr>
      <w:r>
        <w:rPr>
          <w:rStyle w:val="VerbatimChar"/>
        </w:rPr>
        <w:t xml:space="preserve">γ′₁₂ = ∫ (Yℓ₁m₁)*² · (Yℓ₂m₂)² dΩ   (5.2)</w:t>
      </w:r>
    </w:p>
    <w:p>
      <w:pPr>
        <w:pStyle w:val="FirstParagraph"/>
      </w:pPr>
      <w:r>
        <w:t xml:space="preserve">The φ-dependence of the integrand is e^(2i(m₂−m₁)φ). Integrating over φ gives zero unless m₁ = m₂. This is the </w:t>
      </w:r>
      <w:r>
        <w:rPr>
          <w:bCs/>
          <w:b/>
        </w:rPr>
        <w:t xml:space="preserve">m-selection rule for resonant energy transfer: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γ′₁₂ = 0 unless m₁ = m₂ (5.3)</w:t>
            </w:r>
          </w:p>
        </w:tc>
      </w:tr>
    </w:tbl>
    <w:p>
      <w:pPr>
        <w:pStyle w:val="BodyText"/>
      </w:pPr>
      <w:r>
        <w:t xml:space="preserve">Numerical verification: all tested cases with m₁ ≠ m₂ give |γ′| &lt; 10⁻¹⁸ (machine zero). The three-way control confirms that the exchange channel is the </w:t>
      </w:r>
      <w:r>
        <w:rPr>
          <w:iCs/>
          <w:i/>
        </w:rPr>
        <w:t xml:space="preserve">sole</w:t>
      </w:r>
      <w:r>
        <w:t xml:space="preserve"> mechanism for inter-mode energy transfer.</w:t>
      </w:r>
    </w:p>
    <w:p>
      <w:pPr>
        <w:pStyle w:val="BodyText"/>
      </w:pPr>
      <w:r>
        <w:rPr>
          <w:bCs/>
          <w:b/>
        </w:rPr>
        <w:t xml:space="preserve">Channel III — Scattering:</w:t>
      </w:r>
    </w:p>
    <w:p>
      <w:pPr>
        <w:pStyle w:val="SourceCode"/>
      </w:pPr>
      <w:r>
        <w:rPr>
          <w:rStyle w:val="VerbatimChar"/>
        </w:rPr>
        <w:t xml:space="preserve">σ₀₀→3 = ∫ Yℓ₃m₃* |Yℓ₁m₁|² Yℓ₂m₂ dΩ   (5.4)</w:t>
      </w:r>
    </w:p>
    <w:p>
      <w:pPr>
        <w:pStyle w:val="FirstParagraph"/>
      </w:pPr>
      <w:r>
        <w:t xml:space="preserve">subject to triangle inequality and parity selection rules.</w:t>
      </w:r>
    </w:p>
    <w:bookmarkEnd w:id="51"/>
    <w:bookmarkStart w:id="52" w:name="derivation-of-a8-helicity-matching"/>
    <w:p>
      <w:pPr>
        <w:pStyle w:val="Heading2"/>
      </w:pPr>
      <w:r>
        <w:rPr>
          <w:bCs/>
          <w:b/>
        </w:rPr>
        <w:t xml:space="preserve">5.3 Derivation of A8 (Helicity Matching)</w:t>
      </w:r>
    </w:p>
    <w:p>
      <w:pPr>
        <w:pStyle w:val="FirstParagraph"/>
      </w:pPr>
      <w:r>
        <w:t>The CGG axiom A8 states: helicity match h_in = m. The exchange channel selection rule (5.3) derives this condition from the envelope equation: resonant energy transfer between two modes requires m₁ = m₂. The “helicity” h of a spherical harmonic mode is its azimuthal quantum number m, and the matching condition h_in = m is the statement that the driving field and the excited mode must carry the same m. This is angular momentum conservation for four-wave mixing, not an independent postulate.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Derived from angular integration of envelope equation. Confirmed by three-way numerical control.</w:t>
      </w:r>
    </w:p>
    <w:bookmarkEnd w:id="52"/>
    <w:bookmarkStart w:id="53" w:name="beat-frequency-and-energy-exchange"/>
    <w:p>
      <w:pPr>
        <w:pStyle w:val="Heading2"/>
      </w:pPr>
      <w:r>
        <w:rPr>
          <w:bCs/>
          <w:b/>
        </w:rPr>
        <w:t xml:space="preserve">5.4 Beat Frequency and Energy Exchange</w:t>
      </w:r>
    </w:p>
    <w:p>
      <w:pPr>
        <w:pStyle w:val="FirstParagraph"/>
      </w:pPr>
      <w:r>
        <w:t xml:space="preserve">The coupled amplitude ODE derived by exact angular projection is solved numerically with a three-way control. Results at g = 2.86, ℓ = 1: beat frequency f ≈ 0.91|Δμ| (9% nonlinear shift from direct-channel eigenvalue renormalization), energy swing 72.4% (fully nonlinear, not perturbative). All results are Tier I with zero free parameters.</w:t>
      </w:r>
    </w:p>
    <w:bookmarkEnd w:id="53"/>
    <w:bookmarkEnd w:id="54"/>
    <w:bookmarkStart w:id="60" w:name="vi.-cascade-frequency-matching-a7"/>
    <w:p>
      <w:pPr>
        <w:pStyle w:val="Heading1"/>
      </w:pPr>
      <w:r>
        <w:rPr>
          <w:bCs/>
          <w:b/>
        </w:rPr>
        <w:t xml:space="preserve">VI. Cascade Frequency Matching (A7)</w:t>
      </w:r>
    </w:p>
    <w:bookmarkStart w:id="55" w:name="statement"/>
    <w:p>
      <w:pPr>
        <w:pStyle w:val="Heading2"/>
      </w:pPr>
      <w:r>
        <w:rPr>
          <w:bCs/>
          <w:b/>
        </w:rPr>
        <w:t xml:space="preserve">6.1 Statement</w:t>
      </w:r>
    </w:p>
    <w:p>
      <w:pPr>
        <w:pStyle w:val="FirstParagraph"/>
      </w:pPr>
      <w:r>
        <w:t xml:space="preserve">The CGG axiom A7 states: ω_in/ω_mode = p/q for rational p/q with stability τ ∝ 1/q² and decay by cascade from high-q to low-q. This section derives the frequency matching condition from the cascaded four-wave mixing structure of the Mexican-hat potential.</w:t>
      </w:r>
    </w:p>
    <w:bookmarkEnd w:id="55"/>
    <w:bookmarkStart w:id="56" w:name="X9df91df18ccae80d8f0249d9e474fdfa91471f7"/>
    <w:p>
      <w:pPr>
        <w:pStyle w:val="Heading2"/>
      </w:pPr>
      <w:r>
        <w:rPr>
          <w:bCs/>
          <w:b/>
        </w:rPr>
        <w:t xml:space="preserve">6.2 Virtual Mode Exchange and the Effective Quintic</w:t>
      </w:r>
    </w:p>
    <w:p>
      <w:pPr>
        <w:pStyle w:val="FirstParagraph"/>
      </w:pPr>
      <w:r>
        <w:t xml:space="preserve">The bare Mexican-hat potential V = (λ/4)(|ψ|² − Ψ₀²)² generates only a cubic nonlinearity in the envelope equation. No quintic or higher-order terms appear at tree level. However, when three or more modes interact through the cubic vertex, the effective projected two-mode equation acquires higher-order terms through virtual intermediate modes.</w:t>
      </w:r>
    </w:p>
    <w:p>
      <w:pPr>
        <w:pStyle w:val="BodyText"/>
      </w:pPr>
      <w:r>
        <w:t xml:space="preserve">The effective quintic coupling is computed from the virtual mode sum:</w:t>
      </w:r>
    </w:p>
    <w:p>
      <w:pPr>
        <w:pStyle w:val="SourceCode"/>
      </w:pPr>
      <w:r>
        <w:rPr>
          <w:rStyle w:val="VerbatimChar"/>
        </w:rPr>
        <w:t xml:space="preserve">η₅_eff = Σ_k (γ′₁k · γ′k₂) / (μ₁ − μk)   (6.1)</w:t>
      </w:r>
    </w:p>
    <w:p>
      <w:pPr>
        <w:pStyle w:val="FirstParagraph"/>
      </w:pPr>
      <w:r>
        <w:t xml:space="preserve">where the sum runs over all virtual intermediate modes k with the same m (by the selection rule 5.3). At g = 2.86, ℓ = 1, the sum yields:</w:t>
      </w:r>
    </w:p>
    <w:p>
      <w:pPr>
        <w:pStyle w:val="SourceCode"/>
      </w:pPr>
      <w:r>
        <w:rPr>
          <w:rStyle w:val="VerbatimChar"/>
        </w:rPr>
        <w:t xml:space="preserve">η₅_eff = 0.0214   (6.2)</w:t>
      </w:r>
    </w:p>
    <w:p>
      <w:pPr>
        <w:pStyle w:val="FirstParagraph"/>
      </w:pPr>
      <w:r>
        <w:t xml:space="preserve">The dominant contribution (83%) comes from a single near-resonant virtual mode at ℓ_k = 1, μ_k ≈ −0.139. This matches the simulator input η₅ = 0.02 to 7%. The septic coefficient η₇ is regulated by pole broadening and brackets the simulator value 0.005.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Effective quintic from virtual mode sum. η₅ = 0.0214 matches simulator to 7%.</w:t>
      </w:r>
    </w:p>
    <w:bookmarkEnd w:id="56"/>
    <w:bookmarkStart w:id="57" w:name="cascade-resonance-spectrum"/>
    <w:p>
      <w:pPr>
        <w:pStyle w:val="Heading2"/>
      </w:pPr>
      <w:r>
        <w:rPr>
          <w:bCs/>
          <w:b/>
        </w:rPr>
        <w:t xml:space="preserve">6.3 Cascade Resonance Spectrum</w:t>
      </w:r>
    </w:p>
    <w:p>
      <w:pPr>
        <w:pStyle w:val="FirstParagraph"/>
      </w:pPr>
      <w:r>
        <w:t xml:space="preserve">Each order of the nonlinearity generates resonances at distinct rational p/q values. The cubic (4-wave mixing) produces one peak near μ₂/μ₁ = 3/4 via subharmonic parametric resonance (Mathieu mechanism). The effective quintic (6-wave) produces new peaks, with the dominant one converging to 2/3 (measured at 0.656, 1.6% from the bare rational). The effective septic (8-wave) produces an additional peak near 5/6.</w:t>
      </w:r>
    </w:p>
    <w:p>
      <w:pPr>
        <w:pStyle w:val="BodyText"/>
      </w:pPr>
      <w:r>
        <w:t xml:space="preserve">Peak amplitude hierarchy: the transfer metric decreases with order (79 → 7.2 → 1.0 → 0.7 at canonical coupling), establishing a natural stability ordering. Higher-order resonances (larger q) have weaker locking strength and shorter lifetimes, consistent with the open derivation target τ ∝ 1/q².</w:t>
      </w:r>
    </w:p>
    <w:bookmarkEnd w:id="57"/>
    <w:bookmarkStart w:id="58" w:name="mexican-hat-sufficiency"/>
    <w:p>
      <w:pPr>
        <w:pStyle w:val="Heading2"/>
      </w:pPr>
      <w:r>
        <w:rPr>
          <w:bCs/>
          <w:b/>
        </w:rPr>
        <w:t xml:space="preserve">6.4 Mexican-Hat Sufficiency</w:t>
      </w:r>
    </w:p>
    <w:p>
      <w:pPr>
        <w:pStyle w:val="FirstParagraph"/>
      </w:pPr>
      <w:r>
        <w:t xml:space="preserve">The cascade mechanism operates entirely within the Mexican-hat potential. No modification, extension, or additional terms are required. The quintic and septic effective couplings arise from virtual mode exchange through the bare cubic vertex, not from a modified potential. This is a zero-parameter derivation of A7 from the action.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A7 mechanism derived. Peak positions and amplitudes confirmed by three independent simulators.</w:t>
      </w:r>
    </w:p>
    <w:bookmarkEnd w:id="58"/>
    <w:bookmarkStart w:id="59" w:name="open-stability-scaling-τ-1q²"/>
    <w:p>
      <w:pPr>
        <w:pStyle w:val="Heading2"/>
      </w:pPr>
      <w:r>
        <w:rPr>
          <w:bCs/>
          <w:b/>
        </w:rPr>
        <w:t xml:space="preserve">6.5 Stability Scaling: τ_q ∝ R^(q−2)</w:t>
      </w:r>
    </w:p>
    <w:p>
      <w:pPr>
        <w:pStyle w:val="FirstParagraph"/>
      </w:pPr>
      <w:r>
        <w:t xml:space="preserve">The effective transfer amplitude at the n-th cascade order scales geometrically: |T_n| = |T_1| · R^(n−1), where R = |(1−g) · α_ℓm · σ_rad| / √(Δ²_min + Γ²) ≈ 0.24 from the pole structure of the virtual mode sum (§6.2). The locking strength at rational p/q with q = n+1 is proportional to |T_n|, and the lifetime of a mode locked at this resonance is proportional to the resonance island depth, which scales as the same power. The resulting stability scaling is:</w:t>
      </w:r>
    </w:p>
    <w:p>
      <w:pPr>
        <w:pStyle w:val="SourceCode"/>
      </w:pPr>
      <w:r>
        <w:rPr>
          <w:rStyle w:val="VerbatimChar"/>
        </w:rPr>
        <w:t xml:space="preserve">τ_q ∝ R^(q−2),   R ≈ 0.24   (6.3)</w:t>
      </w:r>
    </w:p>
    <w:p>
      <w:pPr>
        <w:pStyle w:val="BodyText"/>
      </w:pPr>
      <w:r>
        <w:t xml:space="preserve">This is geometric (exponential in q), not polynomial. The earlier hypothesis τ ∝ 1/q² is an approximate fit valid over q ∈ {2,3,4} and is demoted to Tier III. The geometric scaling is steeper: τ₃/τ₂ = 0.24, τ₄/τ₂ = 0.058, τ₅/τ₂ = 0.014. Higher-order resonances are more fragile than a power law would predict. The proportionality constant τ₂ (lifetime at the bare cubic resonance) depends on the fluctuation energy of the locked oscillator and is not derived here.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Geometric scaling τ_q ∝ R^(q−2) derived from cascade transfer amplitudes. R = 0.24 from pole structure with zero free parameters. The old hypothesis τ ∝ 1/q² is demoted to Tier III (approximate phenomenological fit).</w:t>
      </w:r>
    </w:p>
    <w:bookmarkEnd w:id="59"/>
    <w:bookmarkEnd w:id="60"/>
    <w:bookmarkStart w:id="68" w:name="vii.-coarse-grained-density-bridge"/>
    <w:p>
      <w:pPr>
        <w:pStyle w:val="Heading1"/>
      </w:pPr>
      <w:r>
        <w:rPr>
          <w:bCs/>
          <w:b/>
        </w:rPr>
        <w:t xml:space="preserve">VII. Coarse-Grained Density Bridge</w:t>
      </w:r>
    </w:p>
    <w:p>
      <w:pPr>
        <w:pStyle w:val="FirstParagraph"/>
      </w:pPr>
      <w:r>
        <w:t xml:space="preserve">The macroscopic sectors of this paper (§VIII–IX) treat the matter density ρ appearing in the Coherence Gradient Law ∇²(δC) = −κρ as an externally specified source. The microscopic sectors (§IV–VI) derive self-trapped bound states whose gravitational density is sourced by the envelope gradient |∇A|². This section connects the two: the macroscopic ρ is the coarse-grained projection of microscopic gradient-sourced contributions summed over all self-trapped modes at a given location.</w:t>
      </w:r>
    </w:p>
    <w:bookmarkStart w:id="61" w:name="multi-mode-superposition"/>
    <w:p>
      <w:pPr>
        <w:pStyle w:val="Heading2"/>
      </w:pPr>
      <w:r>
        <w:rPr>
          <w:bCs/>
          <w:b/>
        </w:rPr>
        <w:t xml:space="preserve">7.1 Multi-Mode Superposition</w:t>
      </w:r>
    </w:p>
    <w:p>
      <w:pPr>
        <w:pStyle w:val="FirstParagraph"/>
      </w:pPr>
      <w:r>
        <w:t xml:space="preserve">Consider a collection of N self-trapped modes, each of the form derived in §IV:</w:t>
      </w:r>
    </w:p>
    <w:p>
      <w:pPr>
        <w:pStyle w:val="SourceCode"/>
      </w:pPr>
      <w:r>
        <w:rPr>
          <w:rStyle w:val="VerbatimChar"/>
        </w:rPr>
        <w:t xml:space="preserve">A_total(x,t) = Σ_n a_n(x) e^(−iμ_n t)   (7.1)</w:t>
      </w:r>
    </w:p>
    <w:p>
      <w:pPr>
        <w:pStyle w:val="FirstParagraph"/>
      </w:pPr>
      <w:r>
        <w:t xml:space="preserve">where a_n(x) = A₀ⁿ R_n(r) Y_{ℓ_n m_n}(θ,φ) is the spatial profile of mode n, and μ_n is the envelope eigenfrequency from the soliton family (§4.5). The microscopic gravitational density at a point x is, by the density law (1.2):</w:t>
      </w:r>
    </w:p>
    <w:p>
      <w:pPr>
        <w:pStyle w:val="SourceCode"/>
      </w:pPr>
      <w:r>
        <w:rPr>
          <w:rStyle w:val="VerbatimChar"/>
        </w:rPr>
        <w:t xml:space="preserve">ρ_mic(x,t) = ρ* |∇A_total|² H(|A_total|² − C_thresh)   (7.2)</w:t>
      </w:r>
    </w:p>
    <w:bookmarkEnd w:id="61"/>
    <w:bookmarkStart w:id="62" w:name="determination-of-ρ"/>
    <w:p>
      <w:pPr>
        <w:pStyle w:val="Heading2"/>
      </w:pPr>
      <w:r>
        <w:rPr>
          <w:bCs/>
          <w:b/>
        </w:rPr>
        <w:t xml:space="preserve">7.2 Determination of ρ</w:t>
      </w:r>
      <w:r>
        <w:t xml:space="preserve">*</w:t>
      </w:r>
    </w:p>
    <w:p>
      <w:pPr>
        <w:pStyle w:val="FirstParagraph"/>
      </w:pPr>
      <w:r>
        <w:t xml:space="preserve">The normalization constant ρ* is derived from the scalar stress-energy tensor (9.1). Under the SVEA with static envelope, the 00-component of T^(ψ)_μν decomposes as:</w:t>
      </w:r>
    </w:p>
    <w:p>
      <w:pPr>
        <w:pStyle w:val="SourceCode"/>
      </w:pPr>
      <w:r>
        <w:rPr>
          <w:rStyle w:val="VerbatimChar"/>
        </w:rPr>
        <w:t xml:space="preserve">T^(ψ)_00 = ω₀²|A|²/c² + |∇A|² + 2V(|A|²)   (7.3)</w:t>
      </w:r>
    </w:p>
    <w:p>
      <w:pPr>
        <w:pStyle w:val="FirstParagraph"/>
      </w:pPr>
      <w:r>
        <w:t xml:space="preserve">The first term is the spatially uniform vacuum carrier energy (constant background, does not source δC). The potential term V = (λ/4)(|A|² − Ψ₀²)² vanishes in vacuum and is second-order in δC near the vacuum. The gradient piece |∇A|² is the leading perturbation that sources the coherence density variation. Converting to mass density:</w:t>
      </w:r>
    </w:p>
    <w:p>
      <w:pPr>
        <w:pStyle w:val="SourceCode"/>
      </w:pPr>
      <w:r>
        <w:rPr>
          <w:rStyle w:val="VerbatimChar"/>
        </w:rPr>
        <w:t xml:space="preserve">ρ* = 1/c²   (7.4)</w:t>
      </w:r>
    </w:p>
    <w:p>
      <w:pPr>
        <w:pStyle w:val="FirstParagraph"/>
      </w:pPr>
      <w:r>
        <w:rPr>
          <w:bCs/>
          <w:b/>
        </w:rPr>
        <w:t xml:space="preserve">[Tier I]</w:t>
      </w:r>
      <w:r>
        <w:t xml:space="preserve"> </w:t>
      </w:r>
      <w:r>
        <w:rPr>
          <w:iCs/>
          <w:i/>
        </w:rPr>
        <w:t xml:space="preserve">Derived from the scalar stress-energy tensor under SVEA.</w:t>
      </w:r>
    </w:p>
    <w:bookmarkEnd w:id="62"/>
    <w:bookmarkStart w:id="63" w:name="gradient-expansion"/>
    <w:p>
      <w:pPr>
        <w:pStyle w:val="Heading2"/>
      </w:pPr>
      <w:r>
        <w:rPr>
          <w:bCs/>
          <w:b/>
        </w:rPr>
        <w:t xml:space="preserve">7.3 Gradient Expansion</w:t>
      </w:r>
    </w:p>
    <w:p>
      <w:pPr>
        <w:pStyle w:val="FirstParagraph"/>
      </w:pPr>
      <w:r>
        <w:t xml:space="preserve">Expanding |∇A_total|²:</w:t>
      </w:r>
    </w:p>
    <w:p>
      <w:pPr>
        <w:pStyle w:val="SourceCode"/>
      </w:pPr>
      <w:r>
        <w:rPr>
          <w:rStyle w:val="VerbatimChar"/>
        </w:rPr>
        <w:t xml:space="preserve">|∇A_total|² = |∇(Σ_n a_n e^(−iμ_n t))|²</w:t>
      </w:r>
      <w:r>
        <w:br/>
      </w:r>
      <w:r>
        <w:rPr>
          <w:rStyle w:val="VerbatimChar"/>
        </w:rPr>
        <w:t xml:space="preserve">           = Σ_n |∇a_n|² + Σ_{n≠m} (∇a_n · ∇a*_m) e^(−i(μ_n−μ_m)t)   (7.5)</w:t>
      </w:r>
    </w:p>
    <w:p>
      <w:pPr>
        <w:pStyle w:val="FirstParagraph"/>
      </w:pPr>
      <w:r>
        <w:t xml:space="preserve">The first sum contains the self-terms (always positive, no time dependence). The second sum contains the cross-terms, which oscillate at the difference frequencies (μ_n − μ_m).</w:t>
      </w:r>
    </w:p>
    <w:bookmarkEnd w:id="63"/>
    <w:bookmarkStart w:id="64" w:name="coarse-graining"/>
    <w:p>
      <w:pPr>
        <w:pStyle w:val="Heading2"/>
      </w:pPr>
      <w:r>
        <w:rPr>
          <w:bCs/>
          <w:b/>
        </w:rPr>
        <w:t xml:space="preserve">7.4 Coarse-Graining</w:t>
      </w:r>
    </w:p>
    <w:p>
      <w:pPr>
        <w:pStyle w:val="FirstParagraph"/>
      </w:pPr>
      <w:r>
        <w:t xml:space="preserve">Average ρ_mic over a spacetime cell (𝒱, τ) satisfying: (i) τ ≫ 1/|μ_n − μ_m| for all incoherent mode pairs; (ii) 𝒱 ≫ (individual mode volume) but 𝒱 ≪ (macroscopic scale). Under this averaging, the cross-terms split into two regimes.</w:t>
      </w:r>
    </w:p>
    <w:p>
      <w:pPr>
        <w:pStyle w:val="BodyText"/>
      </w:pPr>
      <w:r>
        <w:rPr>
          <w:bCs/>
          <w:b/>
        </w:rPr>
        <w:t xml:space="preserve">Regime A (incoherent modes).</w:t>
      </w:r>
      <w:r>
        <w:t xml:space="preserve"> If |μ_n − μ_m|τ ≫ 1, the oscillating exponential averages to zero:</w:t>
      </w:r>
    </w:p>
    <w:p>
      <w:pPr>
        <w:pStyle w:val="SourceCode"/>
      </w:pPr>
      <w:r>
        <w:rPr>
          <w:rStyle w:val="VerbatimChar"/>
        </w:rPr>
        <w:t xml:space="preserve">⟨(∇a_n · ∇a*_m) e^(−i(μ_n−μ_m)t)⟩_τ → 0   (7.6)</w:t>
      </w:r>
    </w:p>
    <w:p>
      <w:pPr>
        <w:pStyle w:val="FirstParagraph"/>
      </w:pPr>
      <w:r>
        <w:rPr>
          <w:bCs/>
          <w:b/>
        </w:rPr>
        <w:t xml:space="preserve">Regime B (phase-locked modes).</w:t>
      </w:r>
      <w:r>
        <w:t xml:space="preserve"> If a subset L of modes satisfies μ_n = μ_m for all n,m ∈ L (degenerate eigenfrequencies or exact resonant locking), the cross-terms have stationary phase and survive the average:</w:t>
      </w:r>
    </w:p>
    <w:p>
      <w:pPr>
        <w:pStyle w:val="SourceCode"/>
      </w:pPr>
      <w:r>
        <w:rPr>
          <w:rStyle w:val="VerbatimChar"/>
        </w:rPr>
        <w:t xml:space="preserve">ρ_coh(x) = (1/c²) Σ_{n≠m∈L} Re(∇a_n · ∇a*_m × e^{i(φ_n−φ_m)}) H_L   (7.7)</w:t>
      </w:r>
    </w:p>
    <w:p>
      <w:pPr>
        <w:pStyle w:val="FirstParagraph"/>
      </w:pPr>
      <w:r>
        <w:t xml:space="preserve">where H_L enforces the threshold on the locked-subset amplitude.</w:t>
      </w:r>
    </w:p>
    <w:bookmarkEnd w:id="64"/>
    <w:bookmarkStart w:id="65" w:name="the-density-bridge-equation"/>
    <w:p>
      <w:pPr>
        <w:pStyle w:val="Heading2"/>
      </w:pPr>
      <w:r>
        <w:rPr>
          <w:bCs/>
          <w:b/>
        </w:rPr>
        <w:t xml:space="preserve">7.5 The Density Bridge Equation</w:t>
      </w:r>
    </w:p>
    <w:p>
      <w:pPr>
        <w:pStyle w:val="FirstParagraph"/>
      </w:pPr>
      <w:r>
        <w:t xml:space="preserve">Combining both regimes: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**ρ_eff(x) = (1/c²) Σ_n</w:t>
            </w:r>
          </w:p>
        </w:tc>
      </w:tr>
    </w:tbl>
    <w:p>
      <w:pPr>
        <w:pStyle w:val="BodyText"/>
      </w:pPr>
      <w:r>
        <w:t xml:space="preserve">where Θ_n = H(|a_n|² − C_thresh). The first term is the incoherent sum of individual mode gradient densities — this is ordinary additive matter density. The second term is the cooperative coherence reinforcement from phase-locked mode subsets.</w:t>
      </w:r>
    </w:p>
    <w:p>
      <w:pPr>
        <w:pStyle w:val="BodyText"/>
      </w:pPr>
      <w:r>
        <w:t xml:space="preserve">The macroscopic Coherence Gradient Law (9.2) is then:</w:t>
      </w:r>
    </w:p>
    <w:p>
      <w:pPr>
        <w:pStyle w:val="SourceCode"/>
      </w:pPr>
      <w:r>
        <w:rPr>
          <w:rStyle w:val="VerbatimChar"/>
        </w:rPr>
        <w:t xml:space="preserve">∇²(δC) = −κ ρ_eff(x),   κ = 4πG/c²   (7.9)</w:t>
      </w:r>
    </w:p>
    <w:p>
      <w:pPr>
        <w:pStyle w:val="FirstParagraph"/>
      </w:pPr>
      <w:r>
        <w:t xml:space="preserve">where ρ_eff is no longer externally specified but derived from the microscopic mode content.</w:t>
      </w:r>
    </w:p>
    <w:bookmarkEnd w:id="65"/>
    <w:bookmarkStart w:id="66" w:name="consistency-checks"/>
    <w:p>
      <w:pPr>
        <w:pStyle w:val="Heading2"/>
      </w:pPr>
      <w:r>
        <w:rPr>
          <w:bCs/>
          <w:b/>
        </w:rPr>
        <w:t xml:space="preserve">7.6 Consistency Checks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Single-mode limit.</w:t>
      </w:r>
      <w:r>
        <w:t xml:space="preserve"> For N = 1, ρ_coh = 0 and ρ_eff = (1/c²)|∇a₁|² Θ₁, recovering the density law (1.2) with ρ* = 1/c².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GR limit.</w:t>
      </w:r>
      <w:r>
        <w:t xml:space="preserve"> As the number of modes becomes large and incoherent, ρ_eff → (1/c²) Σ_n |∇a_n|² Θ_n. No cooperative terms survive. This is the regime where CGG reduces to GR with standard matter sourcing.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Vacuum limit.</w:t>
      </w:r>
      <w:r>
        <w:t xml:space="preserve"> For N = 0, ρ_eff = 0 and ∇²(δC) = 0, giving δC = 0 (Minkowski).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Phase randomization.</w:t>
      </w:r>
      <w:r>
        <w:t xml:space="preserve"> If all modes are incoherent (|μ_n − μ_m|τ ≫ 1 for all n ≠ m), ρ_coh = 0 identically, recovering purely additive density.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Dimensional.</w:t>
      </w:r>
      <w:r>
        <w:t xml:space="preserve"> ρ* = 1/c² has dimensions [time²/length²]. |∇a_n|² has dimensions [energy/length⁴] in the convention where ψ has dimensions [energy</w:t>
      </w:r>
      <w:r>
        <w:rPr>
          <w:vertAlign w:val="superscript"/>
        </w:rPr>
        <w:t xml:space="preserve">(1/2)/length</w:t>
      </w:r>
      <w:r>
        <w:t xml:space="preserve">(3/2)]. Combined: [mass/length³]. ✓</w:t>
      </w:r>
    </w:p>
    <w:bookmarkEnd w:id="66"/>
    <w:bookmarkStart w:id="67" w:name="derivation-status-and-scope"/>
    <w:p>
      <w:pPr>
        <w:pStyle w:val="Heading2"/>
      </w:pPr>
      <w:r>
        <w:rPr>
          <w:bCs/>
          <w:b/>
        </w:rPr>
        <w:t xml:space="preserve">7.7 Derivation Status and Scope</w:t>
      </w:r>
    </w:p>
    <w:p>
      <w:pPr>
        <w:pStyle w:val="FirstParagraph"/>
      </w:pPr>
      <w:r>
        <w:t xml:space="preserve">The density bridge equation (7.8) is derived from the envelope equation (3.4), the density law (1.2), the stress-energy tensor (9.1), and temporal coarse-graining. No new postulates or free parameters are introduced. The normalization ρ* = 1/c² is action-derived.</w:t>
      </w:r>
    </w:p>
    <w:p>
      <w:pPr>
        <w:pStyle w:val="BodyText"/>
      </w:pPr>
      <w:r>
        <w:rPr>
          <w:bCs/>
          <w:b/>
        </w:rPr>
        <w:t xml:space="preserve">[Tier I]</w:t>
      </w:r>
      <w:r>
        <w:t xml:space="preserve"> </w:t>
      </w:r>
      <w:r>
        <w:rPr>
          <w:iCs/>
          <w:i/>
        </w:rPr>
        <w:t xml:space="preserve">Density bridge equation and normalization derived. Incoherent/locked regime separation is kinematic.</w:t>
      </w:r>
    </w:p>
    <w:p>
      <w:pPr>
        <w:pStyle w:val="BodyText"/>
      </w:pPr>
      <w:r>
        <w:t xml:space="preserve">Open items not addressed by this section: (a) The running exponent α in L₀(ρ_m) ∝ ρ_m^(−α) (§11.1): the mechanism is derived. The effective scalar mass in a matter background is m²_eff = m²_s + 2g_m ρ_m, giving L₀ = (m²_s + 2g_m ρ_m)^(−1/2). The power-law form is a local approximation with α → 0 (dilute) and α → 1/2 (dense). The fitted value α = 0.11 constrains 2g_m ρ_*/m²_s ≈ 0.124. Mode occupation statistics could further sharpen this; that derivation remains open. (b) The mode census — which modes a_n are actually present at a given location — is not determined by the bridge equation. A solution would require one of: (i) thermal Bose–Einstein statistics applied to the soliton family spectrum, (ii) a thermodynamic equilibrium argument tied to the ambient coherence field temperature, or (iii) a novel statistical framework specific to the self-trapped mode landscape. The density bridge provides the container; the mode census fills it. This remains the primary open problem in the microscopic-to-macroscopic connection. (c) The threshold ambiguity is bounded: the mode-by-mode prescription H(|a_n|²) and the total-field prescription H(|A_total|²) agree when individual modes are well above or well below C_thresh. The marginal fraction scales as ΔN/N ~ σ_a/C_thresh. The mode-by-mode application is adopted as canonical, consistent with the self-trapped particle interpretation. (d) The coherence reinforcement term ρ_coh depends on the relative phases φ_n − φ_m of locked modes. In a disordered arrangement, ρ_coh averages to zero over spatial cells (random phase approximation). It contributes only in spatially ordered configurations (e.g., nuclear-scale composites where modes are phase-locked).</w:t>
      </w:r>
    </w:p>
    <w:bookmarkEnd w:id="67"/>
    <w:bookmarkEnd w:id="68"/>
    <w:bookmarkStart w:id="76" w:name="X5392b1cdac617d490da40214159fe4707e5bea1"/>
    <w:p>
      <w:pPr>
        <w:pStyle w:val="Heading1"/>
      </w:pPr>
      <w:r>
        <w:rPr>
          <w:bCs/>
          <w:b/>
        </w:rPr>
        <w:t xml:space="preserve">VIII. Weak-Field Limit and Post-Newtonian Recovery</w:t>
      </w:r>
    </w:p>
    <w:bookmarkStart w:id="69" w:name="scalar-stress-energy-tensor"/>
    <w:p>
      <w:pPr>
        <w:pStyle w:val="Heading2"/>
      </w:pPr>
      <w:r>
        <w:rPr>
          <w:bCs/>
          <w:b/>
        </w:rPr>
        <w:t xml:space="preserve">8.1 Scalar Stress-Energy Tensor</w:t>
      </w:r>
    </w:p>
    <w:p>
      <w:pPr>
        <w:pStyle w:val="FirstParagraph"/>
      </w:pPr>
      <w:r>
        <w:t xml:space="preserve">The scalar stress-energy tensor from variation δS/δg^{μν} = 0 is:</w:t>
      </w:r>
    </w:p>
    <w:p>
      <w:pPr>
        <w:pStyle w:val="SourceCode"/>
      </w:pPr>
      <w:r>
        <w:rPr>
          <w:rStyle w:val="VerbatimChar"/>
        </w:rPr>
        <w:t xml:space="preserve">T^(ψ)_μν = ∂_μψ* ∂_νψ + ∂_νψ* ∂_μψ − g_μν [ g^αβ ∂_αψ* ∂_βψ + 2V(|ψ|²) ]   (8.1)</w:t>
      </w:r>
    </w:p>
    <w:p>
      <w:pPr>
        <w:pStyle w:val="FirstParagraph"/>
      </w:pPr>
      <w:r>
        <w:t xml:space="preserve">In the static envelope limit, write ψ(x,t) = Ψ(x) e^(−iω₀t), C(x) = Ψ²(x) = Ψ₀² + δC(x), |δC| ≪ Ψ₀². Under SVEA with static sources and L ≫ λ_c: T^(ψ)_ij/T^(ψ)_00 = δ_ij exactly at leading SVEA order. That stress-energy isotropy is the origin of γ_PPN = 1.</w:t>
      </w:r>
    </w:p>
    <w:bookmarkEnd w:id="69"/>
    <w:bookmarkStart w:id="70" w:name="coarse-grained-weak-field-equation"/>
    <w:p>
      <w:pPr>
        <w:pStyle w:val="Heading2"/>
      </w:pPr>
      <w:r>
        <w:rPr>
          <w:bCs/>
          <w:b/>
        </w:rPr>
        <w:t xml:space="preserve">8.2 Coarse-Grained Weak-Field Equation</w:t>
      </w:r>
    </w:p>
    <w:p>
      <w:pPr>
        <w:pStyle w:val="FirstParagraph"/>
      </w:pPr>
      <w:r>
        <w:t xml:space="preserve">Under the SVEA, static sources, and L ≫ λ_c, the field equation reduces to: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∇²(δC) = −κρ, κ = 4πG/c² (8.2)</w:t>
            </w:r>
          </w:p>
        </w:tc>
      </w:tr>
    </w:tbl>
    <w:p>
      <w:pPr>
        <w:pStyle w:val="BodyText"/>
      </w:pPr>
      <w:r>
        <w:t xml:space="preserve">For a point mass M:</w:t>
      </w:r>
    </w:p>
    <w:p>
      <w:pPr>
        <w:pStyle w:val="SourceCode"/>
      </w:pPr>
      <w:r>
        <w:rPr>
          <w:rStyle w:val="VerbatimChar"/>
        </w:rPr>
        <w:t xml:space="preserve">δC(r) = GM / (c²r)   (8.3)</w:t>
      </w:r>
    </w:p>
    <w:bookmarkEnd w:id="70"/>
    <w:bookmarkStart w:id="71" w:name="metric-identification"/>
    <w:p>
      <w:pPr>
        <w:pStyle w:val="Heading2"/>
      </w:pPr>
      <w:r>
        <w:rPr>
          <w:bCs/>
          <w:b/>
        </w:rPr>
        <w:t xml:space="preserve">8.3 Metric Identification</w:t>
      </w:r>
    </w:p>
    <w:p>
      <w:pPr>
        <w:pStyle w:val="FirstParagraph"/>
      </w:pPr>
      <w:r>
        <w:t xml:space="preserve">The linearised Einstein equation with scalar stress-energy as source:</w:t>
      </w:r>
    </w:p>
    <w:p>
      <w:pPr>
        <w:pStyle w:val="SourceCode"/>
      </w:pPr>
      <w:r>
        <w:rPr>
          <w:rStyle w:val="VerbatimChar"/>
        </w:rPr>
        <w:t xml:space="preserve">□ h̄_μν = −(16πG/c⁴) T^(ψ)_μν   (8.4)</w:t>
      </w:r>
    </w:p>
    <w:p>
      <w:pPr>
        <w:pStyle w:val="FirstParagraph"/>
      </w:pPr>
      <w:r>
        <w:t xml:space="preserve">yields, using T^(ψ)_ij = δ_ij T^(ψ)_00:</w:t>
      </w:r>
    </w:p>
    <w:p>
      <w:pPr>
        <w:pStyle w:val="SourceCode"/>
      </w:pPr>
      <w:r>
        <w:rPr>
          <w:rStyle w:val="VerbatimChar"/>
        </w:rPr>
        <w:t xml:space="preserve">h₀₀ = 2δC,  h_ij = 2δCδ_ij   (8.5)</w:t>
      </w:r>
    </w:p>
    <w:p>
      <w:pPr>
        <w:pStyle w:val="FirstParagraph"/>
      </w:pPr>
      <w:r>
        <w:t xml:space="preserve">whence</w:t>
      </w:r>
    </w:p>
    <w:p>
      <w:pPr>
        <w:pStyle w:val="SourceCode"/>
      </w:pPr>
      <w:r>
        <w:rPr>
          <w:rStyle w:val="VerbatimChar"/>
        </w:rPr>
        <w:t xml:space="preserve">γ_PPN = h_ij/(δ_ij h₀₀) = 1    [exact at leading SVEA order]   (8.6)</w:t>
      </w:r>
    </w:p>
    <w:bookmarkEnd w:id="71"/>
    <w:bookmarkStart w:id="72" w:name="explicit-newtonian-closure"/>
    <w:p>
      <w:pPr>
        <w:pStyle w:val="Heading2"/>
      </w:pPr>
      <w:r>
        <w:rPr>
          <w:bCs/>
          <w:b/>
        </w:rPr>
        <w:t xml:space="preserve">8.4 Explicit Newtonian Closure</w:t>
      </w:r>
    </w:p>
    <w:p>
      <w:pPr>
        <w:pStyle w:val="FirstParagraph"/>
      </w:pPr>
      <w:r>
        <w:t xml:space="preserve">Define the Newtonian potential:</w:t>
      </w:r>
    </w:p>
    <w:p>
      <w:pPr>
        <w:pStyle w:val="SourceCode"/>
      </w:pPr>
      <w:r>
        <w:rPr>
          <w:rStyle w:val="VerbatimChar"/>
        </w:rPr>
        <w:t xml:space="preserve">Φ_N ≡ −c² δC   (8.7)</w:t>
      </w:r>
    </w:p>
    <w:p>
      <w:pPr>
        <w:pStyle w:val="FirstParagraph"/>
      </w:pPr>
      <w:r>
        <w:t xml:space="preserve">Then from (8.2):</w:t>
      </w:r>
    </w:p>
    <w:p>
      <w:pPr>
        <w:pStyle w:val="SourceCode"/>
      </w:pPr>
      <w:r>
        <w:rPr>
          <w:rStyle w:val="VerbatimChar"/>
        </w:rPr>
        <w:t xml:space="preserve">∇²Φ_N = −c² ∇²(δC) = −c²(−κρ) = 4πGρ   (8.8)</w:t>
      </w:r>
    </w:p>
    <w:p>
      <w:pPr>
        <w:pStyle w:val="FirstParagraph"/>
      </w:pPr>
      <w:r>
        <w:t xml:space="preserve">The ordinary Poisson equation is recovered exactly. For δC = GM/(c²r):</w:t>
      </w:r>
    </w:p>
    <w:p>
      <w:pPr>
        <w:pStyle w:val="SourceCode"/>
      </w:pPr>
      <w:r>
        <w:rPr>
          <w:rStyle w:val="VerbatimChar"/>
        </w:rPr>
        <w:t xml:space="preserve">a = −∇Φ_N = −(GM/r²) r̂   (8.9)</w:t>
      </w:r>
    </w:p>
    <w:p>
      <w:pPr>
        <w:pStyle w:val="FirstParagraph"/>
      </w:pPr>
      <w:r>
        <w:rPr>
          <w:bCs/>
          <w:b/>
        </w:rPr>
        <w:t xml:space="preserve">[Tier I] </w:t>
      </w:r>
      <w:r>
        <w:rPr>
          <w:iCs/>
          <w:i/>
        </w:rPr>
        <w:t xml:space="preserve">Action-derived. Newtonian gravity recovered exactly.</w:t>
      </w:r>
    </w:p>
    <w:bookmarkEnd w:id="72"/>
    <w:bookmarkStart w:id="73" w:name="linearized-line-element"/>
    <w:p>
      <w:pPr>
        <w:pStyle w:val="Heading2"/>
      </w:pPr>
      <w:r>
        <w:rPr>
          <w:bCs/>
          <w:b/>
        </w:rPr>
        <w:t xml:space="preserve">8.5 Linearized Line Element</w:t>
      </w:r>
    </w:p>
    <w:p>
      <w:pPr>
        <w:pStyle w:val="SourceCode"/>
      </w:pPr>
      <w:r>
        <w:rPr>
          <w:rStyle w:val="VerbatimChar"/>
        </w:rPr>
        <w:t xml:space="preserve">ds² = −(1 − 2δC)c²dt² + (1 + 2δC)(dx² + dy² + dz²)   (7.10)</w:t>
      </w:r>
    </w:p>
    <w:p>
      <w:pPr>
        <w:pStyle w:val="FirstParagraph"/>
      </w:pPr>
      <w:r>
        <w:t xml:space="preserve">the standard PPN metric with γ = 1.</w:t>
      </w:r>
    </w:p>
    <w:bookmarkEnd w:id="73"/>
    <w:bookmarkStart w:id="74" w:name="ppn-parameters"/>
    <w:p>
      <w:pPr>
        <w:pStyle w:val="Heading2"/>
      </w:pPr>
      <w:r>
        <w:rPr>
          <w:bCs/>
          <w:b/>
        </w:rPr>
        <w:t xml:space="preserve">8.6 PPN Parameters</w:t>
      </w:r>
    </w:p>
    <w:p>
      <w:pPr>
        <w:pStyle w:val="SourceCode"/>
      </w:pPr>
      <w:r>
        <w:rPr>
          <w:rStyle w:val="VerbatimChar"/>
        </w:rPr>
        <w:t xml:space="preserve">γ_PPN = 1    [derived]   (7.11)</w:t>
      </w:r>
      <w:r>
        <w:br/>
        <w:br/>
      </w:r>
      <w:r>
        <w:rPr>
          <w:rStyle w:val="VerbatimChar"/>
        </w:rPr>
        <w:t xml:space="preserve">β_PPN = 1 + O(λ(δC)²),  |β_PPN − 1| &lt; 10⁻²⁰ in solar system   (7.12)</w:t>
      </w:r>
    </w:p>
    <w:bookmarkEnd w:id="74"/>
    <w:bookmarkStart w:id="75" w:name="solar-system-tests"/>
    <w:p>
      <w:pPr>
        <w:pStyle w:val="Heading2"/>
      </w:pPr>
      <w:r>
        <w:rPr>
          <w:bCs/>
          <w:b/>
        </w:rPr>
        <w:t xml:space="preserve">8.7 Solar-System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 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CGG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deflection (solar)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1.7506″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(γ=1, 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Shapiro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γ−1=(2.1±2.3)×10⁻⁵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γ−1 &lt; 10⁻²⁰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Perihelion precession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43.0″/cy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(γ=β=1)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LLR β_PPN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│β−1│ &lt; 1.1×10⁻⁴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β−1 ~ 10⁻²⁰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2. Solar-system tests.</w:t>
      </w:r>
      <w:r>
        <w:t xml:space="preserve"> All predictions follow from the derived metric and the universal coupling postulate of §2.3.</w:t>
      </w:r>
    </w:p>
    <w:bookmarkEnd w:id="75"/>
    <w:bookmarkEnd w:id="76"/>
    <w:bookmarkStart w:id="82" w:name="X64b872e3101b34606637438f4615b0b176e5002"/>
    <w:p>
      <w:pPr>
        <w:pStyle w:val="Heading1"/>
      </w:pPr>
      <w:r>
        <w:rPr>
          <w:bCs/>
          <w:b/>
        </w:rPr>
        <w:t xml:space="preserve">IX. Compact Object Solutions (Smooth Branch)</w:t>
      </w:r>
    </w:p>
    <w:p>
      <w:pPr>
        <w:pStyle w:val="FirstParagraph"/>
      </w:pPr>
      <w:r>
        <w:t xml:space="preserve">The compact-object sector is the nonlinear continuation of the same scalar amplitude C = |ψ|². No new dynamical field content is introduced.</w:t>
      </w:r>
    </w:p>
    <w:bookmarkStart w:id="77" w:name="smooth-branch-architecture"/>
    <w:p>
      <w:pPr>
        <w:pStyle w:val="Heading2"/>
      </w:pPr>
      <w:r>
        <w:rPr>
          <w:bCs/>
          <w:b/>
        </w:rPr>
        <w:t xml:space="preserve">9.1 Smooth-Branch Architecture</w:t>
      </w:r>
    </w:p>
    <w:p>
      <w:pPr>
        <w:pStyle w:val="FirstParagraph"/>
      </w:pPr>
      <w:r>
        <w:t xml:space="preserve">For a compact object with Schwarzschild radius r_s, the static envelope equation in Schwarzschild coordinates [f(r) = 1 − r_s/r]:</w:t>
      </w:r>
    </w:p>
    <w:p>
      <w:pPr>
        <w:pStyle w:val="SourceCode"/>
      </w:pPr>
      <w:r>
        <w:rPr>
          <w:rStyle w:val="VerbatimChar"/>
        </w:rPr>
        <w:t xml:space="preserve">(1/r²) d/dr[r² f(r) Ψ′(r)] − V′(Ψ) + g_m ρ Ψ = 0   (9.1)</w:t>
      </w:r>
    </w:p>
    <w:p>
      <w:pPr>
        <w:pStyle w:val="FirstParagraph"/>
      </w:pPr>
      <w:r>
        <w:t xml:space="preserve">Near-horizon regularity at r = r_s, with f ≈ (r−r_s)/r_s:</w:t>
      </w:r>
    </w:p>
    <w:p>
      <w:pPr>
        <w:pStyle w:val="SourceCode"/>
      </w:pPr>
      <w:r>
        <w:rPr>
          <w:rStyle w:val="VerbatimChar"/>
        </w:rPr>
        <w:t xml:space="preserve">Ψ′(r_s) = r_s V′(Ψ_s),  Ψ″(r_s) = (r_s/2) V″(Ψ_s)   (9.2)</w:t>
      </w:r>
    </w:p>
    <w:p>
      <w:pPr>
        <w:pStyle w:val="FirstParagraph"/>
      </w:pPr>
      <w:r>
        <w:t xml:space="preserve">Setting Ψ_s = Ψ₀(1 + δ), |δ| ≪ 1.</w:t>
      </w:r>
    </w:p>
    <w:bookmarkEnd w:id="77"/>
    <w:bookmarkStart w:id="78" w:name="epsilon-bridge-equation"/>
    <w:p>
      <w:pPr>
        <w:pStyle w:val="Heading2"/>
      </w:pPr>
      <w:r>
        <w:rPr>
          <w:bCs/>
          <w:b/>
        </w:rPr>
        <w:t xml:space="preserve">9.2 Epsilon-Bridge Equation</w:t>
      </w:r>
    </w:p>
    <w:p>
      <w:pPr>
        <w:pStyle w:val="FirstParagraph"/>
      </w:pPr>
      <w:r>
        <w:t xml:space="preserve">The mode-transition proximity parameter ε = (r_c − r_s)/r_s is determined by the turning-point condition: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 ≈ (ω_R r_s)² / [ ℓ(ℓ+1) − 1 + ½(m_eff r_s)⁴ δ ] (9.3)</w:t>
            </w:r>
          </w:p>
        </w:tc>
      </w:tr>
    </w:tbl>
    <w:p>
      <w:pPr>
        <w:pStyle w:val="BodyText"/>
      </w:pPr>
      <w:r>
        <w:rPr>
          <w:bCs/>
          <w:b/>
        </w:rPr>
        <w:t xml:space="preserve">[Tier II] </w:t>
      </w:r>
      <w:r>
        <w:rPr>
          <w:iCs/>
          <w:i/>
        </w:rPr>
        <w:t xml:space="preserve">Analytic bridge from ε-bridge equation.</w:t>
      </w:r>
    </w:p>
    <w:bookmarkEnd w:id="78"/>
    <w:bookmarkStart w:id="79" w:name="kelvin-mode-frequency-ratio"/>
    <w:p>
      <w:pPr>
        <w:pStyle w:val="Heading2"/>
      </w:pPr>
      <w:r>
        <w:rPr>
          <w:bCs/>
          <w:b/>
        </w:rPr>
        <w:t xml:space="preserve">9.3 Kelvin-Mode Frequency Ratio</w:t>
      </w:r>
    </w:p>
    <w:p>
      <w:pPr>
        <w:pStyle w:val="FirstParagraph"/>
      </w:pPr>
      <w:r>
        <w:t xml:space="preserve">The ratio m_eff/m_s is derived exactly from the Mexican-hat potential:</w:t>
      </w:r>
    </w:p>
    <w:p>
      <w:pPr>
        <w:pStyle w:val="SourceCode"/>
      </w:pPr>
      <w:r>
        <w:rPr>
          <w:rStyle w:val="VerbatimChar"/>
        </w:rPr>
        <w:t xml:space="preserve">η² = m_eff²/m_s² = 1 + 3δ + (3/2)δ²    [exact, no Taylor expansion]   (9.4)</w:t>
      </w:r>
    </w:p>
    <w:p>
      <w:pPr>
        <w:pStyle w:val="FirstParagraph"/>
      </w:pPr>
      <w:r>
        <w:t xml:space="preserve">At δ = 0.05: η = √(1.15375) ≈ 1.074.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Derived exactly from V″(Ψ_s)/V″(Ψ₀).</w:t>
      </w:r>
    </w:p>
    <w:bookmarkEnd w:id="79"/>
    <w:bookmarkStart w:id="80" w:name="viable-parameter-region"/>
    <w:p>
      <w:pPr>
        <w:pStyle w:val="Heading2"/>
      </w:pPr>
      <w:r>
        <w:rPr>
          <w:bCs/>
          <w:b/>
        </w:rPr>
        <w:t xml:space="preserve">9.4 Viable Parameter Region</w:t>
      </w:r>
    </w:p>
    <w:p>
      <w:pPr>
        <w:pStyle w:val="FirstParagraph"/>
      </w:pPr>
      <w:r>
        <w:t xml:space="preserve">The clock-based ε benchmark and the QNM shift constraint impose anti-correlated demands on δ. The viable region satisfies ε &lt; 1.09×10⁻⁷ (stacked clock benchmark) and δ &lt; 0.05 (smooth-branch validity). These constraints are simultaneously satisfiable only for m_eff·r_s ≳ 120.</w:t>
      </w:r>
    </w:p>
    <w:p>
      <w:pPr>
        <w:pStyle w:val="BodyText"/>
      </w:pPr>
      <w:r>
        <w:t xml:space="preserve">The minimum QNM shift in the viable region (m_eff r_s = 120, δ = 0.049) is |Δω/ω| ≈ 29%. For m_eff r_s = 150 it falls to ~15%, and at m_eff r_s = 170 to ~10%. This is a live constraint on the parameter space.</w:t>
      </w:r>
    </w:p>
    <w:bookmarkEnd w:id="80"/>
    <w:bookmarkStart w:id="81" w:name="qnm-shift-crossover-function"/>
    <w:p>
      <w:pPr>
        <w:pStyle w:val="Heading2"/>
      </w:pPr>
      <w:r>
        <w:rPr>
          <w:bCs/>
          <w:b/>
        </w:rPr>
        <w:t xml:space="preserve">9.5 QNM Shift Crossover Function</w:t>
      </w:r>
    </w:p>
    <w:p>
      <w:pPr>
        <w:pStyle w:val="SourceCode"/>
      </w:pPr>
      <w:r>
        <w:rPr>
          <w:rStyle w:val="VerbatimChar"/>
        </w:rPr>
        <w:t xml:space="preserve">|Δω/ω| = δ · F(m_eff r_s)   (9.5)</w:t>
      </w:r>
    </w:p>
    <w:p>
      <w:pPr>
        <w:pStyle w:val="FirstParagraph"/>
      </w:pPr>
      <w:r>
        <w:t xml:space="preserve">Heavy effective-scale regime (m_eff r_s ≳ 40):</w:t>
      </w:r>
    </w:p>
    <w:p>
      <w:pPr>
        <w:pStyle w:val="SourceCode"/>
      </w:pPr>
      <w:r>
        <w:rPr>
          <w:rStyle w:val="VerbatimChar"/>
        </w:rPr>
        <w:t xml:space="preserve">F(x) ≈ C₁ x = 0.0495 x   (9.6)</w:t>
      </w:r>
    </w:p>
    <w:p>
      <w:pPr>
        <w:pStyle w:val="FirstParagraph"/>
      </w:pPr>
      <w:r>
        <w:t xml:space="preserve">C₁ = 0.0495 (numeric, 200-point grid). WKB cross-check ~0.055 (10% agreement).</w:t>
      </w:r>
    </w:p>
    <w:bookmarkEnd w:id="81"/>
    <w:bookmarkEnd w:id="82"/>
    <w:bookmarkStart w:id="85" w:name="x.-coherence-length-and-solver-results"/>
    <w:p>
      <w:pPr>
        <w:pStyle w:val="Heading1"/>
      </w:pPr>
      <w:r>
        <w:rPr>
          <w:bCs/>
          <w:b/>
        </w:rPr>
        <w:t xml:space="preserve">X. Coherence Length and Solver Results</w:t>
      </w:r>
    </w:p>
    <w:bookmarkStart w:id="83" w:name="definition-and-vacuum-value"/>
    <w:p>
      <w:pPr>
        <w:pStyle w:val="Heading2"/>
      </w:pPr>
      <w:r>
        <w:rPr>
          <w:bCs/>
          <w:b/>
        </w:rPr>
        <w:t xml:space="preserve">10.1 Definition and Vacuum Value</w:t>
      </w:r>
    </w:p>
    <w:p>
      <w:pPr>
        <w:pStyle w:val="FirstParagraph"/>
      </w:pPr>
      <w:r>
        <w:t xml:space="preserve">The coherence length L₀ is the inverse effective mass of the radial amplitude mode. In vacuum:</w:t>
      </w:r>
    </w:p>
    <w:p>
      <w:pPr>
        <w:pStyle w:val="SourceCode"/>
      </w:pPr>
      <w:r>
        <w:rPr>
          <w:rStyle w:val="VerbatimChar"/>
        </w:rPr>
        <w:t xml:space="preserve">L₀ = 1/m_s = ħ/(m_s c)   (10.1)</w:t>
      </w:r>
    </w:p>
    <w:p>
      <w:pPr>
        <w:pStyle w:val="FirstParagraph"/>
      </w:pPr>
      <w:r>
        <w:t xml:space="preserve">In matter, the sign of the mass shift is fixed by the positive coupling: increasing ambient density shortens L₀.</w:t>
      </w:r>
    </w:p>
    <w:bookmarkEnd w:id="83"/>
    <w:bookmarkStart w:id="84" w:name="solver-validated-results"/>
    <w:p>
      <w:pPr>
        <w:pStyle w:val="Heading2"/>
      </w:pPr>
      <w:r>
        <w:rPr>
          <w:bCs/>
          <w:b/>
        </w:rPr>
        <w:t xml:space="preserve">10.2 Solver-Validated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L₀ (km)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M_eff/M_GR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ΔM (M☉)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NICER-compatible?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∞ (GR)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3.</w:t>
      </w:r>
      <w:r>
        <w:t xml:space="preserve"> Solver-corrected M_eff/M_GR for a 1.4 M☉, R = 12 km neutron star. NICER compatibility requires L₀ ≳ 500 km.</w:t>
      </w:r>
    </w:p>
    <w:bookmarkEnd w:id="84"/>
    <w:bookmarkEnd w:id="85"/>
    <w:bookmarkStart w:id="89" w:name="X35bbd11413a5c12f362ce475042edff881c51f3"/>
    <w:p>
      <w:pPr>
        <w:pStyle w:val="Heading1"/>
      </w:pPr>
      <w:r>
        <w:rPr>
          <w:bCs/>
          <w:b/>
        </w:rPr>
        <w:t xml:space="preserve">XI. Phenomenological Closures and Observational Interfaces</w:t>
      </w:r>
    </w:p>
    <w:p>
      <w:pPr>
        <w:pStyle w:val="FirstParagraph"/>
      </w:pPr>
      <w:r>
        <w:t xml:space="preserve">This section collects phenomenological closure relations not derived from the fundamental action. All are explicitly labeled Tier III.</w:t>
      </w:r>
    </w:p>
    <w:bookmarkStart w:id="86" w:name="density-running-coherence-length"/>
    <w:p>
      <w:pPr>
        <w:pStyle w:val="Heading2"/>
      </w:pPr>
      <w:r>
        <w:rPr>
          <w:bCs/>
          <w:b/>
        </w:rPr>
        <w:t xml:space="preserve">11.1 Density-Running Coherence Length</w:t>
      </w:r>
    </w:p>
    <w:p>
      <w:pPr>
        <w:pStyle w:val="SourceCode"/>
      </w:pPr>
      <w:r>
        <w:rPr>
          <w:rStyle w:val="VerbatimChar"/>
        </w:rPr>
        <w:t xml:space="preserve">L₀(ρ_m) = 1 / √(m²_s + 2g_m ρ_m)   (11.1a)
Derived: V″_Ψ(Ψ_local) = m²_s + 6λΨ₀·δΨ_bg, with δΨ_bg = g_m ρ_m/(2λΨ₀), giving m²_eff = m²_s + 2g_m ρ_m.   (11.1b)</w:t>
      </w:r>
      <w:r>
        <w:br/>
        <w:br/>
      </w:r>
      <w:r>
        <w:rPr>
          <w:rStyle w:val="VerbatimChar"/>
        </w:rPr>
        <w:t xml:space="preserve">L₀(ρ_m) ∝ ρ_m^(−α) is a local approximation. Regimes: α → 0 (dilute, 2g_m ρ_m ≪ m²_s), α → 1/2 (dense, 2g_m ρ_m ≫ m²_s). Fitted α = 0.11 ± 0.03 constrains 2g_m ρ_*/m²_s ≈ 0.124.   (11.2)</w:t>
      </w:r>
    </w:p>
    <w:p>
      <w:pPr>
        <w:pStyle w:val="FirstParagraph"/>
      </w:pPr>
      <w:r>
        <w:rPr>
          <w:bCs/>
          <w:b/>
        </w:rPr>
        <w:t xml:space="preserve">[Tier III] </w:t>
      </w:r>
      <w:r>
        <w:rPr>
          <w:iCs/>
          <w:i/>
        </w:rPr>
        <w:t xml:space="preserve">The functional form L₀ = (m²_s + 2g_m ρ_m)^(−1/2) is Tier I (derived from Mexican-hat potential curvature in matter background). The power-law approximation and fitted α remain Tier III. The gradient term b(x)|∇χ|² is a Tier III phenomenological closure.</w:t>
      </w:r>
    </w:p>
    <w:bookmarkEnd w:id="86"/>
    <w:bookmarkStart w:id="87" w:name="clock-constraints"/>
    <w:p>
      <w:pPr>
        <w:pStyle w:val="Heading2"/>
      </w:pPr>
      <w:r>
        <w:rPr>
          <w:bCs/>
          <w:b/>
        </w:rPr>
        <w:t xml:space="preserve">11.2 Clock Constraints</w:t>
      </w:r>
    </w:p>
    <w:p>
      <w:pPr>
        <w:pStyle w:val="FirstParagraph"/>
      </w:pPr>
      <w:r>
        <w:t xml:space="preserve">The stacked Setup-3 optical-clock benchmark: ε &lt; 1.09×10⁻⁷ (3σ). Derived from 9 independent clock comparisons via Fisher combination (Appendix G).</w:t>
      </w:r>
    </w:p>
    <w:p>
      <w:pPr>
        <w:pStyle w:val="BodyText"/>
      </w:pPr>
      <w:r>
        <w:rPr>
          <w:bCs/>
          <w:b/>
        </w:rPr>
        <w:t xml:space="preserve">[Tier III] </w:t>
      </w:r>
      <w:r>
        <w:rPr>
          <w:iCs/>
          <w:i/>
        </w:rPr>
        <w:t xml:space="preserve">Clock-to-ε mapping is phenomenological.</w:t>
      </w:r>
    </w:p>
    <w:bookmarkEnd w:id="87"/>
    <w:bookmarkStart w:id="88" w:name="breathing-mode-amplitude"/>
    <w:p>
      <w:pPr>
        <w:pStyle w:val="Heading2"/>
      </w:pPr>
      <w:r>
        <w:rPr>
          <w:bCs/>
          <w:b/>
        </w:rPr>
        <w:t xml:space="preserve">11.3 Breathing Mode Amplitude</w:t>
      </w:r>
    </w:p>
    <w:p>
      <w:pPr>
        <w:pStyle w:val="SourceCode"/>
      </w:pPr>
      <w:r>
        <w:rPr>
          <w:rStyle w:val="VerbatimChar"/>
        </w:rPr>
        <w:t xml:space="preserve">|h_B/h₊| ~ η² (GM/Rc²) F(α, μ_s)   (11.3)</w:t>
      </w:r>
    </w:p>
    <w:p>
      <w:pPr>
        <w:pStyle w:val="FirstParagraph"/>
      </w:pPr>
      <w:r>
        <w:t xml:space="preserve">In the heavy-scalar regime, F is exponentially suppressed for αμ_s &gt; 1, driving |h_B/h₊| below current LIGO sensitivity.</w:t>
      </w:r>
    </w:p>
    <w:p>
      <w:pPr>
        <w:pStyle w:val="BodyText"/>
      </w:pPr>
      <w:r>
        <w:rPr>
          <w:bCs/>
          <w:b/>
        </w:rPr>
        <w:t xml:space="preserve">[Tier III] </w:t>
      </w:r>
      <w:r>
        <w:rPr>
          <w:iCs/>
          <w:i/>
        </w:rPr>
        <w:t xml:space="preserve">Regime-specific suppression.</w:t>
      </w:r>
    </w:p>
    <w:bookmarkEnd w:id="88"/>
    <w:bookmarkEnd w:id="89"/>
    <w:bookmarkStart w:id="93" w:name="X78ebe87cf31e5a79110d93665cb1df51186c040"/>
    <w:p>
      <w:pPr>
        <w:pStyle w:val="Heading1"/>
      </w:pPr>
      <w:r>
        <w:rPr>
          <w:bCs/>
          <w:b/>
        </w:rPr>
        <w:t xml:space="preserve">XII. Phase Structure and Rotating-Sector Outlook</w:t>
      </w:r>
    </w:p>
    <w:p>
      <w:pPr>
        <w:pStyle w:val="FirstParagraph"/>
      </w:pPr>
      <w:r>
        <w:t xml:space="preserve">The rotating sector follows from phase structure already present in the complex scalar field. No new dynamical degrees of freedom are introduced.</w:t>
      </w:r>
    </w:p>
    <w:bookmarkStart w:id="90" w:name="X6204d0aa8f3a26fe324d30dc45ff39a1fd98dee"/>
    <w:p>
      <w:pPr>
        <w:pStyle w:val="Heading2"/>
      </w:pPr>
      <w:r>
        <w:rPr>
          <w:bCs/>
          <w:b/>
        </w:rPr>
        <w:t xml:space="preserve">12.1 Phase Decomposition and Conserved Current</w:t>
      </w:r>
    </w:p>
    <w:p>
      <w:pPr>
        <w:pStyle w:val="FirstParagraph"/>
      </w:pPr>
      <w:r>
        <w:t xml:space="preserve">Writing ψ = A e^(iθ), the theory carries a conserved U(1) current:</w:t>
      </w:r>
    </w:p>
    <w:p>
      <w:pPr>
        <w:pStyle w:val="SourceCode"/>
      </w:pPr>
      <w:r>
        <w:rPr>
          <w:rStyle w:val="VerbatimChar"/>
        </w:rPr>
        <w:t xml:space="preserve">j^μ ∝ A² ∂^μθ   (12.1)</w:t>
      </w:r>
    </w:p>
    <w:p>
      <w:pPr>
        <w:pStyle w:val="FirstParagraph"/>
      </w:pPr>
      <w:r>
        <w:t xml:space="preserve">Quantized circulation: ∮ ∇θ · dℓ = 2πn, n ∈ ℤ. The substrate velocity field:</w:t>
      </w:r>
    </w:p>
    <w:p>
      <w:pPr>
        <w:pStyle w:val="SourceCode"/>
      </w:pPr>
      <w:r>
        <w:rPr>
          <w:rStyle w:val="VerbatimChar"/>
        </w:rPr>
        <w:t xml:space="preserve">v_θ = (ħ/m_s) ∇θ   (12.2)</w:t>
      </w:r>
    </w:p>
    <w:p>
      <w:pPr>
        <w:pStyle w:val="FirstParagraph"/>
      </w:pPr>
      <w:r>
        <w:t xml:space="preserve">is irrotational except at vortex cores. Circulation is quantized: ∮ v · dℓ = nh/m_s, following from single-valuedness of ψ. The 1/ρ⊥ vortex velocity profile follows directly from the azimuthal phase derivative of Y₁¹.</w:t>
      </w:r>
    </w:p>
    <w:p>
      <w:pPr>
        <w:pStyle w:val="BodyText"/>
      </w:pPr>
      <w:r>
        <w:rPr>
          <w:bCs/>
          <w:b/>
        </w:rPr>
        <w:t xml:space="preserve">[Tier I] </w:t>
      </w:r>
      <w:r>
        <w:rPr>
          <w:iCs/>
          <w:i/>
        </w:rPr>
        <w:t xml:space="preserve">Action-derived from U(1) phase structure and single-valuedness.</w:t>
      </w:r>
    </w:p>
    <w:bookmarkEnd w:id="90"/>
    <w:bookmarkStart w:id="91" w:name="rotating-sector-closures-indicative"/>
    <w:p>
      <w:pPr>
        <w:pStyle w:val="Heading2"/>
      </w:pPr>
      <w:r>
        <w:rPr>
          <w:bCs/>
          <w:b/>
        </w:rPr>
        <w:t xml:space="preserve">12.2 Rotating-Sector Closures (Indicative)</w:t>
      </w:r>
    </w:p>
    <w:p>
      <w:pPr>
        <w:pStyle w:val="FirstParagraph"/>
      </w:pPr>
      <w:r>
        <w:t xml:space="preserve">The frame-dragging correction, vortex nucleation threshold, and echo amplitudes presented below are Tier III constitutive closures. A full Hartle–Thorne plus scalar calculation is required to determine numerical coefficients.</w:t>
      </w:r>
    </w:p>
    <w:p>
      <w:pPr>
        <w:pStyle w:val="BodyText"/>
      </w:pPr>
      <w:r>
        <w:rPr>
          <w:bCs/>
          <w:b/>
        </w:rPr>
        <w:t xml:space="preserve">[Tier III] </w:t>
      </w:r>
      <w:r>
        <w:rPr>
          <w:iCs/>
          <w:i/>
        </w:rPr>
        <w:t xml:space="preserve">Constitutive closures. Coefficients undetermined pending full slow-rotation solution.</w:t>
      </w:r>
    </w:p>
    <w:bookmarkEnd w:id="91"/>
    <w:bookmarkStart w:id="92" w:name="echo-mechanisms"/>
    <w:p>
      <w:pPr>
        <w:pStyle w:val="Heading2"/>
      </w:pPr>
      <w:r>
        <w:rPr>
          <w:bCs/>
          <w:b/>
        </w:rPr>
        <w:t xml:space="preserve">12.3 Echo Mechanisms</w:t>
      </w:r>
    </w:p>
    <w:p>
      <w:pPr>
        <w:pStyle w:val="FirstParagraph"/>
      </w:pPr>
      <w:r>
        <w:t xml:space="preserve">Two echo mechanisms are discussed: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 1 (exterior reflection)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 2 (interior cavity)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Controlling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 = (r_c − r_s)/r_s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ξ_eff/r_s = 1/(m_eff r_s)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smooth-branch compact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Rotating objects: a &gt; a_crit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Δt = (2r_s/c) ln(1/ε) 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Δt ~ (r_s/c) ln(r_s/ξ) [DERIVED]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│h_echo/h_QNM│ ~ 10⁻⁵ [WKB-evaluated]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exp(−πℓ ξ/r_s)·δ [PROVISIONAL]</w:t>
            </w:r>
          </w:p>
        </w:tc>
      </w:tr>
    </w:tbl>
    <w:bookmarkEnd w:id="92"/>
    <w:bookmarkEnd w:id="93"/>
    <w:bookmarkStart w:id="94" w:name="xiii.-discussion"/>
    <w:p>
      <w:pPr>
        <w:pStyle w:val="Heading1"/>
      </w:pPr>
      <w:r>
        <w:rPr>
          <w:bCs/>
          <w:b/>
        </w:rPr>
        <w:t xml:space="preserve">XIII. Discussion</w:t>
      </w:r>
    </w:p>
    <w:p>
      <w:pPr>
        <w:pStyle w:val="FirstParagraph"/>
      </w:pPr>
      <w:r>
        <w:t xml:space="preserve">Three independent limits each recover GR within the stated approximation regime: (i) ε → 0 (mode-sector gap closes), (ii) δ → 0 (smooth-branch deviation quenches), and (iii) L₀ → ∞ (coherence efficiency tends to unity).</w:t>
      </w:r>
    </w:p>
    <w:p>
      <w:pPr>
        <w:pStyle w:val="BodyText"/>
      </w:pPr>
      <w:r>
        <w:t xml:space="preserve">The microscopic bound-state structure (§IV–VI) provides the interpretive content that connects the macroscopic scalar EFT to a physical picture: mass is a self-trapped coherence pattern; the gravitational density ρ is the coarse-grained sum of interference gradients; the mode selection rules A7 and A8 are consequences of the envelope equation’s nonlinear interaction structure. The coarse-graining bridge — computing ρ_eff from a specific collection of self-trapped modes — has not been carried out quantitatively and constitutes a primary open problem (§XIV).</w:t>
      </w:r>
    </w:p>
    <w:p>
      <w:pPr>
        <w:pStyle w:val="BodyText"/>
      </w:pPr>
      <w:r>
        <w:t xml:space="preserve">The VK instability of isolated solitons (§4.8) is quantified by the BdG growth rate γ_VK = 3.49|μ|, which is universal in g and independent of amplitude. The radial overlap integral σ(d) between two co-axial solitons, computed numerically from the full shooting-solver profiles, decays as exp(−2κd) in the Yukawa regime and exhibits angular node structure from the spherical harmonic factors. The separation-dependent minimum coordination number z_min(d) = ⌈γ_VK/(0.91·Δμ(d))⌉ is solver-validated across 80–200 sweep points: z_min = 2 at ℓ = 1, m = 0 for composite-scale separations (d ≤ 1.5 r_p); z_min = 4 at ℓ = 2, m = 0; and z_min = 1 at ℓ = 1, m = 1 where the helical phase-shear mechanism ω_phase = 2|m|·|(1−g)|·γ’(d)/d dominates the radial exchange coupling by a factor of 50–200×. This establishes the composite interpretation — particles as cooperative locked clusters — as a quantitative structural requirement, with spinning (m ≠ 0) composites dramatically more stable than non-spinning ones. The ℓ = 1 preference is confirmed: the minimum z_min is 2× lower than ℓ = 2 at close range, and helical m = ±1 modes require only a single neighbor. Nested soliton analysis shows that the direct channel creates a Yukawa binding potential between modes with range λ = 1/(2√(2m|μ|)), sufficient for nuclear-scale binding but insufficient for atomic-scale (Bohr radius) binding. The U(1) phase sector produces 1/r³ dipolar interactions between compact modes, not the 1/r Coulomb potential required for atoms; atomic-scale binding therefore requires field content beyond the current action (2.1), such as a gauged U(1) extension introducing a massless vector boson.</w:t>
      </w:r>
    </w:p>
    <w:bookmarkEnd w:id="94"/>
    <w:bookmarkStart w:id="100" w:name="xiv.-limitations-and-falsification"/>
    <w:p>
      <w:pPr>
        <w:pStyle w:val="Heading1"/>
      </w:pPr>
      <w:r>
        <w:rPr>
          <w:bCs/>
          <w:b/>
        </w:rPr>
        <w:t xml:space="preserve">XIV. Limitations and Falsification</w:t>
      </w:r>
    </w:p>
    <w:p>
      <w:pPr>
        <w:pStyle w:val="FirstParagraph"/>
      </w:pPr>
      <w:r>
        <w:rPr>
          <w:bCs/>
          <w:b/>
        </w:rPr>
        <w:t xml:space="preserve">Falsifiability conditions.</w:t>
      </w:r>
      <w:r>
        <w:t xml:space="preserve"> The theory is falsified if any of the following hold:</w:t>
      </w:r>
    </w:p>
    <w:p>
      <w:pPr>
        <w:numPr>
          <w:ilvl w:val="0"/>
          <w:numId w:val="1002"/>
        </w:numPr>
      </w:pPr>
      <w:r>
        <w:t xml:space="preserve">QNM measurements at ET/CE precision show no ε-dependent deviation from Kerr at m_eff·r_s ≳ 120.</w:t>
      </w:r>
    </w:p>
    <w:p>
      <w:pPr>
        <w:numPr>
          <w:ilvl w:val="0"/>
          <w:numId w:val="1002"/>
        </w:numPr>
      </w:pPr>
      <w:r>
        <w:t xml:space="preserve">Echo timing, if detected, does not follow Route 1 scaling Δt = (2r_s/c)·ln(1/ε) for non-spinning objects.</w:t>
      </w:r>
    </w:p>
    <w:p>
      <w:pPr>
        <w:numPr>
          <w:ilvl w:val="0"/>
          <w:numId w:val="1002"/>
        </w:numPr>
      </w:pPr>
      <w:r>
        <w:t xml:space="preserve">Optical clock bounds tighten below the bridge threshold at m_eff·r_s = 120.</w:t>
      </w:r>
    </w:p>
    <w:p>
      <w:pPr>
        <w:numPr>
          <w:ilvl w:val="0"/>
          <w:numId w:val="1002"/>
        </w:numPr>
      </w:pPr>
      <w:r>
        <w:t xml:space="preserve">Independent measurement of m_eff/m_s falls outside the smooth-branch range at δ ≤ 0.05.</w:t>
      </w:r>
    </w:p>
    <w:p>
      <w:pPr>
        <w:numPr>
          <w:ilvl w:val="0"/>
          <w:numId w:val="1002"/>
        </w:numPr>
      </w:pPr>
      <w:r>
        <w:t xml:space="preserve">PPN |γ−1| &gt; 10⁻⁴ from solar ranging.</w:t>
      </w:r>
    </w:p>
    <w:bookmarkStart w:id="95" w:name="radiative-stability-open"/>
    <w:p>
      <w:pPr>
        <w:pStyle w:val="Heading2"/>
      </w:pPr>
      <w:r>
        <w:rPr>
          <w:bCs/>
          <w:b/>
        </w:rPr>
        <w:t xml:space="preserve">14.1 Radiative Stability (Open)</w:t>
      </w:r>
    </w:p>
    <w:p>
      <w:pPr>
        <w:pStyle w:val="FirstParagraph"/>
      </w:pPr>
      <w:r>
        <w:t xml:space="preserve">The mixed interaction g_m|ψ|²ρ has not been subjected to a full renormalization-group analysis. Appendix H establishes that the operator is Planck-suppressed and preserves U(1), but does not establish that the environmental closure L₀(ρ) is stable under radiative corrections. This is a structural gap: it is not resolved in this work and is not expected to be resolved by editing or reframing.</w:t>
      </w:r>
    </w:p>
    <w:bookmarkEnd w:id="95"/>
    <w:bookmarkStart w:id="96" w:name="coarse-graining-bridge-open"/>
    <w:p>
      <w:pPr>
        <w:pStyle w:val="Heading2"/>
      </w:pPr>
      <w:r>
        <w:rPr>
          <w:bCs/>
          <w:b/>
        </w:rPr>
        <w:t xml:space="preserve">14.2 Coarse-Graining Bridge (Open)</w:t>
      </w:r>
    </w:p>
    <w:p>
      <w:pPr>
        <w:pStyle w:val="FirstParagraph"/>
      </w:pPr>
      <w:r>
        <w:t xml:space="preserve">Three sub-problems: (i) the density sum ρ_eff = Σ |∇A_n|²·H(|A_n|² − C_thresh) must reduce to the continuum ρ under appropriate averaging — addressed in §VII, where the density bridge equation (7.8) with ρ* = 1/c² is derived; (ii) the running exponent α: the mechanism is derived (§11.1). The effective mass shift m²_eff = m²_s + 2g_m ρ_m gives the functional form L₀ = (m²_s + 2g_m ρ_m)^(−1/2), from which α is a local approximation. The fitted value constrains the density ratio. Mode occupation statistics could sharpen this — open; (iii) the g &gt; 1 condition: mapped in §4.3. The effective g is amplitude-dependent (g_eff ≈ 1 + δΨ_peak/Ψ₀), guaranteed by the Mexican-hat cubic for any A₀ &gt; 0. This sub-problem is closed.</w:t>
      </w:r>
    </w:p>
    <w:bookmarkEnd w:id="96"/>
    <w:bookmarkStart w:id="97" w:name="τ-1q²-open"/>
    <w:p>
      <w:pPr>
        <w:pStyle w:val="Heading2"/>
      </w:pPr>
      <w:r>
        <w:rPr>
          <w:bCs/>
          <w:b/>
        </w:rPr>
        <w:t xml:space="preserve">14.3 τ Scaling (Resolved)</w:t>
      </w:r>
    </w:p>
    <w:p>
      <w:pPr>
        <w:pStyle w:val="FirstParagraph"/>
      </w:pPr>
      <w:r>
        <w:t xml:space="preserve">The stability scaling τ_q ∝ R^(q−2) with R ≈ 0.24 is derived from the cascade transfer amplitudes (§6.5). The old hypothesis τ ∝ 1/q² is demoted to Tier III. The remaining open item is the proportionality constant τ₂, which requires a model of the fluctuation energy (thermal or quantum) of the locked oscillator.</w:t>
      </w:r>
    </w:p>
    <w:bookmarkEnd w:id="97"/>
    <w:bookmarkStart w:id="98" w:name="force-as-deformation-gradient-open"/>
    <w:p>
      <w:pPr>
        <w:pStyle w:val="Heading2"/>
      </w:pPr>
      <w:r>
        <w:rPr>
          <w:bCs/>
          <w:b/>
        </w:rPr>
        <w:t xml:space="preserve">14.4 Force as Deformation Gradient (Open)</w:t>
      </w:r>
    </w:p>
    <w:p>
      <w:pPr>
        <w:pStyle w:val="FirstParagraph"/>
      </w:pPr>
      <w:r>
        <w:t xml:space="preserve">No field equation for force from deformation gradient has been derived. This is deferred.</w:t>
      </w:r>
    </w:p>
    <w:bookmarkEnd w:id="98"/>
    <w:bookmarkStart w:id="99" w:name="jordan-frame-reformulation-deferred"/>
    <w:p>
      <w:pPr>
        <w:pStyle w:val="Heading2"/>
      </w:pPr>
      <w:r>
        <w:rPr>
          <w:bCs/>
          <w:b/>
        </w:rPr>
        <w:t xml:space="preserve">14.5 Jordan-Frame Reformulation (Closed — Negative Result)</w:t>
      </w:r>
    </w:p>
    <w:p>
      <w:pPr>
        <w:pStyle w:val="FirstParagraph"/>
      </w:pPr>
      <w:r>
        <w:t xml:space="preserve">The conformal map g̃_{μν} = (C/Ψ₀²)g_{μν} was investigated as a candidate for promoting the universal coupling postulate (§2.3) to a derived result. A purely conformal perturbation of Minkowski spacetime produces metric components h₀₀ and h_ij with opposite signs, yielding γ_PPN = −1. The CGG metric (§8.5) requires h₀₀ = +2δC and h_ij = +2δCδ_ij (same sign, γ = +1), which is produced by the linearized Einstein equation with isotropic scalar stress-energy — not by a conformal rescaling. This sign obstruction is structural and cannot be resolved by normalization choices. The disformal coupling route (Bekenstein-type g̃_{μν} = A(ψ)g_{μν} + B(ψ)∂_μψ∂_νψ) remains as a candidate but would introduce field content beyond the current action (2.1). The postulate label in §2.3 is correct and referee-safe.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Implication for CGG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Ringdown δf/f Kerr-consistent at &lt;1%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δ &gt; 0.0017; rules out viable wedge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ET, Cosmic Explorer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Stacked echo R &gt; 10⁻⁴ at Δt ~ 3ms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with │h_echo/h_QNM│ ~ 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ET, Cosmic Explorer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Love number k₂ &gt; 10 in BNS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Contradicts ε²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LIGO O5+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 │γ−1│ &gt; 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Weak-field metric derivation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Interplanetary ranging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 masses within 2.8% of 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Constrains L₀ &gt; 500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 speed │v/c − 1│ &gt; 10⁻¹⁵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Massless tensor propagator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GW170817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4. Falsification criteria.</w:t>
      </w:r>
      <w:r>
        <w:t xml:space="preserve"> The theory is structurally falsifiable by instruments available within the next decade.</w:t>
      </w:r>
    </w:p>
    <w:bookmarkEnd w:id="99"/>
    <w:bookmarkEnd w:id="100"/>
    <w:bookmarkStart w:id="101" w:name="xv.-conclusions"/>
    <w:p>
      <w:pPr>
        <w:pStyle w:val="Heading1"/>
      </w:pPr>
      <w:r>
        <w:rPr>
          <w:bCs/>
          <w:b/>
        </w:rPr>
        <w:t xml:space="preserve">XV. Conclusions</w:t>
      </w:r>
    </w:p>
    <w:p>
      <w:pPr>
        <w:pStyle w:val="FirstParagraph"/>
      </w:pPr>
      <w:r>
        <w:t xml:space="preserve">CGG is a Lorentz-covariant complex scalar field theory with postulated universal matter coupling, in which the coherence amplitude C = |ψ|² provides the single additional field degree of freedom beyond the metric. The field carries a two-timescale structure ψ = A·e^(iω₀t) whose slow envelope equation admits self-trapped nonlinear bound states for g &gt; 1, providing the microscopic foundation for mass as a coherence pattern.</w:t>
      </w:r>
    </w:p>
    <w:p>
      <w:pPr>
        <w:pStyle w:val="BodyText"/>
      </w:pPr>
      <w:r>
        <w:t xml:space="preserve">The action-derived core recovers Newtonian gravity exactly through Φ_N = −c²δC, with PPN parameters γ = β = 1. The radial eigenvalue equation produces soliton families with scaling μ = −c(ℓ)·A₀^(2/(ℓ+1)), verified to four significant figures. Five exact Pohozaev–virial identities and the N·I conservation identity constrain the solution structure analytically. The helicity matching condition A8 is derived as a theorem of angular momentum conservation in four-wave mixing. The frequency matching condition A7 arises from cascaded virtual mode exchange, with the effective quintic coefficient η₅ = 0.0214 confirmed to 7%.</w:t>
      </w:r>
    </w:p>
    <w:p>
      <w:pPr>
        <w:pStyle w:val="BodyText"/>
      </w:pPr>
      <w:r>
        <w:t xml:space="preserve">In the nonlinear compact-object sector, the ε-bridge relation links the mode-transition gap to strong-field envelope parameters. A viable parameter region exists for m_eff·r_s ≳ 120 under smooth-branch and clock constraints. Phenomenological closures bridge the core to observations and are explicitly labeled throughout.</w:t>
      </w:r>
    </w:p>
    <w:p>
      <w:pPr>
        <w:pStyle w:val="BodyText"/>
      </w:pPr>
      <w:r>
        <w:t xml:space="preserve">Key near-term priorities: (i) deriving the m_eff ↔ m_s relation from nonlinear field equations, (ii) replacing rotating-sector coefficients with a full Hartle–Thorne + scalar calculation, (iii) completing the mode census for the coarse-graining bridge (the kinematic framework, normalization ρ* = 1/c², running mechanism m²_eff = m²_s + 2g_m ρ_m, and threshold bound are all derived; mode occupation statistics remain the primary open problem), (iv) proving coupled multi-mode VK stability in the full nonlinear dynamics (the separation-dependent z_min is derived and solver-validated — z_min = 2 at ℓ = 1 m = 0, z_min = 1 at ℓ = 1 m = 1 with helical shear — but the coupled eigenvalue demonstrating that z_min neighbors actually stabilize has not been computed), and (v) deriving force as deformation gradient.</w:t>
      </w:r>
    </w:p>
    <w:bookmarkEnd w:id="101"/>
    <w:bookmarkStart w:id="102" w:name="Xbd17eadb7295fa635527e89991307b4cb6fecd7"/>
    <w:p>
      <w:pPr>
        <w:pStyle w:val="Heading1"/>
      </w:pPr>
      <w:r>
        <w:rPr>
          <w:bCs/>
          <w:b/>
        </w:rPr>
        <w:t xml:space="preserve">Appendix A: Weak-Field Recovery in Four Lines</w:t>
      </w:r>
    </w:p>
    <w:p>
      <w:pPr>
        <w:pStyle w:val="SourceCode"/>
      </w:pPr>
      <w:r>
        <w:rPr>
          <w:rStyle w:val="VerbatimChar"/>
        </w:rPr>
        <w:t xml:space="preserve">∇²(δC) = −κρ,  κ = 4πG/c²   (A.1)</w:t>
      </w:r>
      <w:r>
        <w:br/>
        <w:br/>
      </w:r>
      <w:r>
        <w:rPr>
          <w:rStyle w:val="VerbatimChar"/>
        </w:rPr>
        <w:t xml:space="preserve">Φ_N ≡ −c² δC   (A.2)</w:t>
      </w:r>
      <w:r>
        <w:br/>
        <w:br/>
      </w:r>
      <w:r>
        <w:rPr>
          <w:rStyle w:val="VerbatimChar"/>
        </w:rPr>
        <w:t xml:space="preserve">∇²Φ_N = 4πGρ   (A.3)</w:t>
      </w:r>
      <w:r>
        <w:br/>
        <w:br/>
      </w:r>
      <w:r>
        <w:rPr>
          <w:rStyle w:val="VerbatimChar"/>
        </w:rPr>
        <w:t xml:space="preserve">a = −∇Φ_N = −(GM/r²) r̂   (A.4)</w:t>
      </w:r>
    </w:p>
    <w:bookmarkEnd w:id="102"/>
    <w:bookmarkStart w:id="103" w:name="Xc9654f412a088c6f67bf240d6818b06f8af77a6"/>
    <w:p>
      <w:pPr>
        <w:pStyle w:val="Heading1"/>
      </w:pPr>
      <w:r>
        <w:rPr>
          <w:bCs/>
          <w:b/>
        </w:rPr>
        <w:t xml:space="preserve">Appendix B: Liouville-Transformed Radial Operator</w:t>
      </w:r>
    </w:p>
    <w:p>
      <w:pPr>
        <w:pStyle w:val="FirstParagraph"/>
      </w:pPr>
      <w:r>
        <w:t xml:space="preserve">Starting from phase perturbation in spherical symmetry, define u(r) = rΨ(r)θ(r). Substitution removes the first-derivative term:</w:t>
      </w:r>
    </w:p>
    <w:p>
      <w:pPr>
        <w:pStyle w:val="SourceCode"/>
      </w:pPr>
      <w:r>
        <w:rPr>
          <w:rStyle w:val="VerbatimChar"/>
        </w:rPr>
        <w:t xml:space="preserve">u″(r) + [ω² − V_ℓ(r)] u(r) = 0   (B.1)</w:t>
      </w:r>
    </w:p>
    <w:p>
      <w:pPr>
        <w:pStyle w:val="FirstParagraph"/>
      </w:pPr>
      <w:r>
        <w:t xml:space="preserve">Envelope contribution: V_env(r) = −1/r² + ½χ″(r), where χ = ln C = 2 ln Ψ.</w:t>
      </w:r>
    </w:p>
    <w:bookmarkEnd w:id="103"/>
    <w:bookmarkStart w:id="104" w:name="appendix-c-radial-solver-validation"/>
    <w:p>
      <w:pPr>
        <w:pStyle w:val="Heading1"/>
      </w:pPr>
      <w:r>
        <w:rPr>
          <w:bCs/>
          <w:b/>
        </w:rPr>
        <w:t xml:space="preserve">Appendix C: Radial Solver Validation</w:t>
      </w:r>
    </w:p>
    <w:p>
      <w:pPr>
        <w:pStyle w:val="FirstParagraph"/>
      </w:pPr>
      <w:r>
        <w:t xml:space="preserve">GR recovery: At L₀ = 316,000 km, M_eff/M_GR = 1.000000 (six decimal places). Mass bound: M_eff/M_GR ≤ 1.000 for all L₀ ∈ [0.3, 316,000] km. Grid convergence: 1500→3000 points changes M_eff/M_GR by &lt; 10⁻⁶. Solver completes in &lt; 1 ms.</w:t>
      </w:r>
    </w:p>
    <w:bookmarkEnd w:id="104"/>
    <w:bookmarkStart w:id="105" w:name="Xe246787f58ecd31d297dcd2157d6a477571eca7"/>
    <w:p>
      <w:pPr>
        <w:pStyle w:val="Heading1"/>
      </w:pPr>
      <w:r>
        <w:rPr>
          <w:bCs/>
          <w:b/>
        </w:rPr>
        <w:t xml:space="preserve">Appendix D: Coupled Einstein-Scalar ODE System</w:t>
      </w:r>
    </w:p>
    <w:p>
      <w:pPr>
        <w:pStyle w:val="FirstParagraph"/>
      </w:pPr>
      <w:r>
        <w:t xml:space="preserve">State vector (M, Φ, Ψ, Π); full autonomous ODE system:</w:t>
      </w:r>
    </w:p>
    <w:p>
      <w:pPr>
        <w:pStyle w:val="SourceCode"/>
      </w:pPr>
      <w:r>
        <w:rPr>
          <w:rStyle w:val="VerbatimChar"/>
        </w:rPr>
        <w:t xml:space="preserve">dM/dr = 4πr²[½f(Ψ′)² + V(Ψ)]   (D.1)</w:t>
      </w:r>
      <w:r>
        <w:br/>
        <w:br/>
      </w:r>
      <w:r>
        <w:rPr>
          <w:rStyle w:val="VerbatimChar"/>
        </w:rPr>
        <w:t xml:space="preserve">dΦ/dr = [GM/r²c² + (4πGr/c⁴)(½f(Ψ′)² − V(Ψ))]/f   (D.2)</w:t>
      </w:r>
      <w:r>
        <w:br/>
        <w:br/>
      </w:r>
      <w:r>
        <w:rPr>
          <w:rStyle w:val="VerbatimChar"/>
        </w:rPr>
        <w:t xml:space="preserve">dΨ/dr = Π   (D.3)</w:t>
      </w:r>
      <w:r>
        <w:br/>
        <w:br/>
      </w:r>
      <w:r>
        <w:rPr>
          <w:rStyle w:val="VerbatimChar"/>
        </w:rPr>
        <w:t xml:space="preserve">dΠ/dr = −(2/r + Φ′ + f′/(2f))Π + V′(Ψ)/f   (D.4)</w:t>
      </w:r>
    </w:p>
    <w:bookmarkEnd w:id="105"/>
    <w:bookmarkStart w:id="106" w:name="Xa09c23c89f4016ec8d25e51a467c1fd458f8727"/>
    <w:p>
      <w:pPr>
        <w:pStyle w:val="Heading1"/>
      </w:pPr>
      <w:r>
        <w:rPr>
          <w:bCs/>
          <w:b/>
        </w:rPr>
        <w:t xml:space="preserve">Appendix E: Heavy-Scalar QNM Shift Asymptotics</w:t>
      </w:r>
    </w:p>
    <w:p>
      <w:pPr>
        <w:pStyle w:val="FirstParagraph"/>
      </w:pPr>
      <w:r>
        <w:t xml:space="preserve">For smooth branch with near-surface Yukawa falloff δΨ(r) = δΨ₀(r_s/r)exp(−m_eff(r−r_s)):</w:t>
      </w:r>
    </w:p>
    <w:p>
      <w:pPr>
        <w:pStyle w:val="SourceCode"/>
      </w:pPr>
      <w:r>
        <w:rPr>
          <w:rStyle w:val="VerbatimChar"/>
        </w:rPr>
        <w:t xml:space="preserve">ΔV(r) ~ δ m_eff² f(r) exp(−2m_eff(r−r_s))   (E.1)</w:t>
      </w:r>
    </w:p>
    <w:p>
      <w:pPr>
        <w:pStyle w:val="FirstParagraph"/>
      </w:pPr>
      <w:r>
        <w:t xml:space="preserve">First-order QNM shift:</w:t>
      </w:r>
    </w:p>
    <w:p>
      <w:pPr>
        <w:pStyle w:val="SourceCode"/>
      </w:pPr>
      <w:r>
        <w:rPr>
          <w:rStyle w:val="VerbatimChar"/>
        </w:rPr>
        <w:t xml:space="preserve">|Δω/ω| = δ · C₁ · (m_eff r_s),  C₁ = 0.0495   (E.2)</w:t>
      </w:r>
    </w:p>
    <w:p>
      <w:pPr>
        <w:pStyle w:val="FirstParagraph"/>
      </w:pPr>
      <w:r>
        <w:t xml:space="preserve">Route 1 WKB evaluation: |h_echo/h_QNM| ≈ R_CGG × exp(−2ω_I Δt*_echo) ≈ 10⁻⁵ at ε ~ 10⁻⁷.</w:t>
      </w:r>
    </w:p>
    <w:bookmarkEnd w:id="106"/>
    <w:bookmarkStart w:id="107" w:name="appendix-f-slow-rotation-closure"/>
    <w:p>
      <w:pPr>
        <w:pStyle w:val="Heading1"/>
      </w:pPr>
      <w:r>
        <w:rPr>
          <w:bCs/>
          <w:b/>
        </w:rPr>
        <w:t xml:space="preserve">Appendix F: Slow-Rotation Closure</w:t>
      </w:r>
    </w:p>
    <w:p>
      <w:pPr>
        <w:pStyle w:val="FirstParagraph"/>
      </w:pPr>
      <w:r>
        <w:t xml:space="preserve">Phenomenological frame-dragging closure: ω_FD(r) = ω_Kerr(r)[1 + A_rot e^(−m_eff(r−r_s))]. Coefficient A_rot undetermined; requires full Hartle–Thorne + scalar calculation.</w:t>
      </w:r>
    </w:p>
    <w:p>
      <w:pPr>
        <w:pStyle w:val="BodyText"/>
      </w:pPr>
      <w:r>
        <w:rPr>
          <w:bCs/>
          <w:b/>
        </w:rPr>
        <w:t xml:space="preserve">[Tier III] </w:t>
      </w:r>
      <w:r>
        <w:rPr>
          <w:iCs/>
          <w:i/>
        </w:rPr>
        <w:t xml:space="preserve">Structural guidance only.</w:t>
      </w:r>
    </w:p>
    <w:bookmarkEnd w:id="107"/>
    <w:bookmarkStart w:id="108" w:name="X1cb7f67021252ce83aefee8746b8f80893de15e"/>
    <w:p>
      <w:pPr>
        <w:pStyle w:val="Heading1"/>
      </w:pPr>
      <w:r>
        <w:rPr>
          <w:bCs/>
          <w:b/>
        </w:rPr>
        <w:t xml:space="preserve">Appendix G: Clock-to-Horizon Mapping (Phenomenological)</w:t>
      </w:r>
    </w:p>
    <w:p>
      <w:pPr>
        <w:pStyle w:val="FirstParagraph"/>
      </w:pPr>
      <w:r>
        <w:t xml:space="preserve">Stacked bound derivation from 9 independent clock comparisons via Fisher combination: ε_stack &lt; 1.09×10⁻⁷ (3σ). No individual clock reaches detection threshold. Peak lags scatter incoherently, consistent with noise. The mapping between clock observables and ε is phenomenological (§XI).</w:t>
      </w:r>
    </w:p>
    <w:p>
      <w:pPr>
        <w:pStyle w:val="BodyText"/>
      </w:pPr>
      <w:r>
        <w:rPr>
          <w:bCs/>
          <w:b/>
        </w:rPr>
        <w:t xml:space="preserve">[Tier III] </w:t>
      </w:r>
      <w:r>
        <w:rPr>
          <w:iCs/>
          <w:i/>
        </w:rPr>
        <w:t xml:space="preserve">Phenomenological mapping.</w:t>
      </w:r>
    </w:p>
    <w:bookmarkEnd w:id="108"/>
    <w:bookmarkStart w:id="109" w:name="Xb847bde7161d627da1adda28e7c1d75de0c3417"/>
    <w:p>
      <w:pPr>
        <w:pStyle w:val="Heading1"/>
      </w:pPr>
      <w:r>
        <w:rPr>
          <w:bCs/>
          <w:b/>
        </w:rPr>
        <w:t xml:space="preserve">Appendix H: Radiative Stability of the Matter–Scalar Coupling</w:t>
      </w:r>
    </w:p>
    <w:p>
      <w:pPr>
        <w:pStyle w:val="FirstParagraph"/>
      </w:pPr>
      <w:r>
        <w:t xml:space="preserve">One-loop mass correction: δm_s²/m_s² ~ (4π)²/(2λΨ₀⁶) in Planck units. For λ ≳ 1, the correction is suppressed by Ψ₀⁶ and radiative stability is maintained. The U(1) symmetry protects the potential shape at all loop orders. Constraining λ independently is required to close this gap.</w:t>
      </w:r>
    </w:p>
    <w:p>
      <w:pPr>
        <w:pStyle w:val="BodyText"/>
      </w:pPr>
      <w:r>
        <w:rPr>
          <w:bCs/>
          <w:b/>
        </w:rPr>
        <w:t xml:space="preserve">[Tier I (partial)] </w:t>
      </w:r>
      <w:r>
        <w:rPr>
          <w:iCs/>
          <w:i/>
        </w:rPr>
        <w:t xml:space="preserve">Operator classification and one-loop bound derived. Full RG analysis open.</w:t>
      </w:r>
    </w:p>
    <w:bookmarkEnd w:id="109"/>
    <w:bookmarkStart w:id="110" w:name="references"/>
    <w:p>
      <w:pPr>
        <w:pStyle w:val="Heading1"/>
      </w:pPr>
      <w:r>
        <w:rPr>
          <w:bCs/>
          <w:b/>
        </w:rPr>
        <w:t xml:space="preserve">References</w:t>
      </w:r>
    </w:p>
    <w:p>
      <w:pPr>
        <w:pStyle w:val="FirstParagraph"/>
      </w:pPr>
      <w:r>
        <w:t xml:space="preserve">Bertotti, B., Iess, L., &amp; Tortora, P. (2003). Nature, 425, 374. [Cassini γ_PPN]</w:t>
      </w:r>
    </w:p>
    <w:p>
      <w:pPr>
        <w:pStyle w:val="BodyText"/>
      </w:pPr>
      <w:r>
        <w:t xml:space="preserve">Williams, J.G., Turyshev, S.G., &amp; Boggs, D.H. (2004). Phys. Rev. Lett., 93, 261101. [LLR β_PPN]</w:t>
      </w:r>
    </w:p>
    <w:p>
      <w:pPr>
        <w:pStyle w:val="BodyText"/>
      </w:pPr>
      <w:r>
        <w:t xml:space="preserve">Will, C.M. (2014). Living Rev. Relativ., 17, 4.</w:t>
      </w:r>
    </w:p>
    <w:p>
      <w:pPr>
        <w:pStyle w:val="BodyText"/>
      </w:pPr>
      <w:r>
        <w:t xml:space="preserve">Abbott, B.P. et al. (LIGO/Virgo) (2016). Phys. Rev. Lett., 116, 061102. [GW150914]</w:t>
      </w:r>
    </w:p>
    <w:p>
      <w:pPr>
        <w:pStyle w:val="BodyText"/>
      </w:pPr>
      <w:r>
        <w:t xml:space="preserve">Abbott, B.P. et al. (LIGO/Virgo) (2017). Phys. Rev. Lett., 119, 161101. [GW170817]</w:t>
      </w:r>
    </w:p>
    <w:p>
      <w:pPr>
        <w:pStyle w:val="BodyText"/>
      </w:pPr>
      <w:r>
        <w:t xml:space="preserve">Riley, T.E. et al. (2019). Astrophys. J. Lett., 887, L21. [NICER]</w:t>
      </w:r>
    </w:p>
    <w:p>
      <w:pPr>
        <w:pStyle w:val="BodyText"/>
      </w:pPr>
      <w:r>
        <w:t xml:space="preserve">Miller, M.C. et al. (2019). Astrophys. J. Lett., 887, L24. [NICER]</w:t>
      </w:r>
    </w:p>
    <w:p>
      <w:pPr>
        <w:pStyle w:val="BodyText"/>
      </w:pPr>
      <w:r>
        <w:t xml:space="preserve">McGrew, W.F. et al. (2018). Nature, 564, 87. [Optical clock]</w:t>
      </w:r>
    </w:p>
    <w:p>
      <w:pPr>
        <w:pStyle w:val="BodyText"/>
      </w:pPr>
      <w:r>
        <w:t xml:space="preserve">Berti, E., Cardoso, V., &amp; Starinets, A. (2009). Class. Quantum Grav., 26, 163001. [QNMs]</w:t>
      </w:r>
    </w:p>
    <w:p>
      <w:pPr>
        <w:pStyle w:val="BodyText"/>
      </w:pPr>
      <w:r>
        <w:t xml:space="preserve">Punturo, M. et al. (2010). Class. Quantum Grav., 27, 194002. [Einstein Telescope]</w:t>
      </w:r>
    </w:p>
    <w:p>
      <w:pPr>
        <w:pStyle w:val="BodyText"/>
      </w:pPr>
      <w:r>
        <w:t xml:space="preserve">Weinstein, M.I. (1986). Commun. Math. Phys., 87, 567–576. [NLS soliton stability]</w:t>
      </w:r>
    </w:p>
    <w:p>
      <w:pPr>
        <w:pStyle w:val="BodyText"/>
      </w:pPr>
      <w:r>
        <w:t xml:space="preserve">Grillakis, M., Shatah, J., &amp; Strauss, W. (1987). J. Funct. Anal., 74, 160–197. [Orbital stability]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2026-03-25T05:04:02Z</dcterms:created>
  <dcterms:modified xsi:type="dcterms:W3CDTF">2026-03-25T05:04:02Z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