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Paper III</w:t>
        <w:br/>
        <w:t>Gradient-Activated Phase Leakage and Vortex-Core Interiors in Coherence Gradient Gravity</w:t>
      </w:r>
    </w:p>
    <w:p>
      <w:r>
        <w:t>Timothy L. Garner</w:t>
      </w:r>
    </w:p>
    <w:p>
      <w:r>
        <w:t>March 2026</w:t>
      </w:r>
    </w:p>
    <w:p>
      <w:pPr>
        <w:pStyle w:val="Heading1"/>
      </w:pPr>
      <w:r>
        <w:t>Abstract</w:t>
      </w:r>
    </w:p>
    <w:p>
      <w:r>
        <w:t>This paper extends the nonlinear compact-object sector of Coherence Gradient Gravity (CGG) by introducing gradient-activated approximate U(1) phase leakage and vortex-core interiors. The General Relativity (GR) event horizon is preserved as the causal boundary. Exterior compact-object behavior remains Kerr-consistent. Interior strong-field dynamics transition into metastable vortex filaments under rotational phase pressure.</w:t>
      </w:r>
    </w:p>
    <w:p>
      <w:pPr>
        <w:pStyle w:val="Heading1"/>
      </w:pPr>
      <w:r>
        <w:t>Comparative Framework: GR vs Paper II vs Paper III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General Relativity (GR)</w:t>
            </w:r>
          </w:p>
        </w:tc>
        <w:tc>
          <w:tcPr>
            <w:tcW w:type="dxa" w:w="2160"/>
          </w:tcPr>
          <w:p>
            <w:r>
              <w:t>Paper II (Smooth Branch CGG)</w:t>
            </w:r>
          </w:p>
        </w:tc>
        <w:tc>
          <w:tcPr>
            <w:tcW w:type="dxa" w:w="2160"/>
          </w:tcPr>
          <w:p>
            <w:r>
              <w:t>Paper III (Vortex-Core Extension)</w:t>
            </w:r>
          </w:p>
        </w:tc>
      </w:tr>
      <w:tr>
        <w:tc>
          <w:tcPr>
            <w:tcW w:type="dxa" w:w="2160"/>
          </w:tcPr>
          <w:p>
            <w:r>
              <w:t>Exterior Metric</w:t>
            </w:r>
          </w:p>
        </w:tc>
        <w:tc>
          <w:tcPr>
            <w:tcW w:type="dxa" w:w="2160"/>
          </w:tcPr>
          <w:p>
            <w:r>
              <w:t>Schwarzschild / Kerr exact solutions</w:t>
            </w:r>
          </w:p>
        </w:tc>
        <w:tc>
          <w:tcPr>
            <w:tcW w:type="dxa" w:w="2160"/>
          </w:tcPr>
          <w:p>
            <w:r>
              <w:t>Exterior identical to GR (smooth δ ≥ 0 basin)</w:t>
            </w:r>
          </w:p>
        </w:tc>
        <w:tc>
          <w:tcPr>
            <w:tcW w:type="dxa" w:w="2160"/>
          </w:tcPr>
          <w:p>
            <w:r>
              <w:t>Exterior identical to GR; vortices confined to interior</w:t>
            </w:r>
          </w:p>
        </w:tc>
      </w:tr>
      <w:tr>
        <w:tc>
          <w:tcPr>
            <w:tcW w:type="dxa" w:w="2160"/>
          </w:tcPr>
          <w:p>
            <w:r>
              <w:t>Event Horizon</w:t>
            </w:r>
          </w:p>
        </w:tc>
        <w:tc>
          <w:tcPr>
            <w:tcW w:type="dxa" w:w="2160"/>
          </w:tcPr>
          <w:p>
            <w:r>
              <w:t>Geometric null surface</w:t>
            </w:r>
          </w:p>
        </w:tc>
        <w:tc>
          <w:tcPr>
            <w:tcW w:type="dxa" w:w="2160"/>
          </w:tcPr>
          <w:p>
            <w:r>
              <w:t>Mode-transition surface; GR preserved outside</w:t>
            </w:r>
          </w:p>
        </w:tc>
        <w:tc>
          <w:tcPr>
            <w:tcW w:type="dxa" w:w="2160"/>
          </w:tcPr>
          <w:p>
            <w:r>
              <w:t>GR horizon retained; interior phase transition allowed</w:t>
            </w:r>
          </w:p>
        </w:tc>
      </w:tr>
      <w:tr>
        <w:tc>
          <w:tcPr>
            <w:tcW w:type="dxa" w:w="2160"/>
          </w:tcPr>
          <w:p>
            <w:r>
              <w:t>Interior Structure</w:t>
            </w:r>
          </w:p>
        </w:tc>
        <w:tc>
          <w:tcPr>
            <w:tcW w:type="dxa" w:w="2160"/>
          </w:tcPr>
          <w:p>
            <w:r>
              <w:t>Classical singularity</w:t>
            </w:r>
          </w:p>
        </w:tc>
        <w:tc>
          <w:tcPr>
            <w:tcW w:type="dxa" w:w="2160"/>
          </w:tcPr>
          <w:p>
            <w:r>
              <w:t>Smooth nonlinear coherence envelope</w:t>
            </w:r>
          </w:p>
        </w:tc>
        <w:tc>
          <w:tcPr>
            <w:tcW w:type="dxa" w:w="2160"/>
          </w:tcPr>
          <w:p>
            <w:r>
              <w:t>Metastable vortex filaments (A → 0 cores)</w:t>
            </w:r>
          </w:p>
        </w:tc>
      </w:tr>
      <w:tr>
        <w:tc>
          <w:tcPr>
            <w:tcW w:type="dxa" w:w="2160"/>
          </w:tcPr>
          <w:p>
            <w:r>
              <w:t>Love Numbers (Static)</w:t>
            </w:r>
          </w:p>
        </w:tc>
        <w:tc>
          <w:tcPr>
            <w:tcW w:type="dxa" w:w="2160"/>
          </w:tcPr>
          <w:p>
            <w:r>
              <w:t>k₂ = 0 for black holes</w:t>
            </w:r>
          </w:p>
        </w:tc>
        <w:tc>
          <w:tcPr>
            <w:tcW w:type="dxa" w:w="2160"/>
          </w:tcPr>
          <w:p>
            <w:r>
              <w:t>Exponential suppression via curvature control</w:t>
            </w:r>
          </w:p>
        </w:tc>
        <w:tc>
          <w:tcPr>
            <w:tcW w:type="dxa" w:w="2160"/>
          </w:tcPr>
          <w:p>
            <w:r>
              <w:t>Suppression preserved; vortex behind horizon</w:t>
            </w:r>
          </w:p>
        </w:tc>
      </w:tr>
      <w:tr>
        <w:tc>
          <w:tcPr>
            <w:tcW w:type="dxa" w:w="2160"/>
          </w:tcPr>
          <w:p>
            <w:r>
              <w:t>Ringdown</w:t>
            </w:r>
          </w:p>
        </w:tc>
        <w:tc>
          <w:tcPr>
            <w:tcW w:type="dxa" w:w="2160"/>
          </w:tcPr>
          <w:p>
            <w:r>
              <w:t>Kerr quasi-normal modes</w:t>
            </w:r>
          </w:p>
        </w:tc>
        <w:tc>
          <w:tcPr>
            <w:tcW w:type="dxa" w:w="2160"/>
          </w:tcPr>
          <w:p>
            <w:r>
              <w:t>Smooth cavity-like nonlinear response</w:t>
            </w:r>
          </w:p>
        </w:tc>
        <w:tc>
          <w:tcPr>
            <w:tcW w:type="dxa" w:w="2160"/>
          </w:tcPr>
          <w:p>
            <w:r>
              <w:t>Kerr exterior + weak vortex Kelvin-mode coupling</w:t>
            </w:r>
          </w:p>
        </w:tc>
      </w:tr>
      <w:tr>
        <w:tc>
          <w:tcPr>
            <w:tcW w:type="dxa" w:w="2160"/>
          </w:tcPr>
          <w:p>
            <w:r>
              <w:t>Electromagnetic Behavior</w:t>
            </w:r>
          </w:p>
        </w:tc>
        <w:tc>
          <w:tcPr>
            <w:tcW w:type="dxa" w:w="2160"/>
          </w:tcPr>
          <w:p>
            <w:r>
              <w:t>Null geodesic trapping</w:t>
            </w:r>
          </w:p>
        </w:tc>
        <w:tc>
          <w:tcPr>
            <w:tcW w:type="dxa" w:w="2160"/>
          </w:tcPr>
          <w:p>
            <w:r>
              <w:t>Mode-sector evanescence near transition</w:t>
            </w:r>
          </w:p>
        </w:tc>
        <w:tc>
          <w:tcPr>
            <w:tcW w:type="dxa" w:w="2160"/>
          </w:tcPr>
          <w:p>
            <w:r>
              <w:t>Interior phase-gradient-induced attenuation</w:t>
            </w:r>
          </w:p>
        </w:tc>
      </w:tr>
      <w:tr>
        <w:tc>
          <w:tcPr>
            <w:tcW w:type="dxa" w:w="2160"/>
          </w:tcPr>
          <w:p>
            <w:r>
              <w:t>Topology / Phase</w:t>
            </w:r>
          </w:p>
        </w:tc>
        <w:tc>
          <w:tcPr>
            <w:tcW w:type="dxa" w:w="2160"/>
          </w:tcPr>
          <w:p>
            <w:r>
              <w:t>No internal phase degree</w:t>
            </w:r>
          </w:p>
        </w:tc>
        <w:tc>
          <w:tcPr>
            <w:tcW w:type="dxa" w:w="2160"/>
          </w:tcPr>
          <w:p>
            <w:r>
              <w:t>Complex field; smooth branch dominant</w:t>
            </w:r>
          </w:p>
        </w:tc>
        <w:tc>
          <w:tcPr>
            <w:tcW w:type="dxa" w:w="2160"/>
          </w:tcPr>
          <w:p>
            <w:r>
              <w:t>Approximate U(1) with gradient-activated leakage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