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Paper III</w:t>
        <w:br/>
        <w:t>Gradient-Activated Phase Leakage and Vortex-Core Interiors in Coherence Gradient Gravity</w:t>
      </w:r>
    </w:p>
    <w:p>
      <w:r>
        <w:t>Timothy L. Garner</w:t>
      </w:r>
    </w:p>
    <w:p>
      <w:r>
        <w:t>March 2026</w:t>
      </w:r>
    </w:p>
    <w:p>
      <w:pPr>
        <w:pStyle w:val="Heading1"/>
      </w:pPr>
      <w:r>
        <w:t>Abstract</w:t>
      </w:r>
    </w:p>
    <w:p>
      <w:r>
        <w:t>We extend the nonlinear compact-object sector of Coherence Gradient Gravity (CGG) by introducing a gradient-activated approximate U(1) phase symmetry and a vortex nucleation criterion for rotating collapse interiors. Paper II established a smooth near-horizon basin (δ ≥ 0) in which strong-field deviations are bounded by log-envelope curvature while preserving exterior General Relativity (GR) behavior. The present work retains the GR event horizon as the causal boundary while allowing the interior to undergo a phase transition into metastable vortex filaments. Vortex nucleation occurs when rotational phase gradients exceed the healing-length threshold and phase-slip permission is activated by strong coherence gradients. Weak-field and exterior matching remain unchanged; observational deviations are restricted to dynamical ringdown coupling.</w:t>
      </w:r>
    </w:p>
    <w:p>
      <w:pPr>
        <w:pStyle w:val="Heading1"/>
      </w:pPr>
      <w:r>
        <w:t>1. Continuity with Papers I–II</w:t>
      </w:r>
    </w:p>
    <w:p>
      <w:r>
        <w:t>Paper II demonstrated that smooth nonlinear solutions (δ ≥ 0) form a GR-stable basin, with the proximity parameter ε controlled by log-envelope curvature near the Schwarzschild radius. Exterior solutions remain Schwarzschild/Kerr-like. Paper III does not modify the smooth branch or exterior metric structure; instead, it introduces an additional interior phase degree of freedom.</w:t>
      </w:r>
    </w:p>
    <w:p>
      <w:pPr>
        <w:pStyle w:val="Heading1"/>
      </w:pPr>
      <w:r>
        <w:t>2. Field Architecture</w:t>
      </w:r>
    </w:p>
    <w:p>
      <w:r>
        <w:t>We consider a complex coherence field ψ = A e^{iθ} with Mexican-hat potential V(A) = (λ/4)(A² − Ψ₀²)². The coherence is defined as C = |ψ|² = A². The healing length is ξ = c_s / sqrt(2λΨ₀²).</w:t>
      </w:r>
    </w:p>
    <w:p>
      <w:pPr>
        <w:pStyle w:val="Heading1"/>
      </w:pPr>
      <w:r>
        <w:t>3. Gradient-Activated Approximate U(1) Symmetry</w:t>
      </w:r>
    </w:p>
    <w:p>
      <w:r>
        <w:t>We introduce controlled explicit symmetry breaking activated by coherence gradients. Define χ = ln(C + C_ε), where C_ε &gt; 0 regularizes vortex cores. The breaking strength is defined as ε_b(x) = ε_b0 + η |∇χ|².</w:t>
      </w:r>
    </w:p>
    <w:p>
      <w:r>
        <w:t>The modified Lagrangian includes ΔL_break = −ε_b(x)(ψ + ψ*). The phase current j^μ = i(ψ*∂^μψ − ψ∂^μψ*) satisfies ∂_μ j^μ = 2 ε_b(x) Im(ψ), enabling controlled phase leakage.</w:t>
      </w:r>
    </w:p>
    <w:p>
      <w:pPr>
        <w:pStyle w:val="Heading1"/>
      </w:pPr>
      <w:r>
        <w:t>4. Vortex Nucleation Criterion in Rotating Collapse</w:t>
      </w:r>
    </w:p>
    <w:p>
      <w:r>
        <w:t>For axisymmetric interiors, let θ = mφ + θ_r(r). Using cylindrical radius ρ = r sin(ϑ), the phase-gradient magnitude is |∇θ|² ≈ m²/ρ² + (dθ_r/dr)².</w:t>
      </w:r>
    </w:p>
    <w:p>
      <w:r>
        <w:t>A sufficient nucleation condition is m²/ρ² ≥ γ_ξ/ξ², which yields ρ ≤ ρ_* = (|m|/√γ_ξ) ξ. Vortex nucleation further requires ε_b0 + η|∇χ|² ≥ ε_*.</w:t>
      </w:r>
    </w:p>
    <w:p>
      <w:pPr>
        <w:pStyle w:val="Heading1"/>
      </w:pPr>
      <w:r>
        <w:t>5. Interior Vortex State</w:t>
      </w:r>
    </w:p>
    <w:p>
      <w:r>
        <w:t>Within the nucleation region, amplitude A → 0 along vortex filaments, forming decoherence cores. These structures redistribute phase energy without modifying the exterior Kerr-like solution.</w:t>
      </w:r>
    </w:p>
    <w:p>
      <w:pPr>
        <w:pStyle w:val="Heading1"/>
      </w:pPr>
      <w:r>
        <w:t>6. Electromagnetic Propagation</w:t>
      </w:r>
    </w:p>
    <w:p>
      <w:r>
        <w:t>Large phase gradients and coherence gradients inside the vortex region drive electromagnetic-like modes toward effective evanescence (k² &lt; 0), producing interior attenuation without requiring geometric null trapping.</w:t>
      </w:r>
    </w:p>
    <w:p>
      <w:pPr>
        <w:pStyle w:val="Heading1"/>
      </w:pPr>
      <w:r>
        <w:t>7. Ringdown Dynamics</w:t>
      </w:r>
    </w:p>
    <w:p>
      <w:r>
        <w:t>Exterior quasi-normal modes remain Kerr-like. Interior vortex filaments introduce additional Kelvin/helical excitations that couple weakly to gravitational ringdown channels.</w:t>
      </w:r>
    </w:p>
    <w:p>
      <w:pPr>
        <w:pStyle w:val="Heading1"/>
      </w:pPr>
      <w:r>
        <w:t>8. Falsification Criteria</w:t>
      </w:r>
    </w:p>
    <w:p>
      <w:r>
        <w:t>The model fails if: (1) exterior multipoles deviate from Kerr beyond bounds; (2) Love-number suppression is not retained; (3) predicted echoes exceed observational limits; (4) vortex scales alter exterior behavior at r &gt; r_s.</w:t>
      </w:r>
    </w:p>
    <w:p>
      <w:pPr>
        <w:pStyle w:val="Heading1"/>
      </w:pPr>
      <w:r>
        <w:t>Conclusion</w:t>
      </w:r>
    </w:p>
    <w:p>
      <w:r>
        <w:t>Paper III introduces gradient-activated phase leakage and vortex-core interiors while preserving the GR event horizon and exterior compact-object behavior. Interior strong-field dynamics are governed by field-theoretic vortex physics without invoking geometric singularities.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