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Termination Policy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Overview: 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In order to ensure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u w:val="single"/>
          <w:rtl w:val="0"/>
        </w:rPr>
        <w:t xml:space="preserve">company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maintains a secure and efficient infrastructure, the IT department is responsible for either archiving or removing user data under the event that an employee’s employment is ending or has ended.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Process of termination: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3"/>
          <w:szCs w:val="23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The following procedures will be taken in the event that an employee parts from the company.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Employee’s supervisor will notify the HR department of termination within 2 weeks before termination date.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Employee’s supervisor is responsible for requesting access to any needed data of departing employee’s accounts and data accessed and created with the company.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HR will submit a ticket to the IT department notifying them of employee’s leave.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The IT department will begin disabling deploying employee’s data within 2 days of receiving the ticket request.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All data and accounts will first be archived for 30 days.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After 30 days, data that may be of use to the company will be preserved in the company database while other accounts and data will be deleted.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Archived data then will be kept for up to 6 months for legal proceedings then permanently deleted after the stated time period.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If there are special accommodations that need to be made for the deploying employee, please contact the HR and IT department immediately so that proper measures can be taken.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Sources: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3"/>
          <w:szCs w:val="23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3"/>
            <w:szCs w:val="23"/>
            <w:rtl w:val="0"/>
          </w:rPr>
          <w:t xml:space="preserve">https://my.scnm.edu/ICS/icsfs/Terminating_Network_User_Account_Policy.pdf?target=69989fe3-2970-4827-8dc9-7cc5d7d5c32d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3"/>
          <w:szCs w:val="23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3"/>
            <w:szCs w:val="23"/>
            <w:rtl w:val="0"/>
          </w:rPr>
          <w:t xml:space="preserve">https://blog.netwrix.com/2015/10/21/how-should-it-handle-user-termination/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3"/>
          <w:szCs w:val="23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3"/>
            <w:szCs w:val="23"/>
            <w:rtl w:val="0"/>
          </w:rPr>
          <w:t xml:space="preserve">https://www.thebalancecareers.com/employee-termination-from-an-it-perspective-1919342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u w:val="single"/>
        <w:rtl w:val="0"/>
      </w:rPr>
      <w:t xml:space="preserve">TeamXX_InjectXX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my.scnm.edu/ICS/icsfs/Terminating_Network_User_Account_Policy.pdf?target=69989fe3-2970-4827-8dc9-7cc5d7d5c32d" TargetMode="External"/><Relationship Id="rId7" Type="http://schemas.openxmlformats.org/officeDocument/2006/relationships/hyperlink" Target="https://blog.netwrix.com/2015/10/21/how-should-it-handle-user-termination/" TargetMode="External"/><Relationship Id="rId8" Type="http://schemas.openxmlformats.org/officeDocument/2006/relationships/hyperlink" Target="https://www.thebalancecareers.com/employee-termination-from-an-it-perspective-19193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