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6"/>
          <w:szCs w:val="36"/>
        </w:rPr>
        <w:t xml:space="preserve">Innerarc</w:t>
      </w:r>
    </w:p>
    <w:p>
      <w:pPr>
        <w:spacing w:after="60"/>
        <w:jc w:val="center"/>
      </w:pPr>
      <w:r>
        <w:rPr>
          <w:rFonts w:ascii="Times New Roman" w:cs="Times New Roman" w:eastAsia="Times New Roman" w:hAnsi="Times New Roman"/>
          <w:color w:val="000000"/>
          <w:sz w:val="28"/>
          <w:szCs w:val="28"/>
        </w:rPr>
        <w:t xml:space="preserve">Implementation Plan</w:t>
      </w:r>
    </w:p>
    <w:p>
      <w:pPr>
        <w:spacing w:after="200"/>
      </w:pPr>
    </w:p>
    <w:p>
      <w:pPr>
        <w:spacing w:after="60"/>
        <w:jc w:val="center"/>
      </w:pPr>
      <w:r>
        <w:rPr>
          <w:rFonts w:ascii="Times New Roman" w:cs="Times New Roman" w:eastAsia="Times New Roman" w:hAnsi="Times New Roman"/>
          <w:color w:val="000000"/>
          <w:sz w:val="28"/>
          <w:szCs w:val="28"/>
        </w:rPr>
        <w:t xml:space="preserve">Prepared by: Tharun P</w:t>
      </w:r>
    </w:p>
    <w:p>
      <w:pPr>
        <w:spacing w:after="60"/>
        <w:jc w:val="center"/>
      </w:pPr>
      <w:r>
        <w:rPr>
          <w:rFonts w:ascii="Times New Roman" w:cs="Times New Roman" w:eastAsia="Times New Roman" w:hAnsi="Times New Roman"/>
          <w:color w:val="000000"/>
          <w:sz w:val="28"/>
          <w:szCs w:val="28"/>
        </w:rPr>
        <w:t xml:space="preserve">B.E. Computer Science and Business Systems, Rajalakshmi Institute of Technology</w:t>
      </w:r>
    </w:p>
    <w:p>
      <w:pPr>
        <w:spacing w:after="60"/>
        <w:jc w:val="center"/>
      </w:pPr>
      <w:r>
        <w:rPr>
          <w:rFonts w:ascii="Times New Roman" w:cs="Times New Roman" w:eastAsia="Times New Roman" w:hAnsi="Times New Roman"/>
          <w:color w:val="000000"/>
          <w:sz w:val="28"/>
          <w:szCs w:val="28"/>
        </w:rPr>
        <w:t xml:space="preserve">Version 1.0</w:t>
      </w:r>
    </w:p>
    <w:p>
      <w:pPr>
        <w:spacing w:after="400"/>
      </w:pPr>
    </w:p>
    <w:p>
      <w:pPr>
        <w:pStyle w:val="Heading1"/>
        <w:spacing w:after="160" w:before="320" w:line="360" w:lineRule="auto"/>
      </w:pPr>
      <w:r>
        <w:rPr>
          <w:rFonts w:ascii="Times New Roman" w:cs="Times New Roman" w:eastAsia="Times New Roman" w:hAnsi="Times New Roman"/>
          <w:b/>
          <w:bCs/>
          <w:color w:val="000000"/>
          <w:sz w:val="28"/>
          <w:szCs w:val="28"/>
        </w:rPr>
        <w:t xml:space="preserve">1. Planning Assumption</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This plan assumes a single academic semester of roughly 12 working weeks. Where the actual timeline differs, the week numbers below should be rescaled proportionally; the milestone order should stay the same, since later milestones depend on earlier ones (the AI Coach needs logged data to reason over, so it is sequenced after logging is working).</w:t>
      </w:r>
    </w:p>
    <w:p>
      <w:pPr>
        <w:pStyle w:val="Heading1"/>
        <w:spacing w:after="160" w:before="320" w:line="360" w:lineRule="auto"/>
      </w:pPr>
      <w:r>
        <w:rPr>
          <w:rFonts w:ascii="Times New Roman" w:cs="Times New Roman" w:eastAsia="Times New Roman" w:hAnsi="Times New Roman"/>
          <w:b/>
          <w:bCs/>
          <w:color w:val="000000"/>
          <w:sz w:val="28"/>
          <w:szCs w:val="28"/>
        </w:rPr>
        <w:t xml:space="preserve">2. Phased Roadmap</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7300"/>
      </w:tblGrid>
      <w:tr>
        <w:trPr>
          <w:tblHeader/>
        </w:trPr>
        <w:tc>
          <w:tcPr>
            <w:tcW w:type="dxa" w:w="22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Tier</w:t>
            </w:r>
          </w:p>
        </w:tc>
        <w:tc>
          <w:tcPr>
            <w:tcW w:type="dxa" w:w="73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Scope</w:t>
            </w:r>
          </w:p>
        </w:tc>
      </w:tr>
      <w:tr>
        <w:tc>
          <w:tcPr>
            <w:tcW w:type="dxa" w:w="2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Core</w:t>
            </w:r>
          </w:p>
        </w:tc>
        <w:tc>
          <w:tcPr>
            <w:tcW w:type="dxa" w:w="73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Dish classifier and nutrition dashboard; tagged workout database and recommender; pose-estimation progress tracking; AI coach with retrieval over logged data; gamification; central dashboard.</w:t>
            </w:r>
          </w:p>
        </w:tc>
      </w:tr>
      <w:tr>
        <w:tc>
          <w:tcPr>
            <w:tcW w:type="dxa" w:w="2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Phase 2</w:t>
            </w:r>
          </w:p>
        </w:tc>
        <w:tc>
          <w:tcPr>
            <w:tcW w:type="dxa" w:w="73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Multi-item plate segmentation; Health Connect wearable integration; proactive (not just on-demand) AI coaching.</w:t>
            </w:r>
          </w:p>
        </w:tc>
      </w:tr>
      <w:tr>
        <w:tc>
          <w:tcPr>
            <w:tcW w:type="dxa" w:w="2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Future scope</w:t>
            </w:r>
          </w:p>
        </w:tc>
        <w:tc>
          <w:tcPr>
            <w:tcW w:type="dxa" w:w="73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Custom hardware wearable; clinical-grade SpO2/BP; multi-cuisine expansion; full habit-coaching reminders engine.</w:t>
            </w:r>
          </w:p>
        </w:tc>
      </w:tr>
    </w:tbl>
    <w:p>
      <w:pPr>
        <w:spacing w:after="160"/>
      </w:pPr>
    </w:p>
    <w:p>
      <w:pPr>
        <w:pStyle w:val="Heading1"/>
        <w:spacing w:after="160" w:before="320" w:line="360" w:lineRule="auto"/>
      </w:pPr>
      <w:r>
        <w:rPr>
          <w:rFonts w:ascii="Times New Roman" w:cs="Times New Roman" w:eastAsia="Times New Roman" w:hAnsi="Times New Roman"/>
          <w:b/>
          <w:bCs/>
          <w:color w:val="000000"/>
          <w:sz w:val="28"/>
          <w:szCs w:val="28"/>
        </w:rPr>
        <w:t xml:space="preserve">3. Week-by-Week Milestones</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900"/>
        <w:gridCol w:w="2600"/>
        <w:gridCol w:w="6100"/>
      </w:tblGrid>
      <w:tr>
        <w:trPr>
          <w:tblHeader/>
        </w:trPr>
        <w:tc>
          <w:tcPr>
            <w:tcW w:type="dxa" w:w="9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Week</w:t>
            </w:r>
          </w:p>
        </w:tc>
        <w:tc>
          <w:tcPr>
            <w:tcW w:type="dxa" w:w="26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Milestone</w:t>
            </w:r>
          </w:p>
        </w:tc>
        <w:tc>
          <w:tcPr>
            <w:tcW w:type="dxa" w:w="61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Deliverable</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Setup and data collection</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Repo, environments, and datasets (Food-101, Indian food dataset, curated dish list) ready.</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2–3</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Food classifier v1</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CNN trained via transfer learning; ≥ 85% top-1 accuracy on the curated dish list.</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Nutrition mapping</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Dish-to-ingredient-to-nutrition pipeline (USDA + IFCT 2017) working end to end.</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Workout database</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Tagged workout and program database live; filter/recommend logic working.</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Progress intelligence v1</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MediaPipe pose pipeline extracting landmarks and computing ratios from a photo.</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Core backend and dashboard</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Backend schema (Section 6 of the TRD) implemented; dashboard renders logged data.</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AI coach v1</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LLM integration with retrieval over the user's logged data; answers grounded questions.</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Gamification and reminders</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Streaks, badges, and basic reminders wired to the logging events.</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Phase 2 (if time allows)</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Health Connect integration for real steps/heart rate/sleep.</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Testing and polish</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Bug fixes, UI polish, accuracy validation pass.</w:t>
            </w:r>
          </w:p>
        </w:tc>
      </w:tr>
      <w:tr>
        <w:tc>
          <w:tcPr>
            <w:tcW w:type="dxa" w:w="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Report and demo</w:t>
            </w:r>
          </w:p>
        </w:tc>
        <w:tc>
          <w:tcPr>
            <w:tcW w:type="dxa" w:w="61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Final report, recorded or live demo, presentation.</w:t>
            </w:r>
          </w:p>
        </w:tc>
      </w:tr>
    </w:tbl>
    <w:p>
      <w:pPr>
        <w:spacing w:after="160"/>
      </w:pPr>
    </w:p>
    <w:p>
      <w:pPr>
        <w:pStyle w:val="Heading1"/>
        <w:spacing w:after="160" w:before="320" w:line="360" w:lineRule="auto"/>
      </w:pPr>
      <w:r>
        <w:rPr>
          <w:rFonts w:ascii="Times New Roman" w:cs="Times New Roman" w:eastAsia="Times New Roman" w:hAnsi="Times New Roman"/>
          <w:b/>
          <w:bCs/>
          <w:color w:val="000000"/>
          <w:sz w:val="28"/>
          <w:szCs w:val="28"/>
        </w:rPr>
        <w:t xml:space="preserve">4. Environment and Tooling Setup</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ML: Python, TensorFlow or PyTorch, a GPU-enabled environment (local GPU or a free-tier cloud notebook) for training the classifier.</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Backend: FastAPI or Node.js/Express, PostgreSQL, an S3-compatible bucket (or local equivalent) for photo storage.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Frontend: React Native (or React for a web-only demo).</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AI coach: an API key for the chosen LLM provider, plus a lightweight retrieval step over the PostgreSQL logs.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Version control: a single Git repository with the ML pipeline, backend, and frontend as separate top-level folders.</w:t>
      </w:r>
    </w:p>
    <w:p>
      <w:pPr>
        <w:pStyle w:val="Heading1"/>
        <w:spacing w:after="160" w:before="320" w:line="360" w:lineRule="auto"/>
      </w:pPr>
      <w:r>
        <w:rPr>
          <w:rFonts w:ascii="Times New Roman" w:cs="Times New Roman" w:eastAsia="Times New Roman" w:hAnsi="Times New Roman"/>
          <w:b/>
          <w:bCs/>
          <w:color w:val="000000"/>
          <w:sz w:val="28"/>
          <w:szCs w:val="28"/>
        </w:rPr>
        <w:t xml:space="preserve">5. Testing Approach</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Classifier accuracy: held-out test split reported as top-1 and top-3 accuracy per dish class, not just an aggregate number.</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Nutrition calculation: unit tests on the dish-to-nutrition mapping against manually verified values for a sample of dishes.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Workout recommender: test that every combination of modality, level, goal, and equipment access returns at least one result.</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Progress ratios: sanity-check computed ratios against manual measurement on a small sample of test photos.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Usability: a short informal user test (5–10 people) on the core logging flow, since low-friction logging is a stated success metric.</w:t>
      </w:r>
    </w:p>
    <w:p>
      <w:pPr>
        <w:pStyle w:val="Heading1"/>
        <w:spacing w:after="160" w:before="320" w:line="360" w:lineRule="auto"/>
      </w:pPr>
      <w:r>
        <w:rPr>
          <w:rFonts w:ascii="Times New Roman" w:cs="Times New Roman" w:eastAsia="Times New Roman" w:hAnsi="Times New Roman"/>
          <w:b/>
          <w:bCs/>
          <w:color w:val="000000"/>
          <w:sz w:val="28"/>
          <w:szCs w:val="28"/>
        </w:rPr>
        <w:t xml:space="preserve">6. Deployment Plan</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For a project demo, a web build (React frontend plus FastAPI/Express backend) deployed on a free or low-cost tier (Render, Railway, or similar) is sufficient and avoids app-store review timelines. If a mobile build is required, React Native can be demoed via Expo without a full app-store submission. The ML model can be served from the same backend or as a separate lightweight inference service if latency becomes an issue.</w:t>
      </w:r>
    </w:p>
    <w:p>
      <w:pPr>
        <w:pStyle w:val="Heading1"/>
        <w:spacing w:after="160" w:before="320" w:line="360" w:lineRule="auto"/>
      </w:pPr>
      <w:r>
        <w:rPr>
          <w:rFonts w:ascii="Times New Roman" w:cs="Times New Roman" w:eastAsia="Times New Roman" w:hAnsi="Times New Roman"/>
          <w:b/>
          <w:bCs/>
          <w:color w:val="000000"/>
          <w:sz w:val="28"/>
          <w:szCs w:val="28"/>
        </w:rPr>
        <w:t xml:space="preserve">7. Report Alignment</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This phased structure is deliberately designed to match a typical project report outline: Introduction and Problem Statement draw from the PRD (Sections 1–3); System Design draws from the TRD and Backend Schema; Implementation draws from this document; and a Future Scope section draws directly from the Future-scope row in Section 2, so the full ambition of the idea is documented even though only the Core and, time permitting, Phase 2 tiers are actually built and demonstrated.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2026-08-16T09:15:40.218Z</dcterms:created>
  <dcterms:modified xsi:type="dcterms:W3CDTF">2026-08-16T09:15:40.218Z</dcterms:modified>
</cp:coreProperties>
</file>

<file path=docProps/custom.xml><?xml version="1.0" encoding="utf-8"?>
<Properties xmlns="http://schemas.openxmlformats.org/officeDocument/2006/custom-properties" xmlns:vt="http://schemas.openxmlformats.org/officeDocument/2006/docPropsVTypes"/>
</file>