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000000"/>
          <w:sz w:val="36"/>
          <w:szCs w:val="36"/>
        </w:rPr>
        <w:t xml:space="preserve">Innerarc</w:t>
      </w:r>
    </w:p>
    <w:p>
      <w:pPr>
        <w:spacing w:after="60"/>
        <w:jc w:val="center"/>
      </w:pPr>
      <w:r>
        <w:rPr>
          <w:rFonts w:ascii="Times New Roman" w:cs="Times New Roman" w:eastAsia="Times New Roman" w:hAnsi="Times New Roman"/>
          <w:color w:val="000000"/>
          <w:sz w:val="28"/>
          <w:szCs w:val="28"/>
        </w:rPr>
        <w:t xml:space="preserve">Technical Requirements Document (TRD)</w:t>
      </w:r>
    </w:p>
    <w:p>
      <w:pPr>
        <w:spacing w:after="200"/>
      </w:pPr>
    </w:p>
    <w:p>
      <w:pPr>
        <w:spacing w:after="60"/>
        <w:jc w:val="center"/>
      </w:pPr>
      <w:r>
        <w:rPr>
          <w:rFonts w:ascii="Times New Roman" w:cs="Times New Roman" w:eastAsia="Times New Roman" w:hAnsi="Times New Roman"/>
          <w:color w:val="000000"/>
          <w:sz w:val="28"/>
          <w:szCs w:val="28"/>
        </w:rPr>
        <w:t xml:space="preserve">Prepared by: Tharun P</w:t>
      </w:r>
    </w:p>
    <w:p>
      <w:pPr>
        <w:spacing w:after="60"/>
        <w:jc w:val="center"/>
      </w:pPr>
      <w:r>
        <w:rPr>
          <w:rFonts w:ascii="Times New Roman" w:cs="Times New Roman" w:eastAsia="Times New Roman" w:hAnsi="Times New Roman"/>
          <w:color w:val="000000"/>
          <w:sz w:val="28"/>
          <w:szCs w:val="28"/>
        </w:rPr>
        <w:t xml:space="preserve">B.E. Computer Science and Business Systems, Rajalakshmi Institute of Technology</w:t>
      </w:r>
    </w:p>
    <w:p>
      <w:pPr>
        <w:spacing w:after="60"/>
        <w:jc w:val="center"/>
      </w:pPr>
      <w:r>
        <w:rPr>
          <w:rFonts w:ascii="Times New Roman" w:cs="Times New Roman" w:eastAsia="Times New Roman" w:hAnsi="Times New Roman"/>
          <w:color w:val="000000"/>
          <w:sz w:val="28"/>
          <w:szCs w:val="28"/>
        </w:rPr>
        <w:t xml:space="preserve">Version 1.0</w:t>
      </w:r>
    </w:p>
    <w:p>
      <w:pPr>
        <w:spacing w:after="400"/>
      </w:pPr>
    </w:p>
    <w:p>
      <w:pPr>
        <w:pStyle w:val="Heading1"/>
        <w:spacing w:after="160" w:before="320" w:line="360" w:lineRule="auto"/>
      </w:pPr>
      <w:r>
        <w:rPr>
          <w:rFonts w:ascii="Times New Roman" w:cs="Times New Roman" w:eastAsia="Times New Roman" w:hAnsi="Times New Roman"/>
          <w:b/>
          <w:bCs/>
          <w:color w:val="000000"/>
          <w:sz w:val="28"/>
          <w:szCs w:val="28"/>
        </w:rPr>
        <w:t xml:space="preserve">1. System Architecture Overview</w:t>
      </w:r>
    </w:p>
    <w:p>
      <w:pPr>
        <w:spacing w:after="160" w:line="360" w:lineRule="auto"/>
        <w:jc w:val="both"/>
      </w:pPr>
      <w:r>
        <w:rPr>
          <w:rFonts w:ascii="Times New Roman" w:cs="Times New Roman" w:eastAsia="Times New Roman" w:hAnsi="Times New Roman"/>
          <w:b w:val="false"/>
          <w:bCs w:val="false"/>
          <w:i w:val="false"/>
          <w:iCs w:val="false"/>
          <w:color w:val="000000"/>
          <w:sz w:val="24"/>
          <w:szCs w:val="24"/>
        </w:rPr>
        <w:t xml:space="preserve">Innerarc is organised around a closed loop: four input streams (food photos, progress photos, workout logs, and wearable data) feed a central AI health engine, which produces two outputs (a personalized daily plan and a progress dashboard) that in turn shape the next day's inputs. The five functional modules below implement that loop.</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Food and Nutrition Module — dish classification, ingredient inference, calorie and macro tracking.</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Progress Intelligence Module — pose-estimation-based photo analysis for ratio and silhouette tracking.</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Workout Engine — tagged content database and rule-based program/individual-workout recommender.</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AI Coach — LLM-based assistant with retrieval over the user's own logged data, reasoning across all modules.</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Wearable Integration — Health Connect (Android) and Apple HealthKit (iOS) data ingestion.</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Gamification Layer — streaks, badges, and milestone logic, event-driven off the other four modules.</w:t>
      </w:r>
    </w:p>
    <w:p>
      <w:pPr>
        <w:pStyle w:val="Heading1"/>
        <w:spacing w:after="160" w:before="320" w:line="360" w:lineRule="auto"/>
      </w:pPr>
      <w:r>
        <w:rPr>
          <w:rFonts w:ascii="Times New Roman" w:cs="Times New Roman" w:eastAsia="Times New Roman" w:hAnsi="Times New Roman"/>
          <w:b/>
          <w:bCs/>
          <w:color w:val="000000"/>
          <w:sz w:val="28"/>
          <w:szCs w:val="28"/>
        </w:rPr>
        <w:t xml:space="preserve">2. Technology Stack</w:t>
      </w:r>
    </w:p>
    <w:tbl>
      <w:tblPr>
        <w:tblW w:type="dxa" w:w="9600"/>
        <w:tblBorders>
          <w:top w:val="single" w:color="999999" w:sz="4"/>
          <w:left w:val="single" w:color="999999" w:sz="4"/>
          <w:bottom w:val="single" w:color="999999" w:sz="4"/>
          <w:right w:val="single" w:color="999999" w:sz="4"/>
          <w:insideH w:val="single" w:color="CCCCCC" w:sz="4"/>
          <w:insideV w:val="single" w:color="CCCCCC" w:sz="4"/>
        </w:tblBorders>
      </w:tblPr>
      <w:tblGrid>
        <w:gridCol w:w="3200"/>
        <w:gridCol w:w="6400"/>
      </w:tblGrid>
      <w:tr>
        <w:trPr>
          <w:tblHeader/>
        </w:trPr>
        <w:tc>
          <w:tcPr>
            <w:tcW w:type="dxa" w:w="3200"/>
            <w:shd w:fill="D9D9D9" w:val="clear"/>
            <w:tcMar>
              <w:top w:type="dxa" w:w="80"/>
              <w:left w:type="dxa" w:w="100"/>
              <w:bottom w:type="dxa" w:w="80"/>
              <w:right w:type="dxa" w:w="100"/>
            </w:tcMar>
          </w:tcPr>
          <w:p>
            <w:pPr>
              <w:spacing w:line="276" w:lineRule="auto"/>
              <w:jc w:val="left"/>
            </w:pPr>
            <w:r>
              <w:rPr>
                <w:rFonts w:ascii="Times New Roman" w:cs="Times New Roman" w:eastAsia="Times New Roman" w:hAnsi="Times New Roman"/>
                <w:b/>
                <w:bCs/>
                <w:color w:val="000000"/>
                <w:sz w:val="22"/>
                <w:szCs w:val="22"/>
              </w:rPr>
              <w:t xml:space="preserve">Layer</w:t>
            </w:r>
          </w:p>
        </w:tc>
        <w:tc>
          <w:tcPr>
            <w:tcW w:type="dxa" w:w="6400"/>
            <w:shd w:fill="D9D9D9" w:val="clear"/>
            <w:tcMar>
              <w:top w:type="dxa" w:w="80"/>
              <w:left w:type="dxa" w:w="100"/>
              <w:bottom w:type="dxa" w:w="80"/>
              <w:right w:type="dxa" w:w="100"/>
            </w:tcMar>
          </w:tcPr>
          <w:p>
            <w:pPr>
              <w:spacing w:line="276" w:lineRule="auto"/>
              <w:jc w:val="left"/>
            </w:pPr>
            <w:r>
              <w:rPr>
                <w:rFonts w:ascii="Times New Roman" w:cs="Times New Roman" w:eastAsia="Times New Roman" w:hAnsi="Times New Roman"/>
                <w:b/>
                <w:bCs/>
                <w:color w:val="000000"/>
                <w:sz w:val="22"/>
                <w:szCs w:val="22"/>
              </w:rPr>
              <w:t xml:space="preserve">Choice</w:t>
            </w:r>
          </w:p>
        </w:tc>
      </w:tr>
      <w:tr>
        <w:tc>
          <w:tcPr>
            <w:tcW w:type="dxa" w:w="32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Food classifier (CV/ML)</w:t>
            </w:r>
          </w:p>
        </w:tc>
        <w:tc>
          <w:tcPr>
            <w:tcW w:type="dxa" w:w="64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TensorFlow or PyTorch; transfer learning on EfficientNetB0/ResNet50</w:t>
            </w:r>
          </w:p>
        </w:tc>
      </w:tr>
      <w:tr>
        <w:tc>
          <w:tcPr>
            <w:tcW w:type="dxa" w:w="32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Pose estimation</w:t>
            </w:r>
          </w:p>
        </w:tc>
        <w:tc>
          <w:tcPr>
            <w:tcW w:type="dxa" w:w="64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MediaPipe Pose</w:t>
            </w:r>
          </w:p>
        </w:tc>
      </w:tr>
      <w:tr>
        <w:tc>
          <w:tcPr>
            <w:tcW w:type="dxa" w:w="32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Backend</w:t>
            </w:r>
          </w:p>
        </w:tc>
        <w:tc>
          <w:tcPr>
            <w:tcW w:type="dxa" w:w="64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FastAPI (Python) or Node.js/Express</w:t>
            </w:r>
          </w:p>
        </w:tc>
      </w:tr>
      <w:tr>
        <w:tc>
          <w:tcPr>
            <w:tcW w:type="dxa" w:w="32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Frontend</w:t>
            </w:r>
          </w:p>
        </w:tc>
        <w:tc>
          <w:tcPr>
            <w:tcW w:type="dxa" w:w="64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React Native (mobile) or React (web demo)</w:t>
            </w:r>
          </w:p>
        </w:tc>
      </w:tr>
      <w:tr>
        <w:tc>
          <w:tcPr>
            <w:tcW w:type="dxa" w:w="32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Database</w:t>
            </w:r>
          </w:p>
        </w:tc>
        <w:tc>
          <w:tcPr>
            <w:tcW w:type="dxa" w:w="64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PostgreSQL (relational data) with object storage (S3-compatible) for photos</w:t>
            </w:r>
          </w:p>
        </w:tc>
      </w:tr>
      <w:tr>
        <w:tc>
          <w:tcPr>
            <w:tcW w:type="dxa" w:w="32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AI coach</w:t>
            </w:r>
          </w:p>
        </w:tc>
        <w:tc>
          <w:tcPr>
            <w:tcW w:type="dxa" w:w="64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Claude or GPT API, with a retrieval step over the user's own logged data (RAG)</w:t>
            </w:r>
          </w:p>
        </w:tc>
      </w:tr>
      <w:tr>
        <w:tc>
          <w:tcPr>
            <w:tcW w:type="dxa" w:w="32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Wearable data</w:t>
            </w:r>
          </w:p>
        </w:tc>
        <w:tc>
          <w:tcPr>
            <w:tcW w:type="dxa" w:w="64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Android Health Connect; Apple HealthKit</w:t>
            </w:r>
          </w:p>
        </w:tc>
      </w:tr>
      <w:tr>
        <w:tc>
          <w:tcPr>
            <w:tcW w:type="dxa" w:w="32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Nutrition data</w:t>
            </w:r>
          </w:p>
        </w:tc>
        <w:tc>
          <w:tcPr>
            <w:tcW w:type="dxa" w:w="64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USDA FoodData Central API; IFCT 2017 for Indian dishes</w:t>
            </w:r>
          </w:p>
        </w:tc>
      </w:tr>
    </w:tbl>
    <w:p>
      <w:pPr>
        <w:spacing w:after="160"/>
      </w:pPr>
    </w:p>
    <w:p>
      <w:pPr>
        <w:pStyle w:val="Heading1"/>
        <w:spacing w:after="160" w:before="320" w:line="360" w:lineRule="auto"/>
      </w:pPr>
      <w:r>
        <w:rPr>
          <w:rFonts w:ascii="Times New Roman" w:cs="Times New Roman" w:eastAsia="Times New Roman" w:hAnsi="Times New Roman"/>
          <w:b/>
          <w:bCs/>
          <w:color w:val="000000"/>
          <w:sz w:val="28"/>
          <w:szCs w:val="28"/>
        </w:rPr>
        <w:t xml:space="preserve">3. Module-by-Module Technical Breakdown</w:t>
      </w:r>
    </w:p>
    <w:p>
      <w:pPr>
        <w:pStyle w:val="Heading2"/>
        <w:spacing w:after="120" w:before="220" w:line="360" w:lineRule="auto"/>
      </w:pPr>
      <w:r>
        <w:rPr>
          <w:rFonts w:ascii="Times New Roman" w:cs="Times New Roman" w:eastAsia="Times New Roman" w:hAnsi="Times New Roman"/>
          <w:b/>
          <w:bCs/>
          <w:i w:val="false"/>
          <w:iCs w:val="false"/>
          <w:color w:val="000000"/>
          <w:sz w:val="28"/>
          <w:szCs w:val="28"/>
        </w:rPr>
        <w:t xml:space="preserve">3.1 Food and Nutrition Module</w:t>
      </w:r>
    </w:p>
    <w:p>
      <w:pPr>
        <w:spacing w:after="160" w:line="360" w:lineRule="auto"/>
        <w:jc w:val="both"/>
      </w:pPr>
      <w:r>
        <w:rPr>
          <w:rFonts w:ascii="Times New Roman" w:cs="Times New Roman" w:eastAsia="Times New Roman" w:hAnsi="Times New Roman"/>
          <w:b w:val="false"/>
          <w:bCs w:val="false"/>
          <w:i w:val="false"/>
          <w:iCs w:val="false"/>
          <w:color w:val="000000"/>
          <w:sz w:val="24"/>
          <w:szCs w:val="24"/>
        </w:rPr>
        <w:t xml:space="preserve">A CNN classifies the photographed dish against a curated 25–30 class list built from Food-101 and an Indian food dataset. The predicted dish is looked up in a recipe/ingredient table to return its typical ingredients, then mapped to nutrition data from USDA FoodData Central or IFCT 2017. This is implemented as ingredient inference (dish to known recipe) rather than pixel-level ingredient detection, which is not reliable for cooked or mixed dishes. Where a plate has clearly separated items, a secondary object-detection pass (e.g. YOLO) can identify each item independently.</w:t>
      </w:r>
    </w:p>
    <w:p>
      <w:pPr>
        <w:pStyle w:val="Heading2"/>
        <w:spacing w:after="120" w:before="220" w:line="360" w:lineRule="auto"/>
      </w:pPr>
      <w:r>
        <w:rPr>
          <w:rFonts w:ascii="Times New Roman" w:cs="Times New Roman" w:eastAsia="Times New Roman" w:hAnsi="Times New Roman"/>
          <w:b/>
          <w:bCs/>
          <w:i w:val="false"/>
          <w:iCs w:val="false"/>
          <w:color w:val="000000"/>
          <w:sz w:val="28"/>
          <w:szCs w:val="28"/>
        </w:rPr>
        <w:t xml:space="preserve">3.2 Progress Intelligence Module</w:t>
      </w:r>
    </w:p>
    <w:p>
      <w:pPr>
        <w:spacing w:after="160" w:line="360" w:lineRule="auto"/>
        <w:jc w:val="both"/>
      </w:pPr>
      <w:r>
        <w:rPr>
          <w:rFonts w:ascii="Times New Roman" w:cs="Times New Roman" w:eastAsia="Times New Roman" w:hAnsi="Times New Roman"/>
          <w:b w:val="false"/>
          <w:bCs w:val="false"/>
          <w:i w:val="false"/>
          <w:iCs w:val="false"/>
          <w:color w:val="000000"/>
          <w:sz w:val="24"/>
          <w:szCs w:val="24"/>
        </w:rPr>
        <w:t xml:space="preserve">MediaPipe Pose extracts body landmarks from a user-submitted photo. From these landmarks the module computes relative ratios (waist-to-hip, shoulder-to-waist) and stores them alongside a downsized copy of the photo for a before/after comparison view. The module explicitly does not claim to compute body-fat percentage; that framing is a defined non-goal (see PRD, Section 10).</w:t>
      </w:r>
    </w:p>
    <w:p>
      <w:pPr>
        <w:pStyle w:val="Heading2"/>
        <w:spacing w:after="120" w:before="220" w:line="360" w:lineRule="auto"/>
      </w:pPr>
      <w:r>
        <w:rPr>
          <w:rFonts w:ascii="Times New Roman" w:cs="Times New Roman" w:eastAsia="Times New Roman" w:hAnsi="Times New Roman"/>
          <w:b/>
          <w:bCs/>
          <w:i w:val="false"/>
          <w:iCs w:val="false"/>
          <w:color w:val="000000"/>
          <w:sz w:val="28"/>
          <w:szCs w:val="28"/>
        </w:rPr>
        <w:t xml:space="preserve">3.3 Workout Engine</w:t>
      </w:r>
    </w:p>
    <w:p>
      <w:pPr>
        <w:spacing w:after="160" w:line="360" w:lineRule="auto"/>
        <w:jc w:val="both"/>
      </w:pPr>
      <w:r>
        <w:rPr>
          <w:rFonts w:ascii="Times New Roman" w:cs="Times New Roman" w:eastAsia="Times New Roman" w:hAnsi="Times New Roman"/>
          <w:b w:val="false"/>
          <w:bCs w:val="false"/>
          <w:i w:val="false"/>
          <w:iCs w:val="false"/>
          <w:color w:val="000000"/>
          <w:sz w:val="24"/>
          <w:szCs w:val="24"/>
        </w:rPr>
        <w:t xml:space="preserve">Every workout and program is tagged along four axes: modality (bodyweight, weighted, home gym, yoga, aerobics), level (beginner/intermediate/advanced), goal (fat loss, muscle gain, recomposition, endurance, general fitness), and calibration inputs (biological sex, body stats) used to set starting parameters such as baseline load and calorie range. Calibration adjusts recommended starting values only — it does not restrict which content a user can access. The recommender is a filtered query against this tagged database, not a machine-learning model.</w:t>
      </w:r>
    </w:p>
    <w:p>
      <w:pPr>
        <w:pStyle w:val="Heading2"/>
        <w:spacing w:after="120" w:before="220" w:line="360" w:lineRule="auto"/>
      </w:pPr>
      <w:r>
        <w:rPr>
          <w:rFonts w:ascii="Times New Roman" w:cs="Times New Roman" w:eastAsia="Times New Roman" w:hAnsi="Times New Roman"/>
          <w:b/>
          <w:bCs/>
          <w:i w:val="false"/>
          <w:iCs w:val="false"/>
          <w:color w:val="000000"/>
          <w:sz w:val="28"/>
          <w:szCs w:val="28"/>
        </w:rPr>
        <w:t xml:space="preserve">3.4 AI Coach</w:t>
      </w:r>
    </w:p>
    <w:p>
      <w:pPr>
        <w:spacing w:after="160" w:line="360" w:lineRule="auto"/>
        <w:jc w:val="both"/>
      </w:pPr>
      <w:r>
        <w:rPr>
          <w:rFonts w:ascii="Times New Roman" w:cs="Times New Roman" w:eastAsia="Times New Roman" w:hAnsi="Times New Roman"/>
          <w:b w:val="false"/>
          <w:bCs w:val="false"/>
          <w:i w:val="false"/>
          <w:iCs w:val="false"/>
          <w:color w:val="000000"/>
          <w:sz w:val="24"/>
          <w:szCs w:val="24"/>
        </w:rPr>
        <w:t xml:space="preserve">The coach is a retrieval-augmented LLM assistant: each query is augmented with a snapshot of the user's recent logs (meals, workouts, progress metrics, wearable data) before being sent to the model, so responses are grounded in the user's actual data rather than generic advice. In the Phase 2 tier, the coach also runs on a schedule to proactively surface patterns (adherence drop plus falling protein intake, for example) rather than only responding to direct questions.</w:t>
      </w:r>
    </w:p>
    <w:p>
      <w:pPr>
        <w:pStyle w:val="Heading2"/>
        <w:spacing w:after="120" w:before="220" w:line="360" w:lineRule="auto"/>
      </w:pPr>
      <w:r>
        <w:rPr>
          <w:rFonts w:ascii="Times New Roman" w:cs="Times New Roman" w:eastAsia="Times New Roman" w:hAnsi="Times New Roman"/>
          <w:b/>
          <w:bCs/>
          <w:i w:val="false"/>
          <w:iCs w:val="false"/>
          <w:color w:val="000000"/>
          <w:sz w:val="28"/>
          <w:szCs w:val="28"/>
        </w:rPr>
        <w:t xml:space="preserve">3.5 Wearable Integration</w:t>
      </w:r>
    </w:p>
    <w:p>
      <w:pPr>
        <w:spacing w:after="160" w:line="360" w:lineRule="auto"/>
        <w:jc w:val="both"/>
      </w:pPr>
      <w:r>
        <w:rPr>
          <w:rFonts w:ascii="Times New Roman" w:cs="Times New Roman" w:eastAsia="Times New Roman" w:hAnsi="Times New Roman"/>
          <w:b w:val="false"/>
          <w:bCs w:val="false"/>
          <w:i w:val="false"/>
          <w:iCs w:val="false"/>
          <w:color w:val="000000"/>
          <w:sz w:val="24"/>
          <w:szCs w:val="24"/>
        </w:rPr>
        <w:t xml:space="preserve">Steps, heart rate, sleep, and — on supported devices — blood oxygen are read through Android Health Connect and Apple HealthKit rather than through custom hardware. Both platforms aggregate data from whatever wearable the user already owns (Fitbit, Galaxy Watch, Apple Watch, Mi Band, and others), so this integration is the practical route to wearable-backed data without a hardware build.</w:t>
      </w:r>
    </w:p>
    <w:p>
      <w:pPr>
        <w:pStyle w:val="Heading2"/>
        <w:spacing w:after="120" w:before="220" w:line="360" w:lineRule="auto"/>
      </w:pPr>
      <w:r>
        <w:rPr>
          <w:rFonts w:ascii="Times New Roman" w:cs="Times New Roman" w:eastAsia="Times New Roman" w:hAnsi="Times New Roman"/>
          <w:b/>
          <w:bCs/>
          <w:i w:val="false"/>
          <w:iCs w:val="false"/>
          <w:color w:val="000000"/>
          <w:sz w:val="28"/>
          <w:szCs w:val="28"/>
        </w:rPr>
        <w:t xml:space="preserve">3.6 Gamification Layer</w:t>
      </w:r>
    </w:p>
    <w:p>
      <w:pPr>
        <w:spacing w:after="160" w:line="360" w:lineRule="auto"/>
        <w:jc w:val="both"/>
      </w:pPr>
      <w:r>
        <w:rPr>
          <w:rFonts w:ascii="Times New Roman" w:cs="Times New Roman" w:eastAsia="Times New Roman" w:hAnsi="Times New Roman"/>
          <w:b w:val="false"/>
          <w:bCs w:val="false"/>
          <w:i w:val="false"/>
          <w:iCs w:val="false"/>
          <w:color w:val="000000"/>
          <w:sz w:val="24"/>
          <w:szCs w:val="24"/>
        </w:rPr>
        <w:t xml:space="preserve">Streaks, badges, and points are computed from events emitted by the other modules (a meal logged, a workout completed, a progress photo uploaded) rather than being a separate data source. Milestones are tied to consistency metrics as well as visual progress, per the responsible-design requirement in the PRD.</w:t>
      </w:r>
    </w:p>
    <w:p>
      <w:pPr>
        <w:pStyle w:val="Heading1"/>
        <w:spacing w:after="160" w:before="320" w:line="360" w:lineRule="auto"/>
      </w:pPr>
      <w:r>
        <w:rPr>
          <w:rFonts w:ascii="Times New Roman" w:cs="Times New Roman" w:eastAsia="Times New Roman" w:hAnsi="Times New Roman"/>
          <w:b/>
          <w:bCs/>
          <w:color w:val="000000"/>
          <w:sz w:val="28"/>
          <w:szCs w:val="28"/>
        </w:rPr>
        <w:t xml:space="preserve">4. Data Flow</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Capture: user submits a food photo, a progress photo, a workout completion, or wearable data syncs in the background.</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Processing: the relevant module (classifier, pose estimation, or direct ingestion) converts the capture into structured data.</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Storage: structured data is written to PostgreSQL; raw photos are written to object storage with a reference stored in PostgreSQL.</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Aggregation: the AI coach and dashboard read structured data across all modules for the current user.</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Output: the dashboard renders trends and the AI coach returns grounded recommendations, which feed back into the next day's plan.</w:t>
      </w:r>
    </w:p>
    <w:p>
      <w:pPr>
        <w:pStyle w:val="Heading1"/>
        <w:spacing w:after="160" w:before="320" w:line="360" w:lineRule="auto"/>
      </w:pPr>
      <w:r>
        <w:rPr>
          <w:rFonts w:ascii="Times New Roman" w:cs="Times New Roman" w:eastAsia="Times New Roman" w:hAnsi="Times New Roman"/>
          <w:b/>
          <w:bCs/>
          <w:color w:val="000000"/>
          <w:sz w:val="28"/>
          <w:szCs w:val="28"/>
        </w:rPr>
        <w:t xml:space="preserve">5. Non-Functional Technical Requirements</w:t>
      </w:r>
    </w:p>
    <w:tbl>
      <w:tblPr>
        <w:tblW w:type="dxa" w:w="9600"/>
        <w:tblBorders>
          <w:top w:val="single" w:color="999999" w:sz="4"/>
          <w:left w:val="single" w:color="999999" w:sz="4"/>
          <w:bottom w:val="single" w:color="999999" w:sz="4"/>
          <w:right w:val="single" w:color="999999" w:sz="4"/>
          <w:insideH w:val="single" w:color="CCCCCC" w:sz="4"/>
          <w:insideV w:val="single" w:color="CCCCCC" w:sz="4"/>
        </w:tblBorders>
      </w:tblPr>
      <w:tblGrid>
        <w:gridCol w:w="3600"/>
        <w:gridCol w:w="6000"/>
      </w:tblGrid>
      <w:tr>
        <w:trPr>
          <w:tblHeader/>
        </w:trPr>
        <w:tc>
          <w:tcPr>
            <w:tcW w:type="dxa" w:w="3600"/>
            <w:shd w:fill="D9D9D9" w:val="clear"/>
            <w:tcMar>
              <w:top w:type="dxa" w:w="80"/>
              <w:left w:type="dxa" w:w="100"/>
              <w:bottom w:type="dxa" w:w="80"/>
              <w:right w:type="dxa" w:w="100"/>
            </w:tcMar>
          </w:tcPr>
          <w:p>
            <w:pPr>
              <w:spacing w:line="276" w:lineRule="auto"/>
              <w:jc w:val="left"/>
            </w:pPr>
            <w:r>
              <w:rPr>
                <w:rFonts w:ascii="Times New Roman" w:cs="Times New Roman" w:eastAsia="Times New Roman" w:hAnsi="Times New Roman"/>
                <w:b/>
                <w:bCs/>
                <w:color w:val="000000"/>
                <w:sz w:val="22"/>
                <w:szCs w:val="22"/>
              </w:rPr>
              <w:t xml:space="preserve">Requirement</w:t>
            </w:r>
          </w:p>
        </w:tc>
        <w:tc>
          <w:tcPr>
            <w:tcW w:type="dxa" w:w="6000"/>
            <w:shd w:fill="D9D9D9" w:val="clear"/>
            <w:tcMar>
              <w:top w:type="dxa" w:w="80"/>
              <w:left w:type="dxa" w:w="100"/>
              <w:bottom w:type="dxa" w:w="80"/>
              <w:right w:type="dxa" w:w="100"/>
            </w:tcMar>
          </w:tcPr>
          <w:p>
            <w:pPr>
              <w:spacing w:line="276" w:lineRule="auto"/>
              <w:jc w:val="left"/>
            </w:pPr>
            <w:r>
              <w:rPr>
                <w:rFonts w:ascii="Times New Roman" w:cs="Times New Roman" w:eastAsia="Times New Roman" w:hAnsi="Times New Roman"/>
                <w:b/>
                <w:bCs/>
                <w:color w:val="000000"/>
                <w:sz w:val="22"/>
                <w:szCs w:val="22"/>
              </w:rPr>
              <w:t xml:space="preserve">Target</w:t>
            </w:r>
          </w:p>
        </w:tc>
      </w:tr>
      <w:tr>
        <w:tc>
          <w:tcPr>
            <w:tcW w:type="dxa" w:w="36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Dish classification accuracy</w:t>
            </w:r>
          </w:p>
        </w:tc>
        <w:tc>
          <w:tcPr>
            <w:tcW w:type="dxa" w:w="60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 85% top-1 on the curated dish list (Core scope)</w:t>
            </w:r>
          </w:p>
        </w:tc>
      </w:tr>
      <w:tr>
        <w:tc>
          <w:tcPr>
            <w:tcW w:type="dxa" w:w="36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Classification latency</w:t>
            </w:r>
          </w:p>
        </w:tc>
        <w:tc>
          <w:tcPr>
            <w:tcW w:type="dxa" w:w="60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Result returned within a few seconds of photo capture</w:t>
            </w:r>
          </w:p>
        </w:tc>
      </w:tr>
      <w:tr>
        <w:tc>
          <w:tcPr>
            <w:tcW w:type="dxa" w:w="36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Data encryption</w:t>
            </w:r>
          </w:p>
        </w:tc>
        <w:tc>
          <w:tcPr>
            <w:tcW w:type="dxa" w:w="60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Photos and personal data encrypted at rest and in transit</w:t>
            </w:r>
          </w:p>
        </w:tc>
      </w:tr>
      <w:tr>
        <w:tc>
          <w:tcPr>
            <w:tcW w:type="dxa" w:w="36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Availability</w:t>
            </w:r>
          </w:p>
        </w:tc>
        <w:tc>
          <w:tcPr>
            <w:tcW w:type="dxa" w:w="60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Core logging flows usable offline with sync on reconnect</w:t>
            </w:r>
          </w:p>
        </w:tc>
      </w:tr>
      <w:tr>
        <w:tc>
          <w:tcPr>
            <w:tcW w:type="dxa" w:w="36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Scalability</w:t>
            </w:r>
          </w:p>
        </w:tc>
        <w:tc>
          <w:tcPr>
            <w:tcW w:type="dxa" w:w="60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Stateless backend services so instances can scale horizontally under load</w:t>
            </w:r>
          </w:p>
        </w:tc>
      </w:tr>
    </w:tbl>
    <w:p>
      <w:pPr>
        <w:spacing w:after="160"/>
      </w:pPr>
    </w:p>
    <w:p>
      <w:pPr>
        <w:pStyle w:val="Heading1"/>
        <w:spacing w:after="160" w:before="320" w:line="360" w:lineRule="auto"/>
      </w:pPr>
      <w:r>
        <w:rPr>
          <w:rFonts w:ascii="Times New Roman" w:cs="Times New Roman" w:eastAsia="Times New Roman" w:hAnsi="Times New Roman"/>
          <w:b/>
          <w:bCs/>
          <w:color w:val="000000"/>
          <w:sz w:val="28"/>
          <w:szCs w:val="28"/>
        </w:rPr>
        <w:t xml:space="preserve">6. Third-Party Dependencies</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USDA FoodData Central API — nutrition data for international dishes.</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IFCT 2017 (ICMR-National Institute of Nutrition) — nutrition data for Indian dishes.</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Android Health Connect and Apple HealthKit — wearable data aggregation.</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Claude or GPT API — the AI coach's underlying language model.</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Food-101 and an Indian food classification dataset — training data for the dish classifier.</w:t>
      </w:r>
    </w:p>
    <w:p>
      <w:pPr>
        <w:pStyle w:val="Heading1"/>
        <w:spacing w:after="160" w:before="320" w:line="360" w:lineRule="auto"/>
      </w:pPr>
      <w:r>
        <w:rPr>
          <w:rFonts w:ascii="Times New Roman" w:cs="Times New Roman" w:eastAsia="Times New Roman" w:hAnsi="Times New Roman"/>
          <w:b/>
          <w:bCs/>
          <w:color w:val="000000"/>
          <w:sz w:val="28"/>
          <w:szCs w:val="28"/>
        </w:rPr>
        <w:t xml:space="preserve">7. Privacy and Data Handling</w:t>
      </w:r>
    </w:p>
    <w:p>
      <w:pPr>
        <w:spacing w:after="160" w:line="360" w:lineRule="auto"/>
        <w:jc w:val="both"/>
      </w:pPr>
      <w:r>
        <w:rPr>
          <w:rFonts w:ascii="Times New Roman" w:cs="Times New Roman" w:eastAsia="Times New Roman" w:hAnsi="Times New Roman"/>
          <w:b w:val="false"/>
          <w:bCs w:val="false"/>
          <w:i w:val="false"/>
          <w:iCs w:val="false"/>
          <w:color w:val="000000"/>
          <w:sz w:val="24"/>
          <w:szCs w:val="24"/>
        </w:rPr>
        <w:t xml:space="preserve">Meal photos and progress photos are the most sensitive data this system handles. Both are stored encrypted, are never used for anything beyond the user's own tracking without explicit opt-in, and the user has a clear, discoverable option to delete any photo or their entire account's data. Progress photos in particular should be stored with access scoped strictly to the owning user, since they are body images.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2026-08-16T09:15:39.275Z</dcterms:created>
  <dcterms:modified xsi:type="dcterms:W3CDTF">2026-08-16T09:15:39.275Z</dcterms:modified>
</cp:coreProperties>
</file>

<file path=docProps/custom.xml><?xml version="1.0" encoding="utf-8"?>
<Properties xmlns="http://schemas.openxmlformats.org/officeDocument/2006/custom-properties" xmlns:vt="http://schemas.openxmlformats.org/officeDocument/2006/docPropsVTypes"/>
</file>