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64DD2" w14:textId="5AD2BA87" w:rsidR="00023DF4" w:rsidRDefault="006C1D91" w:rsidP="00084043">
      <w:pPr>
        <w:widowControl w:val="0"/>
        <w:autoSpaceDE w:val="0"/>
        <w:autoSpaceDN w:val="0"/>
        <w:adjustRightInd w:val="0"/>
        <w:rPr>
          <w:b/>
          <w:color w:val="000000"/>
        </w:rPr>
      </w:pPr>
      <w:r>
        <w:rPr>
          <w:b/>
          <w:color w:val="000000"/>
        </w:rPr>
        <w:t>Lab 6: final</w:t>
      </w:r>
      <w:r w:rsidR="00D8538B">
        <w:rPr>
          <w:b/>
          <w:color w:val="000000"/>
        </w:rPr>
        <w:t xml:space="preserve"> practice</w:t>
      </w:r>
      <w:r w:rsidR="00023DF4">
        <w:rPr>
          <w:b/>
          <w:color w:val="000000"/>
        </w:rPr>
        <w:t xml:space="preserve">. </w:t>
      </w:r>
      <w:r w:rsidR="009F1D24">
        <w:rPr>
          <w:b/>
          <w:color w:val="000000"/>
        </w:rPr>
        <w:t xml:space="preserve">Due </w:t>
      </w:r>
      <w:r w:rsidR="00631BCF">
        <w:rPr>
          <w:b/>
          <w:color w:val="000000"/>
        </w:rPr>
        <w:t>12-12-18</w:t>
      </w:r>
      <w:r w:rsidR="009F1D24">
        <w:rPr>
          <w:b/>
          <w:color w:val="000000"/>
        </w:rPr>
        <w:t xml:space="preserve">. </w:t>
      </w:r>
      <w:r w:rsidR="00D8538B">
        <w:rPr>
          <w:b/>
          <w:color w:val="000000"/>
        </w:rPr>
        <w:t xml:space="preserve">We will go over this </w:t>
      </w:r>
      <w:r w:rsidR="00744EAF">
        <w:rPr>
          <w:b/>
          <w:color w:val="000000"/>
        </w:rPr>
        <w:t>during the final</w:t>
      </w:r>
      <w:r>
        <w:rPr>
          <w:b/>
          <w:color w:val="000000"/>
        </w:rPr>
        <w:t xml:space="preserve"> exam </w:t>
      </w:r>
      <w:r w:rsidR="00631BCF">
        <w:rPr>
          <w:b/>
          <w:color w:val="000000"/>
        </w:rPr>
        <w:t>review</w:t>
      </w:r>
      <w:bookmarkStart w:id="0" w:name="_GoBack"/>
      <w:bookmarkEnd w:id="0"/>
      <w:r w:rsidR="00D8538B">
        <w:rPr>
          <w:b/>
          <w:color w:val="000000"/>
        </w:rPr>
        <w:t xml:space="preserve">.  </w:t>
      </w:r>
      <w:r w:rsidR="00536231">
        <w:rPr>
          <w:b/>
          <w:color w:val="000000"/>
        </w:rPr>
        <w:t>Counts as a lab when you turn it in.</w:t>
      </w:r>
    </w:p>
    <w:p w14:paraId="3BA42391" w14:textId="77777777" w:rsidR="00023DF4" w:rsidRDefault="00023DF4" w:rsidP="00084043">
      <w:pPr>
        <w:widowControl w:val="0"/>
        <w:autoSpaceDE w:val="0"/>
        <w:autoSpaceDN w:val="0"/>
        <w:adjustRightInd w:val="0"/>
        <w:rPr>
          <w:b/>
          <w:color w:val="000000"/>
        </w:rPr>
      </w:pPr>
    </w:p>
    <w:p w14:paraId="18951252" w14:textId="510C14FC" w:rsidR="001E6513" w:rsidRPr="00036358" w:rsidRDefault="00023DF4" w:rsidP="00036358">
      <w:pPr>
        <w:pStyle w:val="ListParagraph"/>
        <w:widowControl w:val="0"/>
        <w:numPr>
          <w:ilvl w:val="0"/>
          <w:numId w:val="20"/>
        </w:numPr>
        <w:tabs>
          <w:tab w:val="right" w:pos="547"/>
        </w:tabs>
        <w:autoSpaceDE w:val="0"/>
        <w:autoSpaceDN w:val="0"/>
        <w:adjustRightInd w:val="0"/>
        <w:rPr>
          <w:color w:val="000000"/>
        </w:rPr>
      </w:pPr>
      <w:r w:rsidRPr="00036358">
        <w:rPr>
          <w:color w:val="000000"/>
        </w:rPr>
        <w:t xml:space="preserve"> </w:t>
      </w:r>
      <w:r w:rsidR="001E6513" w:rsidRPr="00036358">
        <w:rPr>
          <w:color w:val="000000"/>
        </w:rPr>
        <w:t>(20) You are investigating mergers in the pharmaceutical industry (and only that industry).  One thing you have learned is that recently, to fill their excess capacity, rather than doing research and development for new drugs in-house, drug companies have been purchasing smaller pharmaceutical companies with profitable ideas and utilizing their excess capacity to produce those drugs.  You want to know if this is a smart idea.  To investigate, you look at the stock price reaction of the large acquiring drug firm.  To simplify the problem, assume that all acquiring firms are the same (large) size and all targets are the same (small) size.</w:t>
      </w:r>
    </w:p>
    <w:p w14:paraId="29EC9C19" w14:textId="77777777" w:rsidR="001E6513" w:rsidRDefault="001E6513" w:rsidP="001E6513">
      <w:pPr>
        <w:widowControl w:val="0"/>
        <w:numPr>
          <w:ilvl w:val="1"/>
          <w:numId w:val="20"/>
        </w:numPr>
        <w:tabs>
          <w:tab w:val="right" w:pos="547"/>
        </w:tabs>
        <w:autoSpaceDE w:val="0"/>
        <w:autoSpaceDN w:val="0"/>
        <w:adjustRightInd w:val="0"/>
        <w:rPr>
          <w:color w:val="000000"/>
        </w:rPr>
      </w:pPr>
      <w:r>
        <w:rPr>
          <w:color w:val="000000"/>
        </w:rPr>
        <w:t>(10 points) Suppose you find that the acquiring firm has a positive stock price reaction but this reaction is smaller when the acquiring drug company has more excess capacity.  How do you interpret this reaction?</w:t>
      </w:r>
    </w:p>
    <w:p w14:paraId="54E959ED" w14:textId="77777777" w:rsidR="001E6513" w:rsidRDefault="001E6513" w:rsidP="001E6513">
      <w:pPr>
        <w:widowControl w:val="0"/>
        <w:tabs>
          <w:tab w:val="right" w:pos="547"/>
        </w:tabs>
        <w:autoSpaceDE w:val="0"/>
        <w:autoSpaceDN w:val="0"/>
        <w:adjustRightInd w:val="0"/>
        <w:ind w:left="1260"/>
        <w:rPr>
          <w:color w:val="000000"/>
        </w:rPr>
      </w:pPr>
    </w:p>
    <w:p w14:paraId="230407A9" w14:textId="54160FFC" w:rsidR="00887FB7" w:rsidRDefault="001E6513" w:rsidP="00036358">
      <w:pPr>
        <w:widowControl w:val="0"/>
        <w:numPr>
          <w:ilvl w:val="1"/>
          <w:numId w:val="20"/>
        </w:numPr>
        <w:tabs>
          <w:tab w:val="right" w:pos="547"/>
        </w:tabs>
        <w:autoSpaceDE w:val="0"/>
        <w:autoSpaceDN w:val="0"/>
        <w:adjustRightInd w:val="0"/>
        <w:rPr>
          <w:color w:val="000000"/>
        </w:rPr>
      </w:pPr>
      <w:r>
        <w:rPr>
          <w:color w:val="000000"/>
        </w:rPr>
        <w:t xml:space="preserve"> (10 points) Suppose the stock price reaction is zero for the acquiring firms. Is it possible that the acquisition still creates synergies?</w:t>
      </w:r>
    </w:p>
    <w:p w14:paraId="7F203869" w14:textId="77777777" w:rsidR="00036358" w:rsidRDefault="00036358" w:rsidP="00036358">
      <w:pPr>
        <w:pStyle w:val="ListParagraph"/>
        <w:rPr>
          <w:color w:val="000000"/>
        </w:rPr>
      </w:pPr>
    </w:p>
    <w:p w14:paraId="6D700FEF" w14:textId="77777777" w:rsidR="00036358" w:rsidRPr="00036358" w:rsidRDefault="00036358" w:rsidP="00036358">
      <w:pPr>
        <w:widowControl w:val="0"/>
        <w:tabs>
          <w:tab w:val="right" w:pos="547"/>
        </w:tabs>
        <w:autoSpaceDE w:val="0"/>
        <w:autoSpaceDN w:val="0"/>
        <w:adjustRightInd w:val="0"/>
        <w:ind w:left="1260"/>
        <w:rPr>
          <w:color w:val="000000"/>
        </w:rPr>
      </w:pPr>
    </w:p>
    <w:p w14:paraId="0CA6BD2F" w14:textId="33809416" w:rsidR="00AA4C53" w:rsidRPr="003430F0" w:rsidRDefault="00023DF4" w:rsidP="00036358">
      <w:pPr>
        <w:pStyle w:val="ListParagraph"/>
        <w:widowControl w:val="0"/>
        <w:numPr>
          <w:ilvl w:val="0"/>
          <w:numId w:val="20"/>
        </w:numPr>
        <w:tabs>
          <w:tab w:val="right" w:pos="547"/>
        </w:tabs>
        <w:autoSpaceDE w:val="0"/>
        <w:autoSpaceDN w:val="0"/>
        <w:adjustRightInd w:val="0"/>
      </w:pPr>
      <w:r>
        <w:t xml:space="preserve"> </w:t>
      </w:r>
      <w:r w:rsidR="00AA4C53" w:rsidRPr="003430F0">
        <w:t>Multiple choice</w:t>
      </w:r>
      <w:r w:rsidR="00AA4C53">
        <w:t xml:space="preserve"> or True/False</w:t>
      </w:r>
    </w:p>
    <w:p w14:paraId="4F9F0370" w14:textId="37877A50" w:rsidR="00AA4C53" w:rsidRDefault="00AA4C53" w:rsidP="00036358">
      <w:pPr>
        <w:pStyle w:val="ListParagraph"/>
        <w:widowControl w:val="0"/>
        <w:numPr>
          <w:ilvl w:val="1"/>
          <w:numId w:val="20"/>
        </w:numPr>
        <w:tabs>
          <w:tab w:val="right" w:pos="547"/>
        </w:tabs>
        <w:autoSpaceDE w:val="0"/>
        <w:autoSpaceDN w:val="0"/>
        <w:adjustRightInd w:val="0"/>
      </w:pPr>
      <w:r>
        <w:t>True or false: If one regresses the market index return on the past market index return and the alpha of that regression is significantly different from zero, then weak-form market efficiency can be rejected.</w:t>
      </w:r>
    </w:p>
    <w:p w14:paraId="2253B914" w14:textId="77777777" w:rsidR="00AA4C53" w:rsidRDefault="00AA4C53" w:rsidP="00036358">
      <w:pPr>
        <w:pStyle w:val="ListParagraph"/>
        <w:widowControl w:val="0"/>
        <w:numPr>
          <w:ilvl w:val="1"/>
          <w:numId w:val="20"/>
        </w:numPr>
        <w:tabs>
          <w:tab w:val="right" w:pos="547"/>
        </w:tabs>
        <w:autoSpaceDE w:val="0"/>
        <w:autoSpaceDN w:val="0"/>
        <w:adjustRightInd w:val="0"/>
      </w:pPr>
      <w:r>
        <w:t>True or false: If one regresses the market index return on the past market index return and the beta of that regression is significantly different from zero, then weak-form market efficiency can be rejected.</w:t>
      </w:r>
    </w:p>
    <w:p w14:paraId="00F0027F" w14:textId="77777777" w:rsidR="00AA4C53" w:rsidRDefault="00AA4C53" w:rsidP="00036358">
      <w:pPr>
        <w:pStyle w:val="ListParagraph"/>
        <w:widowControl w:val="0"/>
        <w:numPr>
          <w:ilvl w:val="1"/>
          <w:numId w:val="20"/>
        </w:numPr>
        <w:tabs>
          <w:tab w:val="right" w:pos="547"/>
        </w:tabs>
        <w:autoSpaceDE w:val="0"/>
        <w:autoSpaceDN w:val="0"/>
        <w:adjustRightInd w:val="0"/>
      </w:pPr>
      <w:r>
        <w:t>True or false: Information leakage before an earnings announcement is necessarily evidence of strong-form market inefficiency.</w:t>
      </w:r>
    </w:p>
    <w:p w14:paraId="4AEF1633" w14:textId="77777777" w:rsidR="00AA4C53" w:rsidRDefault="00AA4C53" w:rsidP="00036358">
      <w:pPr>
        <w:pStyle w:val="ListParagraph"/>
        <w:widowControl w:val="0"/>
        <w:numPr>
          <w:ilvl w:val="1"/>
          <w:numId w:val="20"/>
        </w:numPr>
        <w:tabs>
          <w:tab w:val="right" w:pos="547"/>
        </w:tabs>
        <w:autoSpaceDE w:val="0"/>
        <w:autoSpaceDN w:val="0"/>
        <w:adjustRightInd w:val="0"/>
      </w:pPr>
      <w:r>
        <w:t>True or False: If markets are efficient, asset prices must follow a random walk (potentially with constant drift).</w:t>
      </w:r>
    </w:p>
    <w:p w14:paraId="513385B2" w14:textId="77777777" w:rsidR="00AA4C53" w:rsidRDefault="00AA4C53" w:rsidP="00036358">
      <w:pPr>
        <w:pStyle w:val="ListParagraph"/>
        <w:widowControl w:val="0"/>
        <w:numPr>
          <w:ilvl w:val="1"/>
          <w:numId w:val="20"/>
        </w:numPr>
        <w:tabs>
          <w:tab w:val="right" w:pos="547"/>
        </w:tabs>
        <w:autoSpaceDE w:val="0"/>
        <w:autoSpaceDN w:val="0"/>
        <w:adjustRightInd w:val="0"/>
      </w:pPr>
      <w:r>
        <w:t>True or False: If markets are efficient, return volatility can be predictable.</w:t>
      </w:r>
    </w:p>
    <w:p w14:paraId="71AA3E31" w14:textId="77777777" w:rsidR="00AA4C53" w:rsidRDefault="00AA4C53" w:rsidP="00AA4C53">
      <w:pPr>
        <w:pStyle w:val="ListParagraph"/>
        <w:widowControl w:val="0"/>
        <w:tabs>
          <w:tab w:val="right" w:pos="547"/>
        </w:tabs>
        <w:autoSpaceDE w:val="0"/>
        <w:autoSpaceDN w:val="0"/>
        <w:adjustRightInd w:val="0"/>
        <w:ind w:left="1440"/>
      </w:pPr>
    </w:p>
    <w:p w14:paraId="2B20DF34" w14:textId="77777777" w:rsidR="00AA4C53" w:rsidRDefault="00AA4C53" w:rsidP="00AA4C53">
      <w:pPr>
        <w:pStyle w:val="ListParagraph"/>
        <w:widowControl w:val="0"/>
        <w:tabs>
          <w:tab w:val="right" w:pos="547"/>
        </w:tabs>
        <w:autoSpaceDE w:val="0"/>
        <w:autoSpaceDN w:val="0"/>
        <w:adjustRightInd w:val="0"/>
        <w:ind w:left="1440"/>
      </w:pPr>
    </w:p>
    <w:p w14:paraId="271F9C0B" w14:textId="77777777" w:rsidR="00AA4C53" w:rsidRDefault="00AA4C53" w:rsidP="00AA4C53">
      <w:pPr>
        <w:pStyle w:val="ListParagraph"/>
        <w:widowControl w:val="0"/>
        <w:tabs>
          <w:tab w:val="right" w:pos="547"/>
        </w:tabs>
        <w:autoSpaceDE w:val="0"/>
        <w:autoSpaceDN w:val="0"/>
        <w:adjustRightInd w:val="0"/>
        <w:ind w:left="1440"/>
      </w:pPr>
    </w:p>
    <w:p w14:paraId="02B216C9" w14:textId="77777777" w:rsidR="00AA4C53" w:rsidRDefault="00AA4C53" w:rsidP="00AA4C53">
      <w:pPr>
        <w:pStyle w:val="ListParagraph"/>
        <w:widowControl w:val="0"/>
        <w:tabs>
          <w:tab w:val="right" w:pos="547"/>
        </w:tabs>
        <w:autoSpaceDE w:val="0"/>
        <w:autoSpaceDN w:val="0"/>
        <w:adjustRightInd w:val="0"/>
        <w:ind w:left="1440"/>
      </w:pPr>
    </w:p>
    <w:p w14:paraId="0520C6C2" w14:textId="77777777" w:rsidR="00AA4C53" w:rsidRDefault="00AA4C53" w:rsidP="00AA4C53">
      <w:pPr>
        <w:pStyle w:val="ListParagraph"/>
        <w:widowControl w:val="0"/>
        <w:tabs>
          <w:tab w:val="right" w:pos="547"/>
        </w:tabs>
        <w:autoSpaceDE w:val="0"/>
        <w:autoSpaceDN w:val="0"/>
        <w:adjustRightInd w:val="0"/>
        <w:ind w:left="1440"/>
      </w:pPr>
    </w:p>
    <w:p w14:paraId="5575BA9F" w14:textId="12210643" w:rsidR="00036358" w:rsidRDefault="00036358">
      <w:r>
        <w:br w:type="page"/>
      </w:r>
    </w:p>
    <w:p w14:paraId="17FA0465" w14:textId="77777777" w:rsidR="00AA4C53" w:rsidRDefault="00AA4C53" w:rsidP="00AA4C53">
      <w:pPr>
        <w:pStyle w:val="ListParagraph"/>
        <w:widowControl w:val="0"/>
        <w:tabs>
          <w:tab w:val="right" w:pos="547"/>
        </w:tabs>
        <w:autoSpaceDE w:val="0"/>
        <w:autoSpaceDN w:val="0"/>
        <w:adjustRightInd w:val="0"/>
        <w:ind w:left="1440"/>
      </w:pPr>
    </w:p>
    <w:p w14:paraId="208554CC" w14:textId="77777777" w:rsidR="00AA4C53" w:rsidRDefault="00AA4C53" w:rsidP="00AA4C53"/>
    <w:p w14:paraId="3612E802" w14:textId="67767106" w:rsidR="00AA4C53" w:rsidRDefault="00AA4C53" w:rsidP="00036358">
      <w:pPr>
        <w:pStyle w:val="ListParagraph"/>
        <w:widowControl w:val="0"/>
        <w:numPr>
          <w:ilvl w:val="0"/>
          <w:numId w:val="20"/>
        </w:numPr>
        <w:tabs>
          <w:tab w:val="right" w:pos="547"/>
        </w:tabs>
        <w:autoSpaceDE w:val="0"/>
        <w:autoSpaceDN w:val="0"/>
        <w:adjustRightInd w:val="0"/>
      </w:pPr>
      <w:r>
        <w:t xml:space="preserve">  (30)  Consider the following table from Jegadeesh and Titman’s (1993) paper on momentum: </w:t>
      </w:r>
    </w:p>
    <w:p w14:paraId="0E5B5CA9" w14:textId="77777777" w:rsidR="00AA4C53" w:rsidRDefault="00AA4C53" w:rsidP="00AA4C53">
      <w:pPr>
        <w:widowControl w:val="0"/>
        <w:tabs>
          <w:tab w:val="right" w:pos="547"/>
        </w:tabs>
        <w:autoSpaceDE w:val="0"/>
        <w:autoSpaceDN w:val="0"/>
        <w:adjustRightInd w:val="0"/>
        <w:ind w:left="360"/>
      </w:pPr>
    </w:p>
    <w:p w14:paraId="61FE8141" w14:textId="77777777" w:rsidR="00AA4C53" w:rsidRDefault="00AA4C53" w:rsidP="00AA4C53">
      <w:pPr>
        <w:widowControl w:val="0"/>
        <w:tabs>
          <w:tab w:val="right" w:pos="547"/>
        </w:tabs>
        <w:autoSpaceDE w:val="0"/>
        <w:autoSpaceDN w:val="0"/>
        <w:adjustRightInd w:val="0"/>
        <w:ind w:left="360"/>
      </w:pPr>
      <w:r w:rsidRPr="0024201F">
        <w:rPr>
          <w:noProof/>
        </w:rPr>
        <w:drawing>
          <wp:inline distT="0" distB="0" distL="0" distR="0" wp14:anchorId="75FE30BC" wp14:editId="33A083EC">
            <wp:extent cx="5486400" cy="3809414"/>
            <wp:effectExtent l="0" t="0" r="0" b="635"/>
            <wp:docPr id="1024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09414"/>
                    </a:xfrm>
                    <a:prstGeom prst="rect">
                      <a:avLst/>
                    </a:prstGeom>
                    <a:noFill/>
                    <a:ln>
                      <a:noFill/>
                    </a:ln>
                    <a:extLst/>
                  </pic:spPr>
                </pic:pic>
              </a:graphicData>
            </a:graphic>
          </wp:inline>
        </w:drawing>
      </w:r>
    </w:p>
    <w:p w14:paraId="7BB18DDA" w14:textId="77777777" w:rsidR="00AA4C53" w:rsidRDefault="00AA4C53" w:rsidP="00AA4C53">
      <w:pPr>
        <w:widowControl w:val="0"/>
        <w:tabs>
          <w:tab w:val="right" w:pos="547"/>
        </w:tabs>
        <w:autoSpaceDE w:val="0"/>
        <w:autoSpaceDN w:val="0"/>
        <w:adjustRightInd w:val="0"/>
      </w:pPr>
      <w:r>
        <w:t>The values in the top line are the raw monthly returns either for a buy portfolio, a sell portfolio, or an arbitrage (buy-sell) portfolio and immediately below in parentheses are the t-values associated with the returns.  The numbers on the Y axis represent the duration of the portfolio formation period and the numbers on the vertical axis represent the duration of the holding period. The difference between panels A and B is that the returns in panel B are computed for strategies that skip a week between portfolio formation period and portfolio holding period.</w:t>
      </w:r>
    </w:p>
    <w:p w14:paraId="659BCBF8" w14:textId="77777777" w:rsidR="00AA4C53" w:rsidRPr="009A1D6D" w:rsidRDefault="00AA4C53" w:rsidP="00AA4C53">
      <w:pPr>
        <w:pStyle w:val="ListParagraph"/>
        <w:widowControl w:val="0"/>
        <w:tabs>
          <w:tab w:val="right" w:pos="547"/>
        </w:tabs>
        <w:autoSpaceDE w:val="0"/>
        <w:autoSpaceDN w:val="0"/>
        <w:adjustRightInd w:val="0"/>
        <w:ind w:left="2160"/>
      </w:pPr>
    </w:p>
    <w:p w14:paraId="24ECD8F7" w14:textId="77777777" w:rsidR="00AA4C53" w:rsidRPr="003430F0" w:rsidRDefault="00AA4C53" w:rsidP="00AA4C53">
      <w:pPr>
        <w:widowControl w:val="0"/>
        <w:tabs>
          <w:tab w:val="right" w:pos="547"/>
        </w:tabs>
        <w:autoSpaceDE w:val="0"/>
        <w:autoSpaceDN w:val="0"/>
        <w:adjustRightInd w:val="0"/>
      </w:pPr>
    </w:p>
    <w:p w14:paraId="2D4C367A" w14:textId="77777777" w:rsidR="00AA4C53" w:rsidRDefault="00AA4C53" w:rsidP="00036358">
      <w:pPr>
        <w:pStyle w:val="ListParagraph"/>
        <w:widowControl w:val="0"/>
        <w:numPr>
          <w:ilvl w:val="1"/>
          <w:numId w:val="20"/>
        </w:numPr>
        <w:tabs>
          <w:tab w:val="right" w:pos="547"/>
        </w:tabs>
        <w:autoSpaceDE w:val="0"/>
        <w:autoSpaceDN w:val="0"/>
        <w:adjustRightInd w:val="0"/>
        <w:rPr>
          <w:color w:val="000000"/>
        </w:rPr>
      </w:pPr>
      <w:r>
        <w:rPr>
          <w:color w:val="000000"/>
        </w:rPr>
        <w:t>(10) Notice that the returns on the buy portfolio are statistically significantly positive for each of the 32 strategies.  Does mean that the stocks in the buy portfolio are a good buy?  What evidence might convince you to buy these securities?</w:t>
      </w:r>
    </w:p>
    <w:p w14:paraId="5FD2A961" w14:textId="77777777" w:rsidR="00AA4C53" w:rsidRDefault="00AA4C53" w:rsidP="00AA4C53">
      <w:pPr>
        <w:pStyle w:val="ListParagraph"/>
        <w:widowControl w:val="0"/>
        <w:tabs>
          <w:tab w:val="right" w:pos="547"/>
        </w:tabs>
        <w:autoSpaceDE w:val="0"/>
        <w:autoSpaceDN w:val="0"/>
        <w:adjustRightInd w:val="0"/>
        <w:ind w:left="1440"/>
        <w:rPr>
          <w:color w:val="000000"/>
        </w:rPr>
      </w:pPr>
    </w:p>
    <w:p w14:paraId="2FB8DDE2" w14:textId="77777777" w:rsidR="00AA4C53" w:rsidRDefault="00AA4C53" w:rsidP="00036358">
      <w:pPr>
        <w:pStyle w:val="ListParagraph"/>
        <w:widowControl w:val="0"/>
        <w:numPr>
          <w:ilvl w:val="1"/>
          <w:numId w:val="20"/>
        </w:numPr>
        <w:tabs>
          <w:tab w:val="right" w:pos="547"/>
        </w:tabs>
        <w:autoSpaceDE w:val="0"/>
        <w:autoSpaceDN w:val="0"/>
        <w:adjustRightInd w:val="0"/>
        <w:rPr>
          <w:color w:val="000000"/>
        </w:rPr>
      </w:pPr>
      <w:r>
        <w:rPr>
          <w:color w:val="000000"/>
        </w:rPr>
        <w:t xml:space="preserve">(10) </w:t>
      </w:r>
      <w:r w:rsidRPr="0024201F">
        <w:rPr>
          <w:color w:val="000000"/>
        </w:rPr>
        <w:t xml:space="preserve">The returns on the buy-sell portfolios are also statistically significantly positive.  </w:t>
      </w:r>
      <w:r>
        <w:rPr>
          <w:color w:val="000000"/>
        </w:rPr>
        <w:t>Is that enough evidence for an investor to confidently follow a momentum strategy?</w:t>
      </w:r>
      <w:r w:rsidRPr="0024201F">
        <w:rPr>
          <w:color w:val="000000"/>
        </w:rPr>
        <w:t xml:space="preserve">  </w:t>
      </w:r>
    </w:p>
    <w:p w14:paraId="6224F34D" w14:textId="77777777" w:rsidR="00AA4C53" w:rsidRPr="000C37EB" w:rsidRDefault="00AA4C53" w:rsidP="00AA4C53">
      <w:pPr>
        <w:widowControl w:val="0"/>
        <w:tabs>
          <w:tab w:val="right" w:pos="547"/>
        </w:tabs>
        <w:autoSpaceDE w:val="0"/>
        <w:autoSpaceDN w:val="0"/>
        <w:adjustRightInd w:val="0"/>
        <w:rPr>
          <w:color w:val="000000"/>
        </w:rPr>
      </w:pPr>
    </w:p>
    <w:p w14:paraId="42693F25" w14:textId="3AA910C6" w:rsidR="00AA4C53" w:rsidRPr="00036358" w:rsidRDefault="00AA4C53" w:rsidP="00AA4C53">
      <w:pPr>
        <w:pStyle w:val="ListParagraph"/>
        <w:widowControl w:val="0"/>
        <w:numPr>
          <w:ilvl w:val="1"/>
          <w:numId w:val="20"/>
        </w:numPr>
        <w:tabs>
          <w:tab w:val="right" w:pos="547"/>
        </w:tabs>
        <w:autoSpaceDE w:val="0"/>
        <w:autoSpaceDN w:val="0"/>
        <w:adjustRightInd w:val="0"/>
        <w:rPr>
          <w:color w:val="000000"/>
        </w:rPr>
      </w:pPr>
      <w:r>
        <w:rPr>
          <w:color w:val="000000"/>
        </w:rPr>
        <w:t xml:space="preserve">(10) Suppose you were trying to determine whether or not the risk-adjusted returns on the buy-sell portfolio were statistically significantly positive.  </w:t>
      </w:r>
      <w:r>
        <w:rPr>
          <w:color w:val="000000"/>
        </w:rPr>
        <w:lastRenderedPageBreak/>
        <w:t>How would you set up such a test?  Specifically, how would you do the risk adjustment?</w:t>
      </w:r>
    </w:p>
    <w:p w14:paraId="357B1443" w14:textId="77777777" w:rsidR="00AA4C53" w:rsidRDefault="00AA4C53" w:rsidP="00AA4C53">
      <w:pPr>
        <w:widowControl w:val="0"/>
        <w:tabs>
          <w:tab w:val="right" w:pos="547"/>
        </w:tabs>
        <w:autoSpaceDE w:val="0"/>
        <w:autoSpaceDN w:val="0"/>
        <w:adjustRightInd w:val="0"/>
        <w:rPr>
          <w:color w:val="000000"/>
        </w:rPr>
      </w:pPr>
    </w:p>
    <w:p w14:paraId="31523327" w14:textId="69DA849E" w:rsidR="00C621DE" w:rsidRDefault="00C621DE" w:rsidP="000D021B">
      <w:pPr>
        <w:rPr>
          <w:color w:val="000000"/>
        </w:rPr>
      </w:pPr>
      <w:r>
        <w:rPr>
          <w:color w:val="000000"/>
        </w:rPr>
        <w:br w:type="page"/>
      </w:r>
    </w:p>
    <w:p w14:paraId="39813A5B" w14:textId="77777777" w:rsidR="00C621DE" w:rsidRDefault="00C621DE" w:rsidP="00C621DE">
      <w:pPr>
        <w:widowControl w:val="0"/>
        <w:tabs>
          <w:tab w:val="right" w:pos="547"/>
        </w:tabs>
        <w:autoSpaceDE w:val="0"/>
        <w:autoSpaceDN w:val="0"/>
        <w:adjustRightInd w:val="0"/>
        <w:ind w:left="1440"/>
        <w:rPr>
          <w:color w:val="000000"/>
        </w:rPr>
      </w:pPr>
    </w:p>
    <w:p w14:paraId="2DA89112" w14:textId="398760C5" w:rsidR="00C621DE" w:rsidRDefault="00C621DE" w:rsidP="00036358">
      <w:pPr>
        <w:pStyle w:val="ListParagraph"/>
        <w:numPr>
          <w:ilvl w:val="0"/>
          <w:numId w:val="20"/>
        </w:numPr>
        <w:spacing w:after="200" w:line="276" w:lineRule="auto"/>
      </w:pPr>
      <w:r>
        <w:t>Short Answer.</w:t>
      </w:r>
    </w:p>
    <w:p w14:paraId="2542BC39" w14:textId="77777777" w:rsidR="00C621DE" w:rsidRDefault="00C621DE" w:rsidP="00036358">
      <w:pPr>
        <w:pStyle w:val="ListParagraph"/>
        <w:numPr>
          <w:ilvl w:val="1"/>
          <w:numId w:val="20"/>
        </w:numPr>
        <w:spacing w:after="200" w:line="276" w:lineRule="auto"/>
      </w:pPr>
      <w:r>
        <w:t>Suppose the Fama French model is true instead of the CAPM but you continue to draw the security market line.  What would cause a particular stock to lie above the security market line and what would cause it to lie below the security market line?</w:t>
      </w:r>
    </w:p>
    <w:p w14:paraId="16372642" w14:textId="47541ED1" w:rsidR="00C621DE" w:rsidRDefault="00C621DE" w:rsidP="00036358"/>
    <w:p w14:paraId="5CC363A7" w14:textId="523B6A45" w:rsidR="00C621DE" w:rsidRPr="00D60A1F" w:rsidRDefault="00C621DE" w:rsidP="00036358">
      <w:pPr>
        <w:pStyle w:val="ListParagraph"/>
        <w:numPr>
          <w:ilvl w:val="0"/>
          <w:numId w:val="20"/>
        </w:numPr>
        <w:spacing w:after="200" w:line="276" w:lineRule="auto"/>
      </w:pPr>
      <w:r>
        <w:t xml:space="preserve">Suppose the risk free rate is zero and you run the following regression for a time series of returns on stock i: </w:t>
      </w: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oMath>
      <w:r>
        <w:rPr>
          <w:rFonts w:eastAsiaTheme="minorEastAsia"/>
        </w:rPr>
        <w:t xml:space="preserve"> You find that the regression coefficients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is positive and significant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Pr>
          <w:rFonts w:eastAsiaTheme="minorEastAsia"/>
        </w:rPr>
        <w:t xml:space="preserve"> is insignificant.</w:t>
      </w:r>
    </w:p>
    <w:p w14:paraId="4ED2E7EA" w14:textId="77777777" w:rsidR="00C621DE" w:rsidRPr="00D60A1F" w:rsidRDefault="00C621DE" w:rsidP="00036358">
      <w:pPr>
        <w:pStyle w:val="ListParagraph"/>
        <w:numPr>
          <w:ilvl w:val="1"/>
          <w:numId w:val="20"/>
        </w:numPr>
        <w:spacing w:after="200" w:line="276" w:lineRule="auto"/>
      </w:pPr>
      <w:r>
        <w:rPr>
          <w:rFonts w:eastAsiaTheme="minorEastAsia"/>
        </w:rPr>
        <w:t>Is the market likely to be efficient or inefficient?  Explain.  Is there a trading strategy one could use to take advantage of potential inefficiency here?</w:t>
      </w:r>
    </w:p>
    <w:p w14:paraId="0C17EB94" w14:textId="77777777" w:rsidR="00C621DE" w:rsidRPr="003230C5" w:rsidRDefault="00C621DE" w:rsidP="00036358">
      <w:pPr>
        <w:pStyle w:val="ListParagraph"/>
        <w:numPr>
          <w:ilvl w:val="1"/>
          <w:numId w:val="20"/>
        </w:numPr>
        <w:spacing w:after="200" w:line="276" w:lineRule="auto"/>
      </w:pPr>
      <w:r>
        <w:rPr>
          <w:rFonts w:eastAsiaTheme="minorEastAsia"/>
        </w:rPr>
        <w:t xml:space="preserve">Give an interpretation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hAnsi="Cambria Math"/>
          </w:rPr>
          <m:t>.</m:t>
        </m:r>
      </m:oMath>
    </w:p>
    <w:p w14:paraId="0CB55201" w14:textId="77777777" w:rsidR="00C621DE" w:rsidRPr="003230C5" w:rsidRDefault="00C621DE" w:rsidP="00036358">
      <w:pPr>
        <w:pStyle w:val="ListParagraph"/>
        <w:numPr>
          <w:ilvl w:val="1"/>
          <w:numId w:val="20"/>
        </w:numPr>
        <w:spacing w:after="200" w:line="276" w:lineRule="auto"/>
      </w:pPr>
      <w:r>
        <w:rPr>
          <w:rFonts w:eastAsiaTheme="minorEastAsia"/>
        </w:rPr>
        <w:t xml:space="preserve">Now suppose that both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Pr>
          <w:rFonts w:eastAsiaTheme="minorEastAsia"/>
        </w:rPr>
        <w:t xml:space="preserve"> are positive and statistically significant.  Is the market still likely to be efficient?  Interpret what a positive beta coefficient means.</w:t>
      </w:r>
      <m:oMath>
        <m:r>
          <w:rPr>
            <w:rFonts w:ascii="Cambria Math" w:hAnsi="Cambria Math"/>
          </w:rPr>
          <m:t xml:space="preserve"> </m:t>
        </m:r>
      </m:oMath>
      <w:r>
        <w:rPr>
          <w:rFonts w:eastAsiaTheme="minorEastAsia"/>
        </w:rPr>
        <w:t>Is there a trading strategy that could be used to take advantage of potential inefficiency here?</w:t>
      </w:r>
    </w:p>
    <w:p w14:paraId="23179D8C" w14:textId="77777777" w:rsidR="00C621DE" w:rsidRPr="00D60A1F" w:rsidRDefault="00C621DE" w:rsidP="00036358">
      <w:pPr>
        <w:pStyle w:val="ListParagraph"/>
        <w:numPr>
          <w:ilvl w:val="1"/>
          <w:numId w:val="20"/>
        </w:numPr>
        <w:spacing w:after="200" w:line="276" w:lineRule="auto"/>
      </w:pPr>
      <w:r>
        <w:rPr>
          <w:rFonts w:eastAsiaTheme="minorEastAsia"/>
        </w:rPr>
        <w:t xml:space="preserve">Now suppose the risk free rate is still zero you ran a different regression: </w:t>
      </w: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oMath>
      <w:r>
        <w:rPr>
          <w:rFonts w:eastAsiaTheme="minorEastAsia"/>
        </w:rPr>
        <w:t xml:space="preserve"> You find that the regression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positive and significant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insignificant.  Is the market likely to be efficient or inefficient?  Explain.</w:t>
      </w:r>
    </w:p>
    <w:p w14:paraId="5C03CBA4" w14:textId="77777777" w:rsidR="00C621DE" w:rsidRPr="00584E76" w:rsidRDefault="00C621DE" w:rsidP="00036358">
      <w:pPr>
        <w:pStyle w:val="ListParagraph"/>
        <w:numPr>
          <w:ilvl w:val="1"/>
          <w:numId w:val="20"/>
        </w:numPr>
        <w:spacing w:after="200" w:line="276" w:lineRule="auto"/>
      </w:pPr>
      <w:r>
        <w:rPr>
          <w:rFonts w:eastAsiaTheme="minorEastAsia"/>
        </w:rPr>
        <w:t xml:space="preserve">Now finally the risk free rate is still zero you ran a different regression: </w:t>
      </w: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oMath>
      <w:r>
        <w:rPr>
          <w:rFonts w:eastAsiaTheme="minorEastAsia"/>
        </w:rPr>
        <w:t xml:space="preserve"> You find that the regression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positive and significant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insignificant.  Is the market likely to be efficient or inefficient?  Explain.</w:t>
      </w:r>
    </w:p>
    <w:p w14:paraId="26DAE642" w14:textId="77777777" w:rsidR="00584E76" w:rsidRPr="00D60A1F" w:rsidRDefault="00584E76" w:rsidP="00584E76">
      <w:pPr>
        <w:pStyle w:val="ListParagraph"/>
        <w:spacing w:after="200" w:line="276" w:lineRule="auto"/>
        <w:ind w:left="2160"/>
      </w:pPr>
    </w:p>
    <w:p w14:paraId="2A7EAF33" w14:textId="7E115475" w:rsidR="00461257" w:rsidRPr="000A5CBA" w:rsidRDefault="00461257" w:rsidP="00036358">
      <w:pPr>
        <w:pStyle w:val="ListParagraph"/>
        <w:numPr>
          <w:ilvl w:val="0"/>
          <w:numId w:val="20"/>
        </w:numPr>
        <w:spacing w:after="200" w:line="276" w:lineRule="auto"/>
      </w:pPr>
      <w:r>
        <w:t xml:space="preserve">It is currently November. </w:t>
      </w:r>
      <w:r w:rsidRPr="000A5CBA">
        <w:t xml:space="preserve">You are Vice President in charge of advertising for a medium-sized American beverage company and you are trying to decide whether </w:t>
      </w:r>
      <w:r>
        <w:t>to buy</w:t>
      </w:r>
      <w:r w:rsidRPr="000A5CBA">
        <w:t xml:space="preserve"> ads during the NCAA basketball tournament to air during the games on the final weekend</w:t>
      </w:r>
      <w:r>
        <w:t xml:space="preserve"> the following April</w:t>
      </w:r>
      <w:r w:rsidRPr="000A5CBA">
        <w:t xml:space="preserve">.  </w:t>
      </w:r>
      <w:r>
        <w:t xml:space="preserve">You must purchase the advertising time at least two months before the event. </w:t>
      </w:r>
      <w:r w:rsidRPr="000A5CBA">
        <w:t>You have never advertised at the NCAAs before. You assemble a team which consists of experts in both finance and marketing to investigate.</w:t>
      </w:r>
    </w:p>
    <w:p w14:paraId="5914090C" w14:textId="77777777" w:rsidR="00461257" w:rsidRDefault="00461257" w:rsidP="00584E76">
      <w:pPr>
        <w:ind w:left="1440"/>
      </w:pPr>
      <w:r w:rsidRPr="000A5CBA">
        <w:t xml:space="preserve">The finance expert looks at academic studies which assess the stock market performance of companies that advertise during the Super Bowl.  </w:t>
      </w:r>
      <w:r>
        <w:t>She explains that many different types of firms advertise at the Super Bowl and they are all included in the study.  Some are very large, and some are small.  Some have advertised many times before, and some are advertising for the first time.  The ad announcements are published in the marketing press when the ad is purchased.</w:t>
      </w:r>
    </w:p>
    <w:p w14:paraId="5D4B2518" w14:textId="77777777" w:rsidR="00584E76" w:rsidRDefault="00584E76" w:rsidP="00584E76">
      <w:pPr>
        <w:pStyle w:val="ListParagraph"/>
        <w:ind w:left="1440"/>
      </w:pPr>
    </w:p>
    <w:p w14:paraId="70AC032C" w14:textId="77777777" w:rsidR="00461257" w:rsidRPr="000A5CBA" w:rsidRDefault="00461257" w:rsidP="00584E76">
      <w:pPr>
        <w:pStyle w:val="ListParagraph"/>
        <w:ind w:left="1440"/>
      </w:pPr>
      <w:r>
        <w:t>The expert</w:t>
      </w:r>
      <w:r w:rsidRPr="000A5CBA">
        <w:t xml:space="preserve"> explains that there is no positive average abnormal return on the Monday after the broadcast</w:t>
      </w:r>
      <w:r>
        <w:t xml:space="preserve"> for the entire sample of firms that advertise during the Super Bowl</w:t>
      </w:r>
      <w:r w:rsidRPr="000A5CBA">
        <w:t xml:space="preserve">.  </w:t>
      </w:r>
      <w:r>
        <w:t xml:space="preserve">This is true whether the ads have been shown prior to the Super Bowl or not.  There is also no abnormal positive drift after the announcement. </w:t>
      </w:r>
      <w:r w:rsidRPr="000A5CBA">
        <w:t xml:space="preserve">Therefore, </w:t>
      </w:r>
      <w:r>
        <w:t xml:space="preserve">she thinks </w:t>
      </w:r>
      <w:r w:rsidRPr="000A5CBA">
        <w:t xml:space="preserve">it is probably not a good idea to advertise during the NCAA tournament because the situations are so similar (although advertising during the NCAA final is less costly than advertising during the Super Bowl). </w:t>
      </w:r>
    </w:p>
    <w:p w14:paraId="1202ABD1" w14:textId="77777777" w:rsidR="00461257" w:rsidRDefault="00461257" w:rsidP="00036358">
      <w:pPr>
        <w:pStyle w:val="ListParagraph"/>
        <w:numPr>
          <w:ilvl w:val="1"/>
          <w:numId w:val="20"/>
        </w:numPr>
        <w:spacing w:after="200" w:line="276" w:lineRule="auto"/>
      </w:pPr>
      <w:r>
        <w:t xml:space="preserve">For which firms in the Super Bowl study would you expect the announcement to advertise to be new information and why?  </w:t>
      </w:r>
    </w:p>
    <w:p w14:paraId="0B863C15" w14:textId="77777777" w:rsidR="00461257" w:rsidRDefault="00461257" w:rsidP="00036358">
      <w:pPr>
        <w:pStyle w:val="ListParagraph"/>
        <w:numPr>
          <w:ilvl w:val="1"/>
          <w:numId w:val="20"/>
        </w:numPr>
        <w:spacing w:after="200" w:line="276" w:lineRule="auto"/>
      </w:pPr>
      <w:r>
        <w:t>Should all firms for which the announcement to advertise is new information expect statistically significant positive abnormal returns?  If not, why not?</w:t>
      </w:r>
    </w:p>
    <w:p w14:paraId="37BBAC39" w14:textId="77777777" w:rsidR="00461257" w:rsidRDefault="00461257" w:rsidP="00036358">
      <w:pPr>
        <w:pStyle w:val="ListParagraph"/>
        <w:numPr>
          <w:ilvl w:val="1"/>
          <w:numId w:val="20"/>
        </w:numPr>
        <w:spacing w:after="200" w:line="276" w:lineRule="auto"/>
      </w:pPr>
      <w:r>
        <w:t>If there were to be an abnormal return at all for any firm in the Super Bowl study, when would you expect it to occur, on the day of (or the day after) the Super Bowl or at some other time? Explain.  If you answered (at come other time), when would that be and why? Hint: when would market efficiency imply that any positive abnormal return should occur?</w:t>
      </w:r>
    </w:p>
    <w:p w14:paraId="35CAE232" w14:textId="77777777" w:rsidR="00461257" w:rsidRPr="000A5CBA" w:rsidRDefault="00461257" w:rsidP="00036358">
      <w:pPr>
        <w:pStyle w:val="ListParagraph"/>
        <w:numPr>
          <w:ilvl w:val="1"/>
          <w:numId w:val="20"/>
        </w:numPr>
        <w:spacing w:after="200" w:line="276" w:lineRule="auto"/>
      </w:pPr>
      <w:r w:rsidRPr="000A5CBA">
        <w:t>Do you think that the situations</w:t>
      </w:r>
      <w:r>
        <w:t xml:space="preserve"> (Super Bowl vs. NCAA advertising)</w:t>
      </w:r>
      <w:r w:rsidRPr="000A5CBA">
        <w:t xml:space="preserve"> are similar other than the fact that the viewing audience at the NCAAs is smaller than at the Super Bowl? Why or why not?</w:t>
      </w:r>
    </w:p>
    <w:p w14:paraId="4B0AC601" w14:textId="63D8D39E" w:rsidR="00461257" w:rsidRPr="000A5CBA" w:rsidRDefault="00461257" w:rsidP="00036358">
      <w:pPr>
        <w:pStyle w:val="ListParagraph"/>
        <w:numPr>
          <w:ilvl w:val="1"/>
          <w:numId w:val="20"/>
        </w:numPr>
        <w:spacing w:after="200" w:line="276" w:lineRule="auto"/>
      </w:pPr>
      <w:r>
        <w:t>Can you conclude anything from the failure of the aforementioned Super Bowl study to find abnormal returns on average after the Super Bowl about the possibility of superior market performance if you undertake the advertising campaign?  Why or why not?</w:t>
      </w:r>
    </w:p>
    <w:p w14:paraId="775ADE8A" w14:textId="6CAC014C" w:rsidR="00461257" w:rsidRDefault="00461257" w:rsidP="00461257">
      <w:pPr>
        <w:rPr>
          <w:b/>
        </w:rPr>
      </w:pPr>
    </w:p>
    <w:p w14:paraId="0F0958F6" w14:textId="79E20223" w:rsidR="00D1750A" w:rsidRDefault="00D1750A" w:rsidP="00036358">
      <w:pPr>
        <w:pStyle w:val="ListParagraph"/>
        <w:numPr>
          <w:ilvl w:val="0"/>
          <w:numId w:val="20"/>
        </w:numPr>
        <w:spacing w:after="200" w:line="276" w:lineRule="auto"/>
      </w:pPr>
      <w:r>
        <w:t xml:space="preserve">Explain the procedure used by Fama and French to reject the CAPM. What regressions did they run and what (qualitatively) was the evidence used to reject the model?  </w:t>
      </w:r>
    </w:p>
    <w:p w14:paraId="74A6A11E" w14:textId="75519FB0" w:rsidR="00D1750A" w:rsidRDefault="00D1750A" w:rsidP="00D1750A"/>
    <w:p w14:paraId="4EF9E942" w14:textId="79A5988B" w:rsidR="00D1750A" w:rsidRPr="0049360C" w:rsidRDefault="00D1750A" w:rsidP="0049360C">
      <w:pPr>
        <w:pStyle w:val="ListParagraph"/>
        <w:numPr>
          <w:ilvl w:val="0"/>
          <w:numId w:val="20"/>
        </w:numPr>
        <w:spacing w:after="200" w:line="276" w:lineRule="auto"/>
      </w:pPr>
      <w:r>
        <w:t xml:space="preserve">Suppose you conducted an event study to measure the informational impact of the 2016 US elections.  Further suppose that outcomes for the US would be very different depending on the party that would be in power after the election.  Yet, you found that statistically speaking, there was no effect on asset markets on the day of or the day after the election.  Would you conclude that markets were </w:t>
      </w:r>
      <w:r w:rsidRPr="00F51EFC">
        <w:rPr>
          <w:i/>
        </w:rPr>
        <w:t>necessarily</w:t>
      </w:r>
      <w:r>
        <w:t xml:space="preserve"> inefficient in their ability to aggregate information?  Why or why not?</w:t>
      </w:r>
    </w:p>
    <w:p w14:paraId="5078F45B" w14:textId="77777777" w:rsidR="006C1D91" w:rsidRDefault="006C1D91" w:rsidP="006C1D91">
      <w:pPr>
        <w:widowControl w:val="0"/>
        <w:tabs>
          <w:tab w:val="right" w:pos="547"/>
        </w:tabs>
        <w:autoSpaceDE w:val="0"/>
        <w:autoSpaceDN w:val="0"/>
        <w:adjustRightInd w:val="0"/>
        <w:rPr>
          <w:color w:val="000000"/>
        </w:rPr>
      </w:pPr>
    </w:p>
    <w:p w14:paraId="0E66170A" w14:textId="77777777" w:rsidR="006C1D91" w:rsidRDefault="006C1D91" w:rsidP="006C1D91">
      <w:pPr>
        <w:pStyle w:val="ListParagraph"/>
        <w:widowControl w:val="0"/>
        <w:tabs>
          <w:tab w:val="right" w:pos="547"/>
        </w:tabs>
        <w:autoSpaceDE w:val="0"/>
        <w:autoSpaceDN w:val="0"/>
        <w:adjustRightInd w:val="0"/>
        <w:ind w:left="2160"/>
        <w:rPr>
          <w:color w:val="000000"/>
        </w:rPr>
      </w:pPr>
    </w:p>
    <w:p w14:paraId="7D8E95BF" w14:textId="77777777" w:rsidR="006C1D91" w:rsidRPr="00AE072B" w:rsidRDefault="006C1D91" w:rsidP="006C1D91">
      <w:pPr>
        <w:pStyle w:val="ListParagraph"/>
        <w:rPr>
          <w:color w:val="000000"/>
        </w:rPr>
      </w:pPr>
    </w:p>
    <w:p w14:paraId="6213CCA7" w14:textId="36F0D16B" w:rsidR="006C1D91" w:rsidRPr="00913F64" w:rsidRDefault="006C1D91" w:rsidP="00913F64">
      <w:pPr>
        <w:pStyle w:val="ListParagraph"/>
        <w:numPr>
          <w:ilvl w:val="0"/>
          <w:numId w:val="20"/>
        </w:numPr>
        <w:rPr>
          <w:color w:val="000000"/>
        </w:rPr>
      </w:pPr>
      <w:r w:rsidRPr="00913F64">
        <w:rPr>
          <w:color w:val="000000"/>
        </w:rPr>
        <w:lastRenderedPageBreak/>
        <w:t xml:space="preserve"> (30) Suppose that the CAPM is true and a publicly traded firm’s expected return on investment is less than its cost of capital.  Accountants try to get at this concept using return on invested capital, but for the purposes of this problem, you can compute return on investment without accounting distortions. You can also compute the risk and expected return characteristics of the firm’s projects exactly.</w:t>
      </w:r>
    </w:p>
    <w:p w14:paraId="2C9EFDB5" w14:textId="4F065E3E" w:rsidR="006C1D91" w:rsidRDefault="006C1D91" w:rsidP="00913F64">
      <w:pPr>
        <w:pStyle w:val="ListParagraph"/>
        <w:numPr>
          <w:ilvl w:val="1"/>
          <w:numId w:val="20"/>
        </w:numPr>
        <w:rPr>
          <w:color w:val="000000"/>
        </w:rPr>
      </w:pPr>
      <w:r>
        <w:rPr>
          <w:color w:val="000000"/>
        </w:rPr>
        <w:t xml:space="preserve">(5) Should the firm’s expected equity return and beta pair plot on the security market line? </w:t>
      </w:r>
    </w:p>
    <w:p w14:paraId="6A77D6D4" w14:textId="425A51DB" w:rsidR="006C1D91" w:rsidRDefault="006C1D91" w:rsidP="00913F64">
      <w:pPr>
        <w:pStyle w:val="ListParagraph"/>
        <w:numPr>
          <w:ilvl w:val="1"/>
          <w:numId w:val="20"/>
        </w:numPr>
        <w:rPr>
          <w:color w:val="000000"/>
        </w:rPr>
      </w:pPr>
      <w:r>
        <w:rPr>
          <w:color w:val="000000"/>
        </w:rPr>
        <w:t xml:space="preserve">(5) Should the firm project return, beta pairs also lie on the security market line?  If not, where should they lie on average? </w:t>
      </w:r>
    </w:p>
    <w:p w14:paraId="12796733" w14:textId="7930C4B1" w:rsidR="006C1D91" w:rsidRDefault="006C1D91" w:rsidP="00913F64">
      <w:pPr>
        <w:pStyle w:val="ListParagraph"/>
        <w:numPr>
          <w:ilvl w:val="1"/>
          <w:numId w:val="20"/>
        </w:numPr>
        <w:rPr>
          <w:color w:val="000000"/>
        </w:rPr>
      </w:pPr>
      <w:r>
        <w:rPr>
          <w:color w:val="000000"/>
        </w:rPr>
        <w:t xml:space="preserve">(5) Should the firm’s expected return and risk pairs lie on the capital market line?  If not, where should they lie? </w:t>
      </w:r>
    </w:p>
    <w:p w14:paraId="5678BD62" w14:textId="0D52CB04" w:rsidR="006C1D91" w:rsidRDefault="006C1D91" w:rsidP="00913F64">
      <w:pPr>
        <w:pStyle w:val="ListParagraph"/>
        <w:numPr>
          <w:ilvl w:val="1"/>
          <w:numId w:val="20"/>
        </w:numPr>
        <w:rPr>
          <w:color w:val="000000"/>
        </w:rPr>
      </w:pPr>
      <w:r>
        <w:rPr>
          <w:color w:val="000000"/>
        </w:rPr>
        <w:t xml:space="preserve">(5) Should the firm’s project’s expected return-risk pairs lie on the capital market line?  If not, where should they lie? </w:t>
      </w:r>
    </w:p>
    <w:p w14:paraId="710638BB" w14:textId="3C432242" w:rsidR="006C1D91" w:rsidRDefault="006C1D91" w:rsidP="00913F64">
      <w:pPr>
        <w:pStyle w:val="ListParagraph"/>
        <w:numPr>
          <w:ilvl w:val="1"/>
          <w:numId w:val="20"/>
        </w:numPr>
        <w:rPr>
          <w:color w:val="000000"/>
        </w:rPr>
      </w:pPr>
      <w:r>
        <w:rPr>
          <w:color w:val="000000"/>
        </w:rPr>
        <w:t xml:space="preserve">(5) Suppose KKR takes this firm private in a leveraged buy-out. Assume that the risk-free rate is zero. The day of the LBO, market returns are also zero and the returns on KKR are zero.  What can you say about market expectations regarding the size of the synergy created by the LBO? </w:t>
      </w:r>
    </w:p>
    <w:p w14:paraId="2D595390" w14:textId="76861497" w:rsidR="006C1D91" w:rsidRPr="006C1D91" w:rsidRDefault="006C1D91" w:rsidP="00913F64">
      <w:pPr>
        <w:pStyle w:val="ListParagraph"/>
        <w:numPr>
          <w:ilvl w:val="1"/>
          <w:numId w:val="20"/>
        </w:numPr>
        <w:rPr>
          <w:color w:val="000000"/>
        </w:rPr>
      </w:pPr>
      <w:r w:rsidRPr="001D621E">
        <w:rPr>
          <w:color w:val="000000"/>
        </w:rPr>
        <w:t xml:space="preserve">(5) How would you test whether the abnormal returns for the three years following the LBO were statistically significantly different from zero?  Write down the test statistic you would use and explain why you chose the one you did.  (There are multiple right answers). Depending on the test you chose, provide one major shortcoming of the approach you ended up using. </w:t>
      </w:r>
      <w:r>
        <w:br w:type="page"/>
      </w:r>
    </w:p>
    <w:p w14:paraId="56E79094" w14:textId="77777777" w:rsidR="006C1D91" w:rsidRPr="00161C62" w:rsidRDefault="006C1D91" w:rsidP="006C1D91">
      <w:pPr>
        <w:pStyle w:val="ListParagraph"/>
        <w:spacing w:after="200" w:line="276" w:lineRule="auto"/>
        <w:ind w:left="2160"/>
      </w:pPr>
    </w:p>
    <w:p w14:paraId="0CA272BB" w14:textId="4A8AFE26" w:rsidR="006C1D91" w:rsidRDefault="006C1D91" w:rsidP="00913F64">
      <w:pPr>
        <w:pStyle w:val="ListParagraph"/>
        <w:numPr>
          <w:ilvl w:val="0"/>
          <w:numId w:val="20"/>
        </w:numPr>
        <w:rPr>
          <w:color w:val="000000"/>
        </w:rPr>
      </w:pPr>
      <w:r>
        <w:rPr>
          <w:rFonts w:eastAsiaTheme="minorEastAsia"/>
        </w:rPr>
        <w:t xml:space="preserve">(30) </w:t>
      </w:r>
      <w:r>
        <w:rPr>
          <w:color w:val="000000"/>
        </w:rPr>
        <w:t xml:space="preserve">Global </w:t>
      </w:r>
      <w:r w:rsidRPr="004628AF">
        <w:rPr>
          <w:color w:val="000000"/>
        </w:rPr>
        <w:t>equity markets</w:t>
      </w:r>
      <w:r>
        <w:rPr>
          <w:color w:val="000000"/>
        </w:rPr>
        <w:t xml:space="preserve"> experienced a significantly negative return of over 4.7 percent on June 24, 2016 in response </w:t>
      </w:r>
      <w:r w:rsidRPr="004628AF">
        <w:rPr>
          <w:color w:val="000000"/>
        </w:rPr>
        <w:t>to news of Britain’s decision (BREXIT) to leave the European Union.</w:t>
      </w:r>
      <w:r>
        <w:rPr>
          <w:color w:val="000000"/>
        </w:rPr>
        <w:t xml:space="preserve"> Many feared that the exit would result in deteriorating terms of trade between the remaining EU countries and Britain. </w:t>
      </w:r>
    </w:p>
    <w:p w14:paraId="4F18382A" w14:textId="77777777" w:rsidR="006C1D91" w:rsidRDefault="006C1D91" w:rsidP="006C1D91">
      <w:pPr>
        <w:pStyle w:val="ListParagraph"/>
        <w:rPr>
          <w:color w:val="000000"/>
        </w:rPr>
      </w:pPr>
    </w:p>
    <w:p w14:paraId="6F2F80FE" w14:textId="77777777" w:rsidR="006C1D91" w:rsidRPr="00056538" w:rsidRDefault="006C1D91" w:rsidP="006C1D91">
      <w:pPr>
        <w:pStyle w:val="ListParagraph"/>
        <w:rPr>
          <w:color w:val="000000"/>
        </w:rPr>
      </w:pPr>
      <w:r w:rsidRPr="00056538">
        <w:rPr>
          <w:color w:val="000000"/>
        </w:rPr>
        <w:t>We collected daily data on 64 stock exchanges from Bloomberg for the period January 6, 2016 through June 30, 2016.  Our sample includes the following stock exchanges: Argentina, Australia, Austria, Belgium, Brazil, Bulgaria, Canada, China, Chile, Colombia, Croatia, Cyprus, Czech Republic, Denmark, Estonia, Finland, France, Germany, Greece, Hong Kong, Hungary, Iceland, India, Indonesia, Italy, Ireland, Japan, Kazakhstan, Latvia, Luxembourg, Macedonia, Malaysia, Malta, Mexico, Netherlands, Nigeria, Norway, Pakistan, Philippines, Poland, Portugal, Qatar, Romania, Russia, Saudi Arabia, Serbia, Singapore, Slovakia, Slovenia, South Africa, South Korea, Spain, Switzerland, Taiwan, Thailand, Turkey, UAE, Ukraine, United Kingdom, United States, and Vietnam. For a measure of global market returns, we drew data from the Global Financial Database on three indices: the MSCI global price index, the S&amp;P Global Equity Index, and the Dow Jones Global Equity Index – with each</w:t>
      </w:r>
      <w:r>
        <w:t xml:space="preserve"> of the alternative indices yielding almost identical empirical results.  We ran the following regression: </w:t>
      </w:r>
    </w:p>
    <w:p w14:paraId="0C747308" w14:textId="77777777" w:rsidR="006C1D91" w:rsidRDefault="006C1D91" w:rsidP="006C1D91">
      <w:pPr>
        <w:pStyle w:val="NormalWeb"/>
        <w:spacing w:before="0" w:beforeAutospacing="0" w:after="0" w:afterAutospacing="0"/>
        <w:ind w:left="720"/>
        <w:rPr>
          <w:color w:val="000000"/>
        </w:rPr>
      </w:pPr>
    </w:p>
    <w:p w14:paraId="6A6DBCF7" w14:textId="77777777" w:rsidR="006C1D91" w:rsidRDefault="006C1D91" w:rsidP="006C1D91">
      <w:pPr>
        <w:pStyle w:val="NormalWeb"/>
        <w:spacing w:before="0" w:beforeAutospacing="0" w:after="0" w:afterAutospacing="0"/>
        <w:ind w:left="720"/>
        <w:rPr>
          <w:color w:val="000000"/>
        </w:rPr>
      </w:pPr>
      <w:r w:rsidRPr="004628AF">
        <w:rPr>
          <w:color w:val="000000"/>
        </w:rPr>
        <w:t>To measure abnormal retu</w:t>
      </w:r>
      <w:r>
        <w:rPr>
          <w:color w:val="000000"/>
        </w:rPr>
        <w:t>rns for the various country indices,</w:t>
      </w:r>
      <w:r w:rsidRPr="004628AF">
        <w:rPr>
          <w:color w:val="000000"/>
        </w:rPr>
        <w:t xml:space="preserve"> </w:t>
      </w:r>
      <m:oMath>
        <m:r>
          <w:rPr>
            <w:rFonts w:ascii="Cambria Math" w:hAnsi="Cambria Math"/>
            <w:color w:val="000000"/>
          </w:rPr>
          <m:t>i=1,…64</m:t>
        </m:r>
      </m:oMath>
      <w:r>
        <w:rPr>
          <w:color w:val="000000"/>
        </w:rPr>
        <w:t xml:space="preserve">, </w:t>
      </w:r>
      <w:r w:rsidRPr="004628AF">
        <w:rPr>
          <w:color w:val="000000"/>
        </w:rPr>
        <w:t xml:space="preserve">we </w:t>
      </w:r>
      <w:r>
        <w:rPr>
          <w:color w:val="000000"/>
        </w:rPr>
        <w:t>ra</w:t>
      </w:r>
      <w:r w:rsidRPr="004628AF">
        <w:rPr>
          <w:color w:val="000000"/>
        </w:rPr>
        <w:t>n the following market model regressions for our sample period:</w:t>
      </w:r>
    </w:p>
    <w:p w14:paraId="0EF73F60" w14:textId="77777777" w:rsidR="006C1D91" w:rsidRDefault="006C1D91" w:rsidP="006C1D91">
      <w:pPr>
        <w:pStyle w:val="NormalWeb"/>
        <w:spacing w:before="0" w:beforeAutospacing="0" w:after="0" w:afterAutospacing="0"/>
        <w:rPr>
          <w:rFonts w:eastAsiaTheme="minorEastAsia"/>
        </w:rPr>
      </w:pPr>
      <w:r>
        <w:rPr>
          <w:color w:val="000000"/>
        </w:rPr>
        <w:tab/>
      </w:r>
      <w:r>
        <w:rPr>
          <w:color w:val="000000"/>
        </w:rPr>
        <w:br/>
      </w: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i24</m:t>
              </m:r>
            </m:sub>
          </m:sSub>
          <m:sSub>
            <m:sSubPr>
              <m:ctrlPr>
                <w:rPr>
                  <w:rFonts w:ascii="Cambria Math" w:hAnsi="Cambria Math"/>
                  <w:i/>
                </w:rPr>
              </m:ctrlPr>
            </m:sSubPr>
            <m:e>
              <m:r>
                <w:rPr>
                  <w:rFonts w:ascii="Cambria Math" w:hAnsi="Cambria Math"/>
                </w:rPr>
                <m:t>D</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i27</m:t>
              </m:r>
            </m:sub>
          </m:sSub>
          <m:sSub>
            <m:sSubPr>
              <m:ctrlPr>
                <w:rPr>
                  <w:rFonts w:ascii="Cambria Math" w:hAnsi="Cambria Math"/>
                  <w:i/>
                </w:rPr>
              </m:ctrlPr>
            </m:sSubPr>
            <m:e>
              <m:r>
                <w:rPr>
                  <w:rFonts w:ascii="Cambria Math" w:hAnsi="Cambria Math"/>
                </w:rPr>
                <m:t>D</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i28</m:t>
              </m:r>
            </m:sub>
          </m:sSub>
          <m:sSub>
            <m:sSubPr>
              <m:ctrlPr>
                <w:rPr>
                  <w:rFonts w:ascii="Cambria Math" w:hAnsi="Cambria Math"/>
                  <w:i/>
                </w:rPr>
              </m:ctrlPr>
            </m:sSubPr>
            <m:e>
              <m:r>
                <w:rPr>
                  <w:rFonts w:ascii="Cambria Math" w:hAnsi="Cambria Math"/>
                </w:rPr>
                <m:t>D</m:t>
              </m:r>
            </m:e>
            <m:sub>
              <m:r>
                <w:rPr>
                  <w:rFonts w:ascii="Cambria Math" w:hAnsi="Cambria Math"/>
                </w:rPr>
                <m:t>28</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r>
            <m:rPr>
              <m:sty m:val="p"/>
            </m:rPr>
            <w:rPr>
              <w:rFonts w:eastAsiaTheme="minorEastAsia"/>
            </w:rPr>
            <w:br/>
          </m:r>
        </m:oMath>
      </m:oMathPara>
      <w:r>
        <w:rPr>
          <w:rFonts w:eastAsiaTheme="minorEastAsia"/>
        </w:rPr>
        <w:tab/>
      </w:r>
    </w:p>
    <w:p w14:paraId="3E471214" w14:textId="77777777" w:rsidR="006C1D91" w:rsidRPr="004628AF" w:rsidRDefault="006C1D91" w:rsidP="006C1D91">
      <w:pPr>
        <w:pStyle w:val="NormalWeb"/>
        <w:spacing w:before="0" w:beforeAutospacing="0" w:after="0" w:afterAutospacing="0"/>
      </w:pPr>
      <w:r>
        <w:rPr>
          <w:rFonts w:eastAsiaTheme="minorEastAsia"/>
        </w:rPr>
        <w:tab/>
      </w:r>
      <w:r>
        <w:rPr>
          <w:rFonts w:eastAsiaTheme="minorEastAsia"/>
        </w:rPr>
        <w:tab/>
      </w:r>
      <w:r>
        <w:rPr>
          <w:rFonts w:eastAsiaTheme="minorEastAsia"/>
        </w:rPr>
        <w:tab/>
      </w:r>
    </w:p>
    <w:p w14:paraId="478D58B1" w14:textId="77777777" w:rsidR="006C1D91" w:rsidRDefault="006C1D91" w:rsidP="006C1D91">
      <w:pPr>
        <w:pStyle w:val="ListParagraph"/>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it</m:t>
            </m:r>
          </m:sub>
        </m:sSub>
      </m:oMath>
      <w:r>
        <w:rPr>
          <w:rFonts w:eastAsiaTheme="minorEastAsia"/>
        </w:rPr>
        <w:t xml:space="preserve"> is the individual market return, </w:t>
      </w:r>
      <m:oMath>
        <m:sSub>
          <m:sSubPr>
            <m:ctrlPr>
              <w:rPr>
                <w:rFonts w:ascii="Cambria Math" w:hAnsi="Cambria Math"/>
                <w:i/>
              </w:rPr>
            </m:ctrlPr>
          </m:sSubPr>
          <m:e>
            <m:r>
              <w:rPr>
                <w:rFonts w:ascii="Cambria Math" w:hAnsi="Cambria Math"/>
              </w:rPr>
              <m:t>r</m:t>
            </m:r>
          </m:e>
          <m:sub>
            <m:r>
              <w:rPr>
                <w:rFonts w:ascii="Cambria Math" w:hAnsi="Cambria Math"/>
              </w:rPr>
              <m:t>mt</m:t>
            </m:r>
          </m:sub>
        </m:sSub>
      </m:oMath>
      <w:r>
        <w:rPr>
          <w:rFonts w:eastAsiaTheme="minorEastAsia"/>
        </w:rPr>
        <w:t xml:space="preserve"> is the global market return, and </w:t>
      </w:r>
      <m:oMath>
        <m:sSub>
          <m:sSubPr>
            <m:ctrlPr>
              <w:rPr>
                <w:rFonts w:ascii="Cambria Math" w:hAnsi="Cambria Math"/>
                <w:i/>
              </w:rPr>
            </m:ctrlPr>
          </m:sSubPr>
          <m:e>
            <m:r>
              <w:rPr>
                <w:rFonts w:ascii="Cambria Math" w:hAnsi="Cambria Math"/>
              </w:rPr>
              <m:t>D</m:t>
            </m:r>
          </m:e>
          <m:sub>
            <m:r>
              <w:rPr>
                <w:rFonts w:ascii="Cambria Math" w:hAnsi="Cambria Math"/>
              </w:rPr>
              <m:t>i24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i26</m:t>
            </m:r>
          </m:sub>
        </m:sSub>
        <m:r>
          <w:rPr>
            <w:rFonts w:ascii="Cambria Math" w:hAnsi="Cambria Math"/>
          </w:rPr>
          <m:t xml:space="preserve">, </m:t>
        </m:r>
      </m:oMath>
      <w:r w:rsidRPr="004628AF">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i27</m:t>
            </m:r>
          </m:sub>
        </m:sSub>
      </m:oMath>
      <w:r w:rsidRPr="004628AF">
        <w:rPr>
          <w:rFonts w:eastAsiaTheme="minorEastAsia"/>
        </w:rPr>
        <w:t xml:space="preserve"> are dummy variables equal to one on June 24 , June 27, and June 28, </w:t>
      </w:r>
      <w:r>
        <w:rPr>
          <w:rFonts w:eastAsiaTheme="minorEastAsia"/>
        </w:rPr>
        <w:t xml:space="preserve">2016, respectively.  Accordingly, </w:t>
      </w:r>
      <w:r w:rsidRPr="004628AF">
        <w:rPr>
          <w:rFonts w:eastAsiaTheme="minorEastAsia"/>
        </w:rPr>
        <w:t xml:space="preserve">the coefficients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iτ</m:t>
            </m:r>
          </m:sub>
        </m:sSub>
      </m:oMath>
      <w:r w:rsidRPr="004628AF">
        <w:rPr>
          <w:rFonts w:eastAsiaTheme="minorEastAsia"/>
        </w:rPr>
        <w:t xml:space="preserve"> measure abnormal returns for index </w:t>
      </w:r>
      <m:oMath>
        <m:r>
          <w:rPr>
            <w:rFonts w:ascii="Cambria Math" w:eastAsiaTheme="minorEastAsia" w:hAnsi="Cambria Math"/>
          </w:rPr>
          <m:t>i</m:t>
        </m:r>
      </m:oMath>
      <w:r w:rsidRPr="004628AF">
        <w:rPr>
          <w:rFonts w:eastAsiaTheme="minorEastAsia"/>
        </w:rPr>
        <w:t xml:space="preserve"> on dates</w:t>
      </w:r>
      <m:oMath>
        <m:r>
          <w:rPr>
            <w:rFonts w:ascii="Cambria Math" w:eastAsiaTheme="minorEastAsia" w:hAnsi="Cambria Math"/>
          </w:rPr>
          <m:t xml:space="preserve"> τ=</m:t>
        </m:r>
      </m:oMath>
      <w:r w:rsidRPr="004628AF">
        <w:rPr>
          <w:rFonts w:eastAsiaTheme="minorEastAsia"/>
        </w:rPr>
        <w:t>June 24, June 27</w:t>
      </w:r>
      <w:r w:rsidRPr="004628AF">
        <w:rPr>
          <w:rFonts w:eastAsiaTheme="minorEastAsia"/>
          <w:vertAlign w:val="superscript"/>
        </w:rPr>
        <w:t>t</w:t>
      </w:r>
      <w:r w:rsidRPr="004628AF">
        <w:rPr>
          <w:rFonts w:eastAsiaTheme="minorEastAsia"/>
        </w:rPr>
        <w:t xml:space="preserve"> and June 28.</w:t>
      </w:r>
    </w:p>
    <w:p w14:paraId="14904676" w14:textId="77777777" w:rsidR="006C1D91" w:rsidRDefault="006C1D91" w:rsidP="006C1D91">
      <w:pPr>
        <w:pStyle w:val="ListParagraph"/>
        <w:rPr>
          <w:rFonts w:eastAsiaTheme="minorEastAsia"/>
        </w:rPr>
      </w:pPr>
    </w:p>
    <w:p w14:paraId="7DEBCD44" w14:textId="77777777" w:rsidR="006C1D91" w:rsidRDefault="006C1D91" w:rsidP="006C1D91">
      <w:pPr>
        <w:pStyle w:val="ListParagraph"/>
        <w:rPr>
          <w:rFonts w:eastAsiaTheme="minorEastAsia"/>
        </w:rPr>
      </w:pPr>
      <w:r>
        <w:rPr>
          <w:rFonts w:eastAsiaTheme="minorEastAsia"/>
        </w:rPr>
        <w:t>Overall market moves were -4.7% on the 24</w:t>
      </w:r>
      <w:r w:rsidRPr="00056538">
        <w:rPr>
          <w:rFonts w:eastAsiaTheme="minorEastAsia"/>
          <w:vertAlign w:val="superscript"/>
        </w:rPr>
        <w:t>th</w:t>
      </w:r>
      <w:r>
        <w:rPr>
          <w:rFonts w:eastAsiaTheme="minorEastAsia"/>
        </w:rPr>
        <w:t xml:space="preserve"> and -2.2% on June 27</w:t>
      </w:r>
      <w:r w:rsidRPr="00056538">
        <w:rPr>
          <w:rFonts w:eastAsiaTheme="minorEastAsia"/>
          <w:vertAlign w:val="superscript"/>
        </w:rPr>
        <w:t>th</w:t>
      </w:r>
      <w:r>
        <w:rPr>
          <w:rFonts w:eastAsiaTheme="minorEastAsia"/>
        </w:rPr>
        <w:t xml:space="preserve"> for a cumulative return on the market index on those two dates of nearly -7%. Consider the following table which provides </w:t>
      </w:r>
      <w:r w:rsidRPr="00D11F22">
        <w:rPr>
          <w:rFonts w:eastAsiaTheme="minorEastAsia"/>
          <w:i/>
        </w:rPr>
        <w:t>abnormal</w:t>
      </w:r>
      <w:r>
        <w:rPr>
          <w:rFonts w:eastAsiaTheme="minorEastAsia"/>
        </w:rPr>
        <w:t xml:space="preserve"> returns relative to the market during the sample period for a number of countries in Europe Bold means statistical significance at the 5% level.</w:t>
      </w:r>
    </w:p>
    <w:p w14:paraId="5A2EB6F1" w14:textId="77777777" w:rsidR="006C1D91" w:rsidRDefault="006C1D91" w:rsidP="006C1D91">
      <w:pPr>
        <w:rPr>
          <w:rFonts w:eastAsiaTheme="minorEastAsia"/>
        </w:rPr>
      </w:pPr>
      <w:r>
        <w:rPr>
          <w:rFonts w:eastAsiaTheme="minorEastAsia"/>
        </w:rPr>
        <w:br w:type="page"/>
      </w:r>
    </w:p>
    <w:p w14:paraId="4D2D2486" w14:textId="77777777" w:rsidR="006C1D91" w:rsidRDefault="006C1D91" w:rsidP="006C1D91">
      <w:pPr>
        <w:pStyle w:val="ListParagraph"/>
        <w:rPr>
          <w:rFonts w:eastAsiaTheme="minorEastAsia"/>
        </w:rPr>
      </w:pPr>
    </w:p>
    <w:p w14:paraId="57DF14E0" w14:textId="77777777" w:rsidR="006C1D91" w:rsidRPr="0073684E" w:rsidRDefault="006C1D91" w:rsidP="006C1D91">
      <w:pPr>
        <w:pStyle w:val="ListParagraph"/>
        <w:rPr>
          <w:rFonts w:eastAsiaTheme="minorEastAsia"/>
        </w:rPr>
      </w:pPr>
    </w:p>
    <w:tbl>
      <w:tblPr>
        <w:tblW w:w="9740" w:type="dxa"/>
        <w:tblInd w:w="93" w:type="dxa"/>
        <w:tblLook w:val="04A0" w:firstRow="1" w:lastRow="0" w:firstColumn="1" w:lastColumn="0" w:noHBand="0" w:noVBand="1"/>
      </w:tblPr>
      <w:tblGrid>
        <w:gridCol w:w="1998"/>
        <w:gridCol w:w="1147"/>
        <w:gridCol w:w="1580"/>
        <w:gridCol w:w="1195"/>
        <w:gridCol w:w="1420"/>
        <w:gridCol w:w="1240"/>
        <w:gridCol w:w="1160"/>
      </w:tblGrid>
      <w:tr w:rsidR="006C1D91" w:rsidRPr="00EE53B1" w14:paraId="41F1DE15" w14:textId="77777777" w:rsidTr="00B720D8">
        <w:trPr>
          <w:trHeight w:val="300"/>
        </w:trPr>
        <w:tc>
          <w:tcPr>
            <w:tcW w:w="5920" w:type="dxa"/>
            <w:gridSpan w:val="4"/>
            <w:tcBorders>
              <w:top w:val="nil"/>
              <w:left w:val="nil"/>
              <w:bottom w:val="nil"/>
              <w:right w:val="nil"/>
            </w:tcBorders>
            <w:shd w:val="clear" w:color="000000" w:fill="FFFFFF"/>
            <w:noWrap/>
            <w:vAlign w:val="bottom"/>
            <w:hideMark/>
          </w:tcPr>
          <w:p w14:paraId="2430BA4E" w14:textId="77777777" w:rsidR="006C1D91" w:rsidRPr="00EE53B1" w:rsidRDefault="006C1D91" w:rsidP="00B720D8">
            <w:pPr>
              <w:rPr>
                <w:b/>
                <w:bCs/>
                <w:color w:val="000000"/>
                <w:sz w:val="20"/>
                <w:szCs w:val="20"/>
              </w:rPr>
            </w:pPr>
            <w:r w:rsidRPr="00EE53B1">
              <w:rPr>
                <w:b/>
                <w:bCs/>
                <w:color w:val="000000"/>
                <w:sz w:val="20"/>
                <w:szCs w:val="20"/>
              </w:rPr>
              <w:t>Table 3: Country Abnormal Returns</w:t>
            </w:r>
            <w:r>
              <w:rPr>
                <w:b/>
                <w:bCs/>
                <w:color w:val="000000"/>
                <w:sz w:val="20"/>
                <w:szCs w:val="20"/>
              </w:rPr>
              <w:t xml:space="preserve"> in percentage points r</w:t>
            </w:r>
            <w:r w:rsidRPr="00EE53B1">
              <w:rPr>
                <w:b/>
                <w:bCs/>
                <w:color w:val="000000"/>
                <w:sz w:val="20"/>
                <w:szCs w:val="20"/>
              </w:rPr>
              <w:t>elative to the MSCI Global Index</w:t>
            </w:r>
            <w:r>
              <w:rPr>
                <w:b/>
                <w:bCs/>
                <w:color w:val="000000"/>
                <w:sz w:val="20"/>
                <w:szCs w:val="20"/>
              </w:rPr>
              <w:t xml:space="preserve"> where returns are measured in US dollars</w:t>
            </w:r>
          </w:p>
        </w:tc>
        <w:tc>
          <w:tcPr>
            <w:tcW w:w="1420" w:type="dxa"/>
            <w:tcBorders>
              <w:top w:val="nil"/>
              <w:left w:val="nil"/>
              <w:bottom w:val="nil"/>
              <w:right w:val="nil"/>
            </w:tcBorders>
            <w:shd w:val="clear" w:color="000000" w:fill="FFFFFF"/>
            <w:noWrap/>
            <w:vAlign w:val="bottom"/>
            <w:hideMark/>
          </w:tcPr>
          <w:p w14:paraId="7C680F82" w14:textId="77777777" w:rsidR="006C1D91" w:rsidRPr="00EE53B1" w:rsidRDefault="006C1D91" w:rsidP="00B720D8">
            <w:pPr>
              <w:jc w:val="center"/>
              <w:rPr>
                <w:color w:val="000000"/>
                <w:sz w:val="20"/>
                <w:szCs w:val="20"/>
              </w:rPr>
            </w:pPr>
            <w:r w:rsidRPr="00EE53B1">
              <w:rPr>
                <w:color w:val="000000"/>
                <w:sz w:val="20"/>
                <w:szCs w:val="20"/>
              </w:rPr>
              <w:t> </w:t>
            </w:r>
          </w:p>
        </w:tc>
        <w:tc>
          <w:tcPr>
            <w:tcW w:w="1240" w:type="dxa"/>
            <w:tcBorders>
              <w:top w:val="nil"/>
              <w:left w:val="nil"/>
              <w:bottom w:val="nil"/>
              <w:right w:val="nil"/>
            </w:tcBorders>
            <w:shd w:val="clear" w:color="000000" w:fill="FFFFFF"/>
            <w:noWrap/>
            <w:vAlign w:val="bottom"/>
            <w:hideMark/>
          </w:tcPr>
          <w:p w14:paraId="3F27F1E0" w14:textId="77777777" w:rsidR="006C1D91" w:rsidRPr="00EE53B1" w:rsidRDefault="006C1D91" w:rsidP="00B720D8">
            <w:pPr>
              <w:jc w:val="center"/>
              <w:rPr>
                <w:color w:val="000000"/>
                <w:sz w:val="20"/>
                <w:szCs w:val="20"/>
              </w:rPr>
            </w:pPr>
            <w:r w:rsidRPr="00EE53B1">
              <w:rPr>
                <w:color w:val="000000"/>
                <w:sz w:val="20"/>
                <w:szCs w:val="20"/>
              </w:rPr>
              <w:t> </w:t>
            </w:r>
          </w:p>
        </w:tc>
        <w:tc>
          <w:tcPr>
            <w:tcW w:w="1160" w:type="dxa"/>
            <w:tcBorders>
              <w:top w:val="nil"/>
              <w:left w:val="nil"/>
              <w:bottom w:val="nil"/>
              <w:right w:val="nil"/>
            </w:tcBorders>
            <w:shd w:val="clear" w:color="000000" w:fill="FFFFFF"/>
            <w:noWrap/>
            <w:vAlign w:val="bottom"/>
            <w:hideMark/>
          </w:tcPr>
          <w:p w14:paraId="7A76FDC1" w14:textId="77777777" w:rsidR="006C1D91" w:rsidRPr="00EE53B1" w:rsidRDefault="006C1D91" w:rsidP="00B720D8">
            <w:pPr>
              <w:jc w:val="center"/>
              <w:rPr>
                <w:color w:val="000000"/>
                <w:sz w:val="20"/>
                <w:szCs w:val="20"/>
              </w:rPr>
            </w:pPr>
            <w:r w:rsidRPr="00EE53B1">
              <w:rPr>
                <w:color w:val="000000"/>
                <w:sz w:val="20"/>
                <w:szCs w:val="20"/>
              </w:rPr>
              <w:t> </w:t>
            </w:r>
          </w:p>
        </w:tc>
      </w:tr>
      <w:tr w:rsidR="006C1D91" w:rsidRPr="00EE53B1" w14:paraId="1E88D087" w14:textId="77777777" w:rsidTr="00B720D8">
        <w:trPr>
          <w:trHeight w:val="300"/>
        </w:trPr>
        <w:tc>
          <w:tcPr>
            <w:tcW w:w="1998" w:type="dxa"/>
            <w:tcBorders>
              <w:top w:val="nil"/>
              <w:left w:val="nil"/>
              <w:bottom w:val="nil"/>
              <w:right w:val="nil"/>
            </w:tcBorders>
            <w:shd w:val="clear" w:color="000000" w:fill="FFFFFF"/>
            <w:noWrap/>
            <w:vAlign w:val="bottom"/>
            <w:hideMark/>
          </w:tcPr>
          <w:p w14:paraId="76E1A6F7" w14:textId="77777777" w:rsidR="006C1D91" w:rsidRPr="00EE53B1" w:rsidRDefault="006C1D91" w:rsidP="00B720D8">
            <w:pPr>
              <w:rPr>
                <w:color w:val="000000"/>
                <w:sz w:val="20"/>
                <w:szCs w:val="20"/>
              </w:rPr>
            </w:pPr>
            <w:r w:rsidRPr="00EE53B1">
              <w:rPr>
                <w:color w:val="000000"/>
                <w:sz w:val="20"/>
                <w:szCs w:val="20"/>
              </w:rPr>
              <w:t> </w:t>
            </w:r>
          </w:p>
        </w:tc>
        <w:tc>
          <w:tcPr>
            <w:tcW w:w="1147" w:type="dxa"/>
            <w:tcBorders>
              <w:top w:val="nil"/>
              <w:left w:val="nil"/>
              <w:bottom w:val="nil"/>
              <w:right w:val="nil"/>
            </w:tcBorders>
            <w:shd w:val="clear" w:color="000000" w:fill="FFFFFF"/>
            <w:noWrap/>
            <w:vAlign w:val="bottom"/>
            <w:hideMark/>
          </w:tcPr>
          <w:p w14:paraId="49CF3BAE" w14:textId="77777777" w:rsidR="006C1D91" w:rsidRPr="00EE53B1" w:rsidRDefault="006C1D91" w:rsidP="00B720D8">
            <w:pPr>
              <w:jc w:val="center"/>
              <w:rPr>
                <w:b/>
                <w:bCs/>
                <w:color w:val="000000"/>
                <w:sz w:val="20"/>
                <w:szCs w:val="20"/>
              </w:rPr>
            </w:pPr>
            <w:r w:rsidRPr="00EE53B1">
              <w:rPr>
                <w:b/>
                <w:bCs/>
                <w:color w:val="000000"/>
                <w:sz w:val="20"/>
                <w:szCs w:val="20"/>
              </w:rPr>
              <w:t>Constant</w:t>
            </w:r>
          </w:p>
        </w:tc>
        <w:tc>
          <w:tcPr>
            <w:tcW w:w="1580" w:type="dxa"/>
            <w:tcBorders>
              <w:top w:val="nil"/>
              <w:left w:val="nil"/>
              <w:bottom w:val="nil"/>
              <w:right w:val="nil"/>
            </w:tcBorders>
            <w:shd w:val="clear" w:color="000000" w:fill="FFFFFF"/>
            <w:noWrap/>
            <w:vAlign w:val="bottom"/>
            <w:hideMark/>
          </w:tcPr>
          <w:p w14:paraId="2E31560F" w14:textId="77777777" w:rsidR="006C1D91" w:rsidRPr="00EE53B1" w:rsidRDefault="006C1D91" w:rsidP="00B720D8">
            <w:pPr>
              <w:jc w:val="center"/>
              <w:rPr>
                <w:b/>
                <w:bCs/>
                <w:color w:val="000000"/>
                <w:sz w:val="20"/>
                <w:szCs w:val="20"/>
              </w:rPr>
            </w:pPr>
            <w:r w:rsidRPr="00EE53B1">
              <w:rPr>
                <w:b/>
                <w:bCs/>
                <w:color w:val="000000"/>
                <w:sz w:val="20"/>
                <w:szCs w:val="20"/>
              </w:rPr>
              <w:t>Market Beta</w:t>
            </w:r>
          </w:p>
        </w:tc>
        <w:tc>
          <w:tcPr>
            <w:tcW w:w="1195" w:type="dxa"/>
            <w:tcBorders>
              <w:top w:val="nil"/>
              <w:left w:val="nil"/>
              <w:bottom w:val="nil"/>
              <w:right w:val="nil"/>
            </w:tcBorders>
            <w:shd w:val="clear" w:color="000000" w:fill="FFFFFF"/>
            <w:noWrap/>
            <w:vAlign w:val="bottom"/>
            <w:hideMark/>
          </w:tcPr>
          <w:p w14:paraId="35BF3ABE" w14:textId="77777777" w:rsidR="006C1D91" w:rsidRPr="00EE53B1" w:rsidRDefault="006C1D91" w:rsidP="00B720D8">
            <w:pPr>
              <w:jc w:val="center"/>
              <w:rPr>
                <w:b/>
                <w:bCs/>
                <w:color w:val="000000"/>
                <w:sz w:val="20"/>
                <w:szCs w:val="20"/>
              </w:rPr>
            </w:pPr>
            <w:r w:rsidRPr="00EE53B1">
              <w:rPr>
                <w:b/>
                <w:bCs/>
                <w:color w:val="000000"/>
                <w:sz w:val="20"/>
                <w:szCs w:val="20"/>
              </w:rPr>
              <w:t>6/24/2016</w:t>
            </w:r>
          </w:p>
        </w:tc>
        <w:tc>
          <w:tcPr>
            <w:tcW w:w="1420" w:type="dxa"/>
            <w:tcBorders>
              <w:top w:val="nil"/>
              <w:left w:val="nil"/>
              <w:bottom w:val="nil"/>
              <w:right w:val="nil"/>
            </w:tcBorders>
            <w:shd w:val="clear" w:color="000000" w:fill="FFFFFF"/>
            <w:noWrap/>
            <w:vAlign w:val="bottom"/>
            <w:hideMark/>
          </w:tcPr>
          <w:p w14:paraId="043D54D5" w14:textId="77777777" w:rsidR="006C1D91" w:rsidRPr="00EE53B1" w:rsidRDefault="006C1D91" w:rsidP="00B720D8">
            <w:pPr>
              <w:jc w:val="center"/>
              <w:rPr>
                <w:b/>
                <w:bCs/>
                <w:color w:val="000000"/>
                <w:sz w:val="20"/>
                <w:szCs w:val="20"/>
              </w:rPr>
            </w:pPr>
            <w:r w:rsidRPr="00EE53B1">
              <w:rPr>
                <w:b/>
                <w:bCs/>
                <w:color w:val="000000"/>
                <w:sz w:val="20"/>
                <w:szCs w:val="20"/>
              </w:rPr>
              <w:t>6/27/2016</w:t>
            </w:r>
          </w:p>
        </w:tc>
        <w:tc>
          <w:tcPr>
            <w:tcW w:w="1240" w:type="dxa"/>
            <w:tcBorders>
              <w:top w:val="nil"/>
              <w:left w:val="nil"/>
              <w:bottom w:val="nil"/>
              <w:right w:val="nil"/>
            </w:tcBorders>
            <w:shd w:val="clear" w:color="000000" w:fill="FFFFFF"/>
            <w:noWrap/>
            <w:vAlign w:val="bottom"/>
            <w:hideMark/>
          </w:tcPr>
          <w:p w14:paraId="3FEC1FA2" w14:textId="77777777" w:rsidR="006C1D91" w:rsidRPr="00EE53B1" w:rsidRDefault="006C1D91" w:rsidP="00B720D8">
            <w:pPr>
              <w:jc w:val="center"/>
              <w:rPr>
                <w:b/>
                <w:bCs/>
                <w:color w:val="000000"/>
                <w:sz w:val="20"/>
                <w:szCs w:val="20"/>
              </w:rPr>
            </w:pPr>
            <w:r w:rsidRPr="00EE53B1">
              <w:rPr>
                <w:b/>
                <w:bCs/>
                <w:color w:val="000000"/>
                <w:sz w:val="20"/>
                <w:szCs w:val="20"/>
              </w:rPr>
              <w:t>6/28/2016</w:t>
            </w:r>
          </w:p>
        </w:tc>
        <w:tc>
          <w:tcPr>
            <w:tcW w:w="1160" w:type="dxa"/>
            <w:tcBorders>
              <w:top w:val="nil"/>
              <w:left w:val="nil"/>
              <w:bottom w:val="nil"/>
              <w:right w:val="nil"/>
            </w:tcBorders>
            <w:shd w:val="clear" w:color="000000" w:fill="FFFFFF"/>
            <w:noWrap/>
            <w:vAlign w:val="bottom"/>
            <w:hideMark/>
          </w:tcPr>
          <w:p w14:paraId="608662CA" w14:textId="77777777" w:rsidR="006C1D91" w:rsidRPr="00EE53B1" w:rsidRDefault="006C1D91" w:rsidP="00B720D8">
            <w:pPr>
              <w:jc w:val="center"/>
              <w:rPr>
                <w:b/>
                <w:bCs/>
                <w:color w:val="000000"/>
                <w:sz w:val="20"/>
                <w:szCs w:val="20"/>
              </w:rPr>
            </w:pPr>
            <w:r w:rsidRPr="00EE53B1">
              <w:rPr>
                <w:b/>
                <w:bCs/>
                <w:color w:val="000000"/>
                <w:sz w:val="20"/>
                <w:szCs w:val="20"/>
              </w:rPr>
              <w:t>R-Squared</w:t>
            </w:r>
          </w:p>
        </w:tc>
      </w:tr>
      <w:tr w:rsidR="006C1D91" w:rsidRPr="00EE53B1" w14:paraId="7C966EB9" w14:textId="77777777" w:rsidTr="00B720D8">
        <w:trPr>
          <w:trHeight w:val="300"/>
        </w:trPr>
        <w:tc>
          <w:tcPr>
            <w:tcW w:w="1998" w:type="dxa"/>
            <w:tcBorders>
              <w:top w:val="nil"/>
              <w:left w:val="nil"/>
              <w:bottom w:val="nil"/>
              <w:right w:val="nil"/>
            </w:tcBorders>
            <w:shd w:val="clear" w:color="000000" w:fill="FFFFFF"/>
            <w:noWrap/>
            <w:vAlign w:val="bottom"/>
            <w:hideMark/>
          </w:tcPr>
          <w:p w14:paraId="01B4892A" w14:textId="77777777" w:rsidR="006C1D91" w:rsidRPr="00EE53B1" w:rsidRDefault="006C1D91" w:rsidP="00B720D8">
            <w:pPr>
              <w:rPr>
                <w:color w:val="000000"/>
                <w:sz w:val="20"/>
                <w:szCs w:val="20"/>
              </w:rPr>
            </w:pPr>
            <w:r w:rsidRPr="00EE53B1">
              <w:rPr>
                <w:color w:val="000000"/>
                <w:sz w:val="20"/>
                <w:szCs w:val="20"/>
              </w:rPr>
              <w:t> </w:t>
            </w:r>
            <w:r>
              <w:rPr>
                <w:i/>
                <w:color w:val="000000"/>
                <w:sz w:val="20"/>
                <w:szCs w:val="20"/>
              </w:rPr>
              <w:t>Europe</w:t>
            </w:r>
          </w:p>
        </w:tc>
        <w:tc>
          <w:tcPr>
            <w:tcW w:w="1147" w:type="dxa"/>
            <w:tcBorders>
              <w:top w:val="nil"/>
              <w:left w:val="nil"/>
              <w:bottom w:val="nil"/>
              <w:right w:val="nil"/>
            </w:tcBorders>
            <w:shd w:val="clear" w:color="000000" w:fill="FFFFFF"/>
            <w:noWrap/>
            <w:vAlign w:val="bottom"/>
            <w:hideMark/>
          </w:tcPr>
          <w:p w14:paraId="05FEB3A1" w14:textId="77777777" w:rsidR="006C1D91" w:rsidRPr="00EE53B1" w:rsidRDefault="006C1D91" w:rsidP="00B720D8">
            <w:pPr>
              <w:jc w:val="center"/>
              <w:rPr>
                <w:color w:val="000000"/>
                <w:sz w:val="20"/>
                <w:szCs w:val="20"/>
              </w:rPr>
            </w:pPr>
            <w:r w:rsidRPr="00EE53B1">
              <w:rPr>
                <w:color w:val="000000"/>
                <w:sz w:val="20"/>
                <w:szCs w:val="20"/>
              </w:rPr>
              <w:t> </w:t>
            </w:r>
          </w:p>
        </w:tc>
        <w:tc>
          <w:tcPr>
            <w:tcW w:w="1580" w:type="dxa"/>
            <w:tcBorders>
              <w:top w:val="nil"/>
              <w:left w:val="nil"/>
              <w:bottom w:val="nil"/>
              <w:right w:val="nil"/>
            </w:tcBorders>
            <w:shd w:val="clear" w:color="000000" w:fill="FFFFFF"/>
            <w:noWrap/>
            <w:vAlign w:val="bottom"/>
            <w:hideMark/>
          </w:tcPr>
          <w:p w14:paraId="173DD0C7" w14:textId="77777777" w:rsidR="006C1D91" w:rsidRPr="00EE53B1" w:rsidRDefault="006C1D91" w:rsidP="00B720D8">
            <w:pPr>
              <w:jc w:val="center"/>
              <w:rPr>
                <w:b/>
                <w:bCs/>
                <w:color w:val="000000"/>
                <w:sz w:val="20"/>
                <w:szCs w:val="20"/>
              </w:rPr>
            </w:pPr>
            <w:r w:rsidRPr="00EE53B1">
              <w:rPr>
                <w:color w:val="000000"/>
                <w:sz w:val="20"/>
                <w:szCs w:val="20"/>
              </w:rPr>
              <w:t> </w:t>
            </w:r>
          </w:p>
        </w:tc>
        <w:tc>
          <w:tcPr>
            <w:tcW w:w="1195" w:type="dxa"/>
            <w:tcBorders>
              <w:top w:val="nil"/>
              <w:left w:val="nil"/>
              <w:bottom w:val="nil"/>
              <w:right w:val="nil"/>
            </w:tcBorders>
            <w:shd w:val="clear" w:color="000000" w:fill="FFFFFF"/>
            <w:noWrap/>
            <w:vAlign w:val="bottom"/>
            <w:hideMark/>
          </w:tcPr>
          <w:p w14:paraId="397F2FFC" w14:textId="77777777" w:rsidR="006C1D91" w:rsidRPr="00EE53B1" w:rsidRDefault="006C1D91" w:rsidP="00B720D8">
            <w:pPr>
              <w:jc w:val="center"/>
              <w:rPr>
                <w:b/>
                <w:bCs/>
                <w:color w:val="000000"/>
                <w:sz w:val="20"/>
                <w:szCs w:val="20"/>
              </w:rPr>
            </w:pPr>
            <w:r w:rsidRPr="00EE53B1">
              <w:rPr>
                <w:color w:val="000000"/>
                <w:sz w:val="20"/>
                <w:szCs w:val="20"/>
              </w:rPr>
              <w:t> </w:t>
            </w:r>
          </w:p>
        </w:tc>
        <w:tc>
          <w:tcPr>
            <w:tcW w:w="1420" w:type="dxa"/>
            <w:tcBorders>
              <w:top w:val="nil"/>
              <w:left w:val="nil"/>
              <w:bottom w:val="nil"/>
              <w:right w:val="nil"/>
            </w:tcBorders>
            <w:shd w:val="clear" w:color="000000" w:fill="FFFFFF"/>
            <w:noWrap/>
            <w:vAlign w:val="bottom"/>
            <w:hideMark/>
          </w:tcPr>
          <w:p w14:paraId="5F60AF00" w14:textId="77777777" w:rsidR="006C1D91" w:rsidRPr="00EE53B1" w:rsidRDefault="006C1D91" w:rsidP="00B720D8">
            <w:pPr>
              <w:jc w:val="center"/>
              <w:rPr>
                <w:b/>
                <w:bCs/>
                <w:color w:val="000000"/>
                <w:sz w:val="20"/>
                <w:szCs w:val="20"/>
              </w:rPr>
            </w:pPr>
            <w:r w:rsidRPr="00EE53B1">
              <w:rPr>
                <w:color w:val="000000"/>
                <w:sz w:val="20"/>
                <w:szCs w:val="20"/>
              </w:rPr>
              <w:t> </w:t>
            </w:r>
          </w:p>
        </w:tc>
        <w:tc>
          <w:tcPr>
            <w:tcW w:w="1240" w:type="dxa"/>
            <w:tcBorders>
              <w:top w:val="nil"/>
              <w:left w:val="nil"/>
              <w:bottom w:val="nil"/>
              <w:right w:val="nil"/>
            </w:tcBorders>
            <w:shd w:val="clear" w:color="000000" w:fill="FFFFFF"/>
            <w:noWrap/>
            <w:vAlign w:val="bottom"/>
            <w:hideMark/>
          </w:tcPr>
          <w:p w14:paraId="1B266A12" w14:textId="77777777" w:rsidR="006C1D91" w:rsidRPr="00EE53B1" w:rsidRDefault="006C1D91" w:rsidP="00B720D8">
            <w:pPr>
              <w:jc w:val="center"/>
              <w:rPr>
                <w:color w:val="000000"/>
                <w:sz w:val="20"/>
                <w:szCs w:val="20"/>
              </w:rPr>
            </w:pPr>
            <w:r w:rsidRPr="00EE53B1">
              <w:rPr>
                <w:color w:val="000000"/>
                <w:sz w:val="20"/>
                <w:szCs w:val="20"/>
              </w:rPr>
              <w:t> </w:t>
            </w:r>
          </w:p>
        </w:tc>
        <w:tc>
          <w:tcPr>
            <w:tcW w:w="1160" w:type="dxa"/>
            <w:tcBorders>
              <w:top w:val="nil"/>
              <w:left w:val="nil"/>
              <w:bottom w:val="nil"/>
              <w:right w:val="nil"/>
            </w:tcBorders>
            <w:shd w:val="clear" w:color="000000" w:fill="FFFFFF"/>
            <w:noWrap/>
            <w:vAlign w:val="bottom"/>
            <w:hideMark/>
          </w:tcPr>
          <w:p w14:paraId="2BBFEA90" w14:textId="77777777" w:rsidR="006C1D91" w:rsidRPr="00EE53B1" w:rsidRDefault="006C1D91" w:rsidP="00B720D8">
            <w:pPr>
              <w:jc w:val="center"/>
              <w:rPr>
                <w:color w:val="000000"/>
                <w:sz w:val="20"/>
                <w:szCs w:val="20"/>
              </w:rPr>
            </w:pPr>
            <w:r w:rsidRPr="00EE53B1">
              <w:rPr>
                <w:color w:val="000000"/>
                <w:sz w:val="20"/>
                <w:szCs w:val="20"/>
              </w:rPr>
              <w:t> </w:t>
            </w:r>
          </w:p>
        </w:tc>
      </w:tr>
      <w:tr w:rsidR="006C1D91" w:rsidRPr="00EE53B1" w14:paraId="274B758F" w14:textId="77777777" w:rsidTr="00B720D8">
        <w:trPr>
          <w:trHeight w:val="300"/>
        </w:trPr>
        <w:tc>
          <w:tcPr>
            <w:tcW w:w="1998" w:type="dxa"/>
            <w:tcBorders>
              <w:top w:val="nil"/>
              <w:left w:val="nil"/>
              <w:bottom w:val="nil"/>
              <w:right w:val="nil"/>
            </w:tcBorders>
            <w:shd w:val="clear" w:color="000000" w:fill="FFFFFF"/>
            <w:noWrap/>
            <w:vAlign w:val="bottom"/>
            <w:hideMark/>
          </w:tcPr>
          <w:p w14:paraId="3222BC4C" w14:textId="77777777" w:rsidR="006C1D91" w:rsidRPr="00EE53B1" w:rsidRDefault="006C1D91" w:rsidP="00B720D8">
            <w:pPr>
              <w:rPr>
                <w:color w:val="000000"/>
                <w:sz w:val="20"/>
                <w:szCs w:val="20"/>
              </w:rPr>
            </w:pPr>
            <w:r w:rsidRPr="00EE53B1">
              <w:rPr>
                <w:color w:val="000000"/>
                <w:sz w:val="20"/>
                <w:szCs w:val="20"/>
              </w:rPr>
              <w:t>Czech Republic</w:t>
            </w:r>
          </w:p>
        </w:tc>
        <w:tc>
          <w:tcPr>
            <w:tcW w:w="1147" w:type="dxa"/>
            <w:tcBorders>
              <w:top w:val="nil"/>
              <w:left w:val="nil"/>
              <w:bottom w:val="nil"/>
              <w:right w:val="nil"/>
            </w:tcBorders>
            <w:shd w:val="clear" w:color="000000" w:fill="FFFFFF"/>
            <w:noWrap/>
            <w:vAlign w:val="bottom"/>
            <w:hideMark/>
          </w:tcPr>
          <w:p w14:paraId="799E8AA5" w14:textId="77777777" w:rsidR="006C1D91" w:rsidRPr="00EE53B1" w:rsidRDefault="006C1D91" w:rsidP="00B720D8">
            <w:pPr>
              <w:jc w:val="center"/>
              <w:rPr>
                <w:color w:val="000000"/>
                <w:sz w:val="20"/>
                <w:szCs w:val="20"/>
              </w:rPr>
            </w:pPr>
            <w:r w:rsidRPr="00EE53B1">
              <w:rPr>
                <w:color w:val="000000"/>
                <w:sz w:val="20"/>
                <w:szCs w:val="20"/>
              </w:rPr>
              <w:t>0.0004</w:t>
            </w:r>
          </w:p>
        </w:tc>
        <w:tc>
          <w:tcPr>
            <w:tcW w:w="1580" w:type="dxa"/>
            <w:tcBorders>
              <w:top w:val="nil"/>
              <w:left w:val="nil"/>
              <w:bottom w:val="nil"/>
              <w:right w:val="nil"/>
            </w:tcBorders>
            <w:shd w:val="clear" w:color="000000" w:fill="FFFFFF"/>
            <w:noWrap/>
            <w:vAlign w:val="bottom"/>
            <w:hideMark/>
          </w:tcPr>
          <w:p w14:paraId="5239D061" w14:textId="77777777" w:rsidR="006C1D91" w:rsidRPr="00EE53B1" w:rsidRDefault="006C1D91" w:rsidP="00B720D8">
            <w:pPr>
              <w:jc w:val="center"/>
              <w:rPr>
                <w:b/>
                <w:bCs/>
                <w:color w:val="000000"/>
                <w:sz w:val="20"/>
                <w:szCs w:val="20"/>
              </w:rPr>
            </w:pPr>
            <w:r w:rsidRPr="00EE53B1">
              <w:rPr>
                <w:b/>
                <w:bCs/>
                <w:color w:val="000000"/>
                <w:sz w:val="20"/>
                <w:szCs w:val="20"/>
              </w:rPr>
              <w:t>0.814</w:t>
            </w:r>
          </w:p>
        </w:tc>
        <w:tc>
          <w:tcPr>
            <w:tcW w:w="1195" w:type="dxa"/>
            <w:tcBorders>
              <w:top w:val="nil"/>
              <w:left w:val="nil"/>
              <w:bottom w:val="nil"/>
              <w:right w:val="nil"/>
            </w:tcBorders>
            <w:shd w:val="clear" w:color="000000" w:fill="FFFFFF"/>
            <w:noWrap/>
            <w:vAlign w:val="bottom"/>
            <w:hideMark/>
          </w:tcPr>
          <w:p w14:paraId="0EFBFD92" w14:textId="77777777" w:rsidR="006C1D91" w:rsidRPr="00EE53B1" w:rsidRDefault="006C1D91" w:rsidP="00B720D8">
            <w:pPr>
              <w:jc w:val="center"/>
              <w:rPr>
                <w:b/>
                <w:bCs/>
                <w:color w:val="000000"/>
                <w:sz w:val="20"/>
                <w:szCs w:val="20"/>
              </w:rPr>
            </w:pPr>
            <w:r w:rsidRPr="00EE53B1">
              <w:rPr>
                <w:b/>
                <w:bCs/>
                <w:color w:val="000000"/>
                <w:sz w:val="20"/>
                <w:szCs w:val="20"/>
              </w:rPr>
              <w:t>-2.51%</w:t>
            </w:r>
          </w:p>
        </w:tc>
        <w:tc>
          <w:tcPr>
            <w:tcW w:w="1420" w:type="dxa"/>
            <w:tcBorders>
              <w:top w:val="nil"/>
              <w:left w:val="nil"/>
              <w:bottom w:val="nil"/>
              <w:right w:val="nil"/>
            </w:tcBorders>
            <w:shd w:val="clear" w:color="000000" w:fill="FFFFFF"/>
            <w:noWrap/>
            <w:vAlign w:val="bottom"/>
            <w:hideMark/>
          </w:tcPr>
          <w:p w14:paraId="743B85D4" w14:textId="77777777" w:rsidR="006C1D91" w:rsidRPr="00EE53B1" w:rsidRDefault="006C1D91" w:rsidP="00B720D8">
            <w:pPr>
              <w:jc w:val="center"/>
              <w:rPr>
                <w:b/>
                <w:bCs/>
                <w:color w:val="000000"/>
                <w:sz w:val="20"/>
                <w:szCs w:val="20"/>
              </w:rPr>
            </w:pPr>
            <w:r w:rsidRPr="00EE53B1">
              <w:rPr>
                <w:b/>
                <w:bCs/>
                <w:color w:val="000000"/>
                <w:sz w:val="20"/>
                <w:szCs w:val="20"/>
              </w:rPr>
              <w:t>-2.93%</w:t>
            </w:r>
          </w:p>
        </w:tc>
        <w:tc>
          <w:tcPr>
            <w:tcW w:w="1240" w:type="dxa"/>
            <w:tcBorders>
              <w:top w:val="nil"/>
              <w:left w:val="nil"/>
              <w:bottom w:val="nil"/>
              <w:right w:val="nil"/>
            </w:tcBorders>
            <w:shd w:val="clear" w:color="000000" w:fill="FFFFFF"/>
            <w:noWrap/>
            <w:vAlign w:val="bottom"/>
            <w:hideMark/>
          </w:tcPr>
          <w:p w14:paraId="2A8A1445" w14:textId="77777777" w:rsidR="006C1D91" w:rsidRPr="00EE53B1" w:rsidRDefault="006C1D91" w:rsidP="00B720D8">
            <w:pPr>
              <w:jc w:val="center"/>
              <w:rPr>
                <w:b/>
                <w:bCs/>
                <w:color w:val="000000"/>
                <w:sz w:val="20"/>
                <w:szCs w:val="20"/>
              </w:rPr>
            </w:pPr>
            <w:r w:rsidRPr="00EE53B1">
              <w:rPr>
                <w:b/>
                <w:bCs/>
                <w:color w:val="000000"/>
                <w:sz w:val="20"/>
                <w:szCs w:val="20"/>
              </w:rPr>
              <w:t>1.14%</w:t>
            </w:r>
          </w:p>
        </w:tc>
        <w:tc>
          <w:tcPr>
            <w:tcW w:w="1160" w:type="dxa"/>
            <w:tcBorders>
              <w:top w:val="nil"/>
              <w:left w:val="nil"/>
              <w:bottom w:val="nil"/>
              <w:right w:val="nil"/>
            </w:tcBorders>
            <w:shd w:val="clear" w:color="000000" w:fill="FFFFFF"/>
            <w:noWrap/>
            <w:vAlign w:val="bottom"/>
            <w:hideMark/>
          </w:tcPr>
          <w:p w14:paraId="0E387775" w14:textId="77777777" w:rsidR="006C1D91" w:rsidRPr="00EE53B1" w:rsidRDefault="006C1D91" w:rsidP="00B720D8">
            <w:pPr>
              <w:jc w:val="center"/>
              <w:rPr>
                <w:color w:val="000000"/>
                <w:sz w:val="20"/>
                <w:szCs w:val="20"/>
              </w:rPr>
            </w:pPr>
            <w:r w:rsidRPr="00EE53B1">
              <w:rPr>
                <w:color w:val="000000"/>
                <w:sz w:val="20"/>
                <w:szCs w:val="20"/>
              </w:rPr>
              <w:t>0.527</w:t>
            </w:r>
          </w:p>
        </w:tc>
      </w:tr>
      <w:tr w:rsidR="006C1D91" w:rsidRPr="00EE53B1" w14:paraId="3288BC03" w14:textId="77777777" w:rsidTr="00B720D8">
        <w:trPr>
          <w:trHeight w:val="300"/>
        </w:trPr>
        <w:tc>
          <w:tcPr>
            <w:tcW w:w="1998" w:type="dxa"/>
            <w:tcBorders>
              <w:top w:val="nil"/>
              <w:left w:val="nil"/>
              <w:bottom w:val="nil"/>
              <w:right w:val="nil"/>
            </w:tcBorders>
            <w:shd w:val="clear" w:color="000000" w:fill="FFFFFF"/>
            <w:noWrap/>
            <w:vAlign w:val="bottom"/>
            <w:hideMark/>
          </w:tcPr>
          <w:p w14:paraId="14E9AF51" w14:textId="77777777" w:rsidR="006C1D91" w:rsidRPr="00EE53B1" w:rsidRDefault="006C1D91" w:rsidP="00B720D8">
            <w:pPr>
              <w:rPr>
                <w:color w:val="000000"/>
                <w:sz w:val="20"/>
                <w:szCs w:val="20"/>
              </w:rPr>
            </w:pPr>
            <w:r w:rsidRPr="00EE53B1">
              <w:rPr>
                <w:color w:val="000000"/>
                <w:sz w:val="20"/>
                <w:szCs w:val="20"/>
              </w:rPr>
              <w:t>France</w:t>
            </w:r>
          </w:p>
        </w:tc>
        <w:tc>
          <w:tcPr>
            <w:tcW w:w="1147" w:type="dxa"/>
            <w:tcBorders>
              <w:top w:val="nil"/>
              <w:left w:val="nil"/>
              <w:bottom w:val="nil"/>
              <w:right w:val="nil"/>
            </w:tcBorders>
            <w:shd w:val="clear" w:color="000000" w:fill="FFFFFF"/>
            <w:noWrap/>
            <w:vAlign w:val="bottom"/>
            <w:hideMark/>
          </w:tcPr>
          <w:p w14:paraId="63F76B06" w14:textId="77777777" w:rsidR="006C1D91" w:rsidRPr="00EE53B1" w:rsidRDefault="006C1D91" w:rsidP="00B720D8">
            <w:pPr>
              <w:jc w:val="center"/>
              <w:rPr>
                <w:color w:val="000000"/>
                <w:sz w:val="20"/>
                <w:szCs w:val="20"/>
              </w:rPr>
            </w:pPr>
            <w:r w:rsidRPr="00EE53B1">
              <w:rPr>
                <w:color w:val="000000"/>
                <w:sz w:val="20"/>
                <w:szCs w:val="20"/>
              </w:rPr>
              <w:t>0</w:t>
            </w:r>
          </w:p>
        </w:tc>
        <w:tc>
          <w:tcPr>
            <w:tcW w:w="1580" w:type="dxa"/>
            <w:tcBorders>
              <w:top w:val="nil"/>
              <w:left w:val="nil"/>
              <w:bottom w:val="nil"/>
              <w:right w:val="nil"/>
            </w:tcBorders>
            <w:shd w:val="clear" w:color="000000" w:fill="FFFFFF"/>
            <w:noWrap/>
            <w:vAlign w:val="bottom"/>
            <w:hideMark/>
          </w:tcPr>
          <w:p w14:paraId="25D1B2A7" w14:textId="77777777" w:rsidR="006C1D91" w:rsidRPr="00EE53B1" w:rsidRDefault="006C1D91" w:rsidP="00B720D8">
            <w:pPr>
              <w:jc w:val="center"/>
              <w:rPr>
                <w:color w:val="000000"/>
                <w:sz w:val="20"/>
                <w:szCs w:val="20"/>
              </w:rPr>
            </w:pPr>
            <w:r w:rsidRPr="00EE53B1">
              <w:rPr>
                <w:b/>
                <w:bCs/>
                <w:color w:val="000000"/>
                <w:sz w:val="20"/>
                <w:szCs w:val="20"/>
              </w:rPr>
              <w:t>1.291</w:t>
            </w:r>
          </w:p>
        </w:tc>
        <w:tc>
          <w:tcPr>
            <w:tcW w:w="1195" w:type="dxa"/>
            <w:tcBorders>
              <w:top w:val="nil"/>
              <w:left w:val="nil"/>
              <w:bottom w:val="nil"/>
              <w:right w:val="nil"/>
            </w:tcBorders>
            <w:shd w:val="clear" w:color="000000" w:fill="FFFFFF"/>
            <w:noWrap/>
            <w:vAlign w:val="bottom"/>
            <w:hideMark/>
          </w:tcPr>
          <w:p w14:paraId="78BF729A" w14:textId="77777777" w:rsidR="006C1D91" w:rsidRPr="00EE53B1" w:rsidRDefault="006C1D91" w:rsidP="00B720D8">
            <w:pPr>
              <w:jc w:val="center"/>
              <w:rPr>
                <w:color w:val="000000"/>
                <w:sz w:val="20"/>
                <w:szCs w:val="20"/>
              </w:rPr>
            </w:pPr>
            <w:r w:rsidRPr="00EE53B1">
              <w:rPr>
                <w:b/>
                <w:bCs/>
                <w:color w:val="000000"/>
                <w:sz w:val="20"/>
                <w:szCs w:val="20"/>
              </w:rPr>
              <w:t>-4.07%</w:t>
            </w:r>
          </w:p>
        </w:tc>
        <w:tc>
          <w:tcPr>
            <w:tcW w:w="1420" w:type="dxa"/>
            <w:tcBorders>
              <w:top w:val="nil"/>
              <w:left w:val="nil"/>
              <w:bottom w:val="nil"/>
              <w:right w:val="nil"/>
            </w:tcBorders>
            <w:shd w:val="clear" w:color="000000" w:fill="FFFFFF"/>
            <w:noWrap/>
            <w:vAlign w:val="bottom"/>
            <w:hideMark/>
          </w:tcPr>
          <w:p w14:paraId="639C7827" w14:textId="77777777" w:rsidR="006C1D91" w:rsidRPr="00EE53B1" w:rsidRDefault="006C1D91" w:rsidP="00B720D8">
            <w:pPr>
              <w:jc w:val="center"/>
              <w:rPr>
                <w:color w:val="000000"/>
                <w:sz w:val="20"/>
                <w:szCs w:val="20"/>
              </w:rPr>
            </w:pPr>
            <w:r w:rsidRPr="00EE53B1">
              <w:rPr>
                <w:b/>
                <w:bCs/>
                <w:color w:val="000000"/>
                <w:sz w:val="20"/>
                <w:szCs w:val="20"/>
              </w:rPr>
              <w:t>-0.95%</w:t>
            </w:r>
          </w:p>
        </w:tc>
        <w:tc>
          <w:tcPr>
            <w:tcW w:w="1240" w:type="dxa"/>
            <w:tcBorders>
              <w:top w:val="nil"/>
              <w:left w:val="nil"/>
              <w:bottom w:val="nil"/>
              <w:right w:val="nil"/>
            </w:tcBorders>
            <w:shd w:val="clear" w:color="000000" w:fill="FFFFFF"/>
            <w:noWrap/>
            <w:vAlign w:val="bottom"/>
            <w:hideMark/>
          </w:tcPr>
          <w:p w14:paraId="04BA53E7" w14:textId="77777777" w:rsidR="006C1D91" w:rsidRPr="00EE53B1" w:rsidRDefault="006C1D91" w:rsidP="00B720D8">
            <w:pPr>
              <w:jc w:val="center"/>
              <w:rPr>
                <w:color w:val="000000"/>
                <w:sz w:val="20"/>
                <w:szCs w:val="20"/>
              </w:rPr>
            </w:pPr>
            <w:r w:rsidRPr="00EE53B1">
              <w:rPr>
                <w:b/>
                <w:bCs/>
                <w:color w:val="000000"/>
                <w:sz w:val="20"/>
                <w:szCs w:val="20"/>
              </w:rPr>
              <w:t>0.78%</w:t>
            </w:r>
          </w:p>
        </w:tc>
        <w:tc>
          <w:tcPr>
            <w:tcW w:w="1160" w:type="dxa"/>
            <w:tcBorders>
              <w:top w:val="nil"/>
              <w:left w:val="nil"/>
              <w:bottom w:val="nil"/>
              <w:right w:val="nil"/>
            </w:tcBorders>
            <w:shd w:val="clear" w:color="000000" w:fill="FFFFFF"/>
            <w:noWrap/>
            <w:vAlign w:val="bottom"/>
            <w:hideMark/>
          </w:tcPr>
          <w:p w14:paraId="7B316F53" w14:textId="77777777" w:rsidR="006C1D91" w:rsidRPr="00EE53B1" w:rsidRDefault="006C1D91" w:rsidP="00B720D8">
            <w:pPr>
              <w:jc w:val="center"/>
              <w:rPr>
                <w:color w:val="000000"/>
                <w:sz w:val="20"/>
                <w:szCs w:val="20"/>
              </w:rPr>
            </w:pPr>
            <w:r w:rsidRPr="00EE53B1">
              <w:rPr>
                <w:color w:val="000000"/>
                <w:sz w:val="20"/>
                <w:szCs w:val="20"/>
              </w:rPr>
              <w:t>0.776</w:t>
            </w:r>
          </w:p>
        </w:tc>
      </w:tr>
      <w:tr w:rsidR="006C1D91" w:rsidRPr="00EE53B1" w14:paraId="057795B1" w14:textId="77777777" w:rsidTr="00B720D8">
        <w:trPr>
          <w:trHeight w:val="300"/>
        </w:trPr>
        <w:tc>
          <w:tcPr>
            <w:tcW w:w="1998" w:type="dxa"/>
            <w:tcBorders>
              <w:top w:val="nil"/>
              <w:left w:val="nil"/>
              <w:bottom w:val="nil"/>
              <w:right w:val="nil"/>
            </w:tcBorders>
            <w:shd w:val="clear" w:color="000000" w:fill="FFFFFF"/>
            <w:noWrap/>
            <w:vAlign w:val="bottom"/>
            <w:hideMark/>
          </w:tcPr>
          <w:p w14:paraId="42A1987B" w14:textId="77777777" w:rsidR="006C1D91" w:rsidRPr="00EE53B1" w:rsidRDefault="006C1D91" w:rsidP="00B720D8">
            <w:pPr>
              <w:rPr>
                <w:color w:val="000000"/>
                <w:sz w:val="20"/>
                <w:szCs w:val="20"/>
              </w:rPr>
            </w:pPr>
            <w:r w:rsidRPr="00EE53B1">
              <w:rPr>
                <w:color w:val="000000"/>
                <w:sz w:val="20"/>
                <w:szCs w:val="20"/>
              </w:rPr>
              <w:t>Germany</w:t>
            </w:r>
          </w:p>
        </w:tc>
        <w:tc>
          <w:tcPr>
            <w:tcW w:w="1147" w:type="dxa"/>
            <w:tcBorders>
              <w:top w:val="nil"/>
              <w:left w:val="nil"/>
              <w:bottom w:val="nil"/>
              <w:right w:val="nil"/>
            </w:tcBorders>
            <w:shd w:val="clear" w:color="000000" w:fill="FFFFFF"/>
            <w:noWrap/>
            <w:vAlign w:val="bottom"/>
            <w:hideMark/>
          </w:tcPr>
          <w:p w14:paraId="4C6374E9" w14:textId="77777777" w:rsidR="006C1D91" w:rsidRPr="00EE53B1" w:rsidRDefault="006C1D91" w:rsidP="00B720D8">
            <w:pPr>
              <w:jc w:val="center"/>
              <w:rPr>
                <w:color w:val="000000"/>
                <w:sz w:val="20"/>
                <w:szCs w:val="20"/>
              </w:rPr>
            </w:pPr>
            <w:r w:rsidRPr="00EE53B1">
              <w:rPr>
                <w:color w:val="000000"/>
                <w:sz w:val="20"/>
                <w:szCs w:val="20"/>
              </w:rPr>
              <w:t>-0.0001</w:t>
            </w:r>
          </w:p>
        </w:tc>
        <w:tc>
          <w:tcPr>
            <w:tcW w:w="1580" w:type="dxa"/>
            <w:tcBorders>
              <w:top w:val="nil"/>
              <w:left w:val="nil"/>
              <w:bottom w:val="nil"/>
              <w:right w:val="nil"/>
            </w:tcBorders>
            <w:shd w:val="clear" w:color="000000" w:fill="FFFFFF"/>
            <w:noWrap/>
            <w:vAlign w:val="bottom"/>
            <w:hideMark/>
          </w:tcPr>
          <w:p w14:paraId="1E88DA66" w14:textId="77777777" w:rsidR="006C1D91" w:rsidRPr="00EE53B1" w:rsidRDefault="006C1D91" w:rsidP="00B720D8">
            <w:pPr>
              <w:jc w:val="center"/>
              <w:rPr>
                <w:b/>
                <w:bCs/>
                <w:color w:val="000000"/>
                <w:sz w:val="20"/>
                <w:szCs w:val="20"/>
              </w:rPr>
            </w:pPr>
            <w:r w:rsidRPr="00EE53B1">
              <w:rPr>
                <w:b/>
                <w:bCs/>
                <w:color w:val="000000"/>
                <w:sz w:val="20"/>
                <w:szCs w:val="20"/>
              </w:rPr>
              <w:t>1.209</w:t>
            </w:r>
          </w:p>
        </w:tc>
        <w:tc>
          <w:tcPr>
            <w:tcW w:w="1195" w:type="dxa"/>
            <w:tcBorders>
              <w:top w:val="nil"/>
              <w:left w:val="nil"/>
              <w:bottom w:val="nil"/>
              <w:right w:val="nil"/>
            </w:tcBorders>
            <w:shd w:val="clear" w:color="000000" w:fill="FFFFFF"/>
            <w:noWrap/>
            <w:vAlign w:val="bottom"/>
            <w:hideMark/>
          </w:tcPr>
          <w:p w14:paraId="032F4709" w14:textId="77777777" w:rsidR="006C1D91" w:rsidRPr="00EE53B1" w:rsidRDefault="006C1D91" w:rsidP="00B720D8">
            <w:pPr>
              <w:jc w:val="center"/>
              <w:rPr>
                <w:b/>
                <w:bCs/>
                <w:color w:val="000000"/>
                <w:sz w:val="20"/>
                <w:szCs w:val="20"/>
              </w:rPr>
            </w:pPr>
            <w:r w:rsidRPr="00EE53B1">
              <w:rPr>
                <w:b/>
                <w:bCs/>
                <w:color w:val="000000"/>
                <w:sz w:val="20"/>
                <w:szCs w:val="20"/>
              </w:rPr>
              <w:t>-3.26%</w:t>
            </w:r>
          </w:p>
        </w:tc>
        <w:tc>
          <w:tcPr>
            <w:tcW w:w="1420" w:type="dxa"/>
            <w:tcBorders>
              <w:top w:val="nil"/>
              <w:left w:val="nil"/>
              <w:bottom w:val="nil"/>
              <w:right w:val="nil"/>
            </w:tcBorders>
            <w:shd w:val="clear" w:color="000000" w:fill="FFFFFF"/>
            <w:noWrap/>
            <w:vAlign w:val="bottom"/>
            <w:hideMark/>
          </w:tcPr>
          <w:p w14:paraId="47C4DECA" w14:textId="77777777" w:rsidR="006C1D91" w:rsidRPr="00EE53B1" w:rsidRDefault="006C1D91" w:rsidP="00B720D8">
            <w:pPr>
              <w:jc w:val="center"/>
              <w:rPr>
                <w:b/>
                <w:bCs/>
                <w:color w:val="000000"/>
                <w:sz w:val="20"/>
                <w:szCs w:val="20"/>
              </w:rPr>
            </w:pPr>
            <w:r w:rsidRPr="00EE53B1">
              <w:rPr>
                <w:b/>
                <w:bCs/>
                <w:color w:val="000000"/>
                <w:sz w:val="20"/>
                <w:szCs w:val="20"/>
              </w:rPr>
              <w:t>-1.17%</w:t>
            </w:r>
          </w:p>
        </w:tc>
        <w:tc>
          <w:tcPr>
            <w:tcW w:w="1240" w:type="dxa"/>
            <w:tcBorders>
              <w:top w:val="nil"/>
              <w:left w:val="nil"/>
              <w:bottom w:val="nil"/>
              <w:right w:val="nil"/>
            </w:tcBorders>
            <w:shd w:val="clear" w:color="000000" w:fill="FFFFFF"/>
            <w:noWrap/>
            <w:vAlign w:val="bottom"/>
            <w:hideMark/>
          </w:tcPr>
          <w:p w14:paraId="66A3BFE7" w14:textId="77777777" w:rsidR="006C1D91" w:rsidRPr="00EE53B1" w:rsidRDefault="006C1D91" w:rsidP="00B720D8">
            <w:pPr>
              <w:jc w:val="center"/>
              <w:rPr>
                <w:color w:val="000000"/>
                <w:sz w:val="20"/>
                <w:szCs w:val="20"/>
              </w:rPr>
            </w:pPr>
            <w:r w:rsidRPr="00EE53B1">
              <w:rPr>
                <w:color w:val="000000"/>
                <w:sz w:val="20"/>
                <w:szCs w:val="20"/>
              </w:rPr>
              <w:t>0.02%</w:t>
            </w:r>
          </w:p>
        </w:tc>
        <w:tc>
          <w:tcPr>
            <w:tcW w:w="1160" w:type="dxa"/>
            <w:tcBorders>
              <w:top w:val="nil"/>
              <w:left w:val="nil"/>
              <w:bottom w:val="nil"/>
              <w:right w:val="nil"/>
            </w:tcBorders>
            <w:shd w:val="clear" w:color="000000" w:fill="FFFFFF"/>
            <w:noWrap/>
            <w:vAlign w:val="bottom"/>
            <w:hideMark/>
          </w:tcPr>
          <w:p w14:paraId="3305ED91" w14:textId="77777777" w:rsidR="006C1D91" w:rsidRPr="00EE53B1" w:rsidRDefault="006C1D91" w:rsidP="00B720D8">
            <w:pPr>
              <w:jc w:val="center"/>
              <w:rPr>
                <w:color w:val="000000"/>
                <w:sz w:val="20"/>
                <w:szCs w:val="20"/>
              </w:rPr>
            </w:pPr>
            <w:r w:rsidRPr="00EE53B1">
              <w:rPr>
                <w:color w:val="000000"/>
                <w:sz w:val="20"/>
                <w:szCs w:val="20"/>
              </w:rPr>
              <w:t>0.721</w:t>
            </w:r>
          </w:p>
        </w:tc>
      </w:tr>
      <w:tr w:rsidR="006C1D91" w:rsidRPr="00EE53B1" w14:paraId="6434D0BA" w14:textId="77777777" w:rsidTr="00B720D8">
        <w:trPr>
          <w:trHeight w:val="300"/>
        </w:trPr>
        <w:tc>
          <w:tcPr>
            <w:tcW w:w="1998" w:type="dxa"/>
            <w:tcBorders>
              <w:top w:val="nil"/>
              <w:left w:val="nil"/>
              <w:bottom w:val="nil"/>
              <w:right w:val="nil"/>
            </w:tcBorders>
            <w:shd w:val="clear" w:color="000000" w:fill="FFFFFF"/>
            <w:noWrap/>
            <w:vAlign w:val="bottom"/>
            <w:hideMark/>
          </w:tcPr>
          <w:p w14:paraId="57B65BC0" w14:textId="77777777" w:rsidR="006C1D91" w:rsidRPr="00EE53B1" w:rsidRDefault="006C1D91" w:rsidP="00B720D8">
            <w:pPr>
              <w:rPr>
                <w:color w:val="000000"/>
                <w:sz w:val="20"/>
                <w:szCs w:val="20"/>
              </w:rPr>
            </w:pPr>
            <w:r w:rsidRPr="00EE53B1">
              <w:rPr>
                <w:color w:val="000000"/>
                <w:sz w:val="20"/>
                <w:szCs w:val="20"/>
              </w:rPr>
              <w:t>Greece</w:t>
            </w:r>
          </w:p>
        </w:tc>
        <w:tc>
          <w:tcPr>
            <w:tcW w:w="1147" w:type="dxa"/>
            <w:tcBorders>
              <w:top w:val="nil"/>
              <w:left w:val="nil"/>
              <w:bottom w:val="nil"/>
              <w:right w:val="nil"/>
            </w:tcBorders>
            <w:shd w:val="clear" w:color="000000" w:fill="FFFFFF"/>
            <w:noWrap/>
            <w:vAlign w:val="bottom"/>
            <w:hideMark/>
          </w:tcPr>
          <w:p w14:paraId="09EAB44A" w14:textId="77777777" w:rsidR="006C1D91" w:rsidRPr="00EE53B1" w:rsidRDefault="006C1D91" w:rsidP="00B720D8">
            <w:pPr>
              <w:jc w:val="center"/>
              <w:rPr>
                <w:color w:val="000000"/>
                <w:sz w:val="20"/>
                <w:szCs w:val="20"/>
              </w:rPr>
            </w:pPr>
            <w:r w:rsidRPr="00EE53B1">
              <w:rPr>
                <w:color w:val="000000"/>
                <w:sz w:val="20"/>
                <w:szCs w:val="20"/>
              </w:rPr>
              <w:t>-0.0001</w:t>
            </w:r>
          </w:p>
        </w:tc>
        <w:tc>
          <w:tcPr>
            <w:tcW w:w="1580" w:type="dxa"/>
            <w:tcBorders>
              <w:top w:val="nil"/>
              <w:left w:val="nil"/>
              <w:bottom w:val="nil"/>
              <w:right w:val="nil"/>
            </w:tcBorders>
            <w:shd w:val="clear" w:color="000000" w:fill="FFFFFF"/>
            <w:noWrap/>
            <w:vAlign w:val="bottom"/>
            <w:hideMark/>
          </w:tcPr>
          <w:p w14:paraId="0C131EB4" w14:textId="77777777" w:rsidR="006C1D91" w:rsidRPr="00EE53B1" w:rsidRDefault="006C1D91" w:rsidP="00B720D8">
            <w:pPr>
              <w:jc w:val="center"/>
              <w:rPr>
                <w:b/>
                <w:bCs/>
                <w:color w:val="000000"/>
                <w:sz w:val="20"/>
                <w:szCs w:val="20"/>
              </w:rPr>
            </w:pPr>
            <w:r w:rsidRPr="00EE53B1">
              <w:rPr>
                <w:b/>
                <w:bCs/>
                <w:color w:val="000000"/>
                <w:sz w:val="20"/>
                <w:szCs w:val="20"/>
              </w:rPr>
              <w:t>1.108</w:t>
            </w:r>
          </w:p>
        </w:tc>
        <w:tc>
          <w:tcPr>
            <w:tcW w:w="1195" w:type="dxa"/>
            <w:tcBorders>
              <w:top w:val="nil"/>
              <w:left w:val="nil"/>
              <w:bottom w:val="nil"/>
              <w:right w:val="nil"/>
            </w:tcBorders>
            <w:shd w:val="clear" w:color="000000" w:fill="FFFFFF"/>
            <w:noWrap/>
            <w:vAlign w:val="bottom"/>
            <w:hideMark/>
          </w:tcPr>
          <w:p w14:paraId="548D8C1F" w14:textId="77777777" w:rsidR="006C1D91" w:rsidRPr="00EE53B1" w:rsidRDefault="006C1D91" w:rsidP="00B720D8">
            <w:pPr>
              <w:jc w:val="center"/>
              <w:rPr>
                <w:b/>
                <w:bCs/>
                <w:color w:val="000000"/>
                <w:sz w:val="20"/>
                <w:szCs w:val="20"/>
              </w:rPr>
            </w:pPr>
            <w:r w:rsidRPr="00EE53B1">
              <w:rPr>
                <w:b/>
                <w:bCs/>
                <w:color w:val="000000"/>
                <w:sz w:val="20"/>
                <w:szCs w:val="20"/>
              </w:rPr>
              <w:t>-10.12%</w:t>
            </w:r>
          </w:p>
        </w:tc>
        <w:tc>
          <w:tcPr>
            <w:tcW w:w="1420" w:type="dxa"/>
            <w:tcBorders>
              <w:top w:val="nil"/>
              <w:left w:val="nil"/>
              <w:bottom w:val="nil"/>
              <w:right w:val="nil"/>
            </w:tcBorders>
            <w:shd w:val="clear" w:color="000000" w:fill="FFFFFF"/>
            <w:noWrap/>
            <w:vAlign w:val="bottom"/>
            <w:hideMark/>
          </w:tcPr>
          <w:p w14:paraId="55456BF5" w14:textId="77777777" w:rsidR="006C1D91" w:rsidRPr="00EE53B1" w:rsidRDefault="006C1D91" w:rsidP="00B720D8">
            <w:pPr>
              <w:jc w:val="center"/>
              <w:rPr>
                <w:b/>
                <w:bCs/>
                <w:color w:val="000000"/>
                <w:sz w:val="20"/>
                <w:szCs w:val="20"/>
              </w:rPr>
            </w:pPr>
            <w:r w:rsidRPr="00EE53B1">
              <w:rPr>
                <w:color w:val="000000"/>
                <w:sz w:val="20"/>
                <w:szCs w:val="20"/>
              </w:rPr>
              <w:t>-0.91%</w:t>
            </w:r>
          </w:p>
        </w:tc>
        <w:tc>
          <w:tcPr>
            <w:tcW w:w="1240" w:type="dxa"/>
            <w:tcBorders>
              <w:top w:val="nil"/>
              <w:left w:val="nil"/>
              <w:bottom w:val="nil"/>
              <w:right w:val="nil"/>
            </w:tcBorders>
            <w:shd w:val="clear" w:color="000000" w:fill="FFFFFF"/>
            <w:noWrap/>
            <w:vAlign w:val="bottom"/>
            <w:hideMark/>
          </w:tcPr>
          <w:p w14:paraId="634B8904" w14:textId="77777777" w:rsidR="006C1D91" w:rsidRPr="00EE53B1" w:rsidRDefault="006C1D91" w:rsidP="00B720D8">
            <w:pPr>
              <w:jc w:val="center"/>
              <w:rPr>
                <w:b/>
                <w:bCs/>
                <w:color w:val="000000"/>
                <w:sz w:val="20"/>
                <w:szCs w:val="20"/>
              </w:rPr>
            </w:pPr>
            <w:r w:rsidRPr="00EE53B1">
              <w:rPr>
                <w:b/>
                <w:bCs/>
                <w:color w:val="000000"/>
                <w:sz w:val="20"/>
                <w:szCs w:val="20"/>
              </w:rPr>
              <w:t>2.34%</w:t>
            </w:r>
          </w:p>
        </w:tc>
        <w:tc>
          <w:tcPr>
            <w:tcW w:w="1160" w:type="dxa"/>
            <w:tcBorders>
              <w:top w:val="nil"/>
              <w:left w:val="nil"/>
              <w:bottom w:val="nil"/>
              <w:right w:val="nil"/>
            </w:tcBorders>
            <w:shd w:val="clear" w:color="000000" w:fill="FFFFFF"/>
            <w:noWrap/>
            <w:vAlign w:val="bottom"/>
            <w:hideMark/>
          </w:tcPr>
          <w:p w14:paraId="63D457AF" w14:textId="77777777" w:rsidR="006C1D91" w:rsidRPr="00EE53B1" w:rsidRDefault="006C1D91" w:rsidP="00B720D8">
            <w:pPr>
              <w:jc w:val="center"/>
              <w:rPr>
                <w:color w:val="000000"/>
                <w:sz w:val="20"/>
                <w:szCs w:val="20"/>
              </w:rPr>
            </w:pPr>
            <w:r w:rsidRPr="00EE53B1">
              <w:rPr>
                <w:color w:val="000000"/>
                <w:sz w:val="20"/>
                <w:szCs w:val="20"/>
              </w:rPr>
              <w:t>0.444</w:t>
            </w:r>
          </w:p>
        </w:tc>
      </w:tr>
      <w:tr w:rsidR="006C1D91" w:rsidRPr="00EE53B1" w14:paraId="7563047E" w14:textId="77777777" w:rsidTr="00B720D8">
        <w:trPr>
          <w:trHeight w:val="300"/>
        </w:trPr>
        <w:tc>
          <w:tcPr>
            <w:tcW w:w="1998" w:type="dxa"/>
            <w:tcBorders>
              <w:top w:val="nil"/>
              <w:left w:val="nil"/>
              <w:bottom w:val="nil"/>
              <w:right w:val="nil"/>
            </w:tcBorders>
            <w:shd w:val="clear" w:color="000000" w:fill="FFFFFF"/>
            <w:noWrap/>
            <w:vAlign w:val="bottom"/>
            <w:hideMark/>
          </w:tcPr>
          <w:p w14:paraId="59386EF2" w14:textId="77777777" w:rsidR="006C1D91" w:rsidRPr="00EE53B1" w:rsidRDefault="006C1D91" w:rsidP="00B720D8">
            <w:pPr>
              <w:rPr>
                <w:color w:val="000000"/>
                <w:sz w:val="20"/>
                <w:szCs w:val="20"/>
              </w:rPr>
            </w:pPr>
            <w:r w:rsidRPr="00EE53B1">
              <w:rPr>
                <w:color w:val="000000"/>
                <w:sz w:val="20"/>
                <w:szCs w:val="20"/>
              </w:rPr>
              <w:t>Hungary</w:t>
            </w:r>
          </w:p>
        </w:tc>
        <w:tc>
          <w:tcPr>
            <w:tcW w:w="1147" w:type="dxa"/>
            <w:tcBorders>
              <w:top w:val="nil"/>
              <w:left w:val="nil"/>
              <w:bottom w:val="nil"/>
              <w:right w:val="nil"/>
            </w:tcBorders>
            <w:shd w:val="clear" w:color="000000" w:fill="FFFFFF"/>
            <w:noWrap/>
            <w:vAlign w:val="bottom"/>
            <w:hideMark/>
          </w:tcPr>
          <w:p w14:paraId="65053206" w14:textId="77777777" w:rsidR="006C1D91" w:rsidRPr="00EE53B1" w:rsidRDefault="006C1D91" w:rsidP="00B720D8">
            <w:pPr>
              <w:jc w:val="center"/>
              <w:rPr>
                <w:color w:val="000000"/>
                <w:sz w:val="20"/>
                <w:szCs w:val="20"/>
              </w:rPr>
            </w:pPr>
            <w:r w:rsidRPr="00EE53B1">
              <w:rPr>
                <w:color w:val="000000"/>
                <w:sz w:val="20"/>
                <w:szCs w:val="20"/>
              </w:rPr>
              <w:t>0.001</w:t>
            </w:r>
          </w:p>
        </w:tc>
        <w:tc>
          <w:tcPr>
            <w:tcW w:w="1580" w:type="dxa"/>
            <w:tcBorders>
              <w:top w:val="nil"/>
              <w:left w:val="nil"/>
              <w:bottom w:val="nil"/>
              <w:right w:val="nil"/>
            </w:tcBorders>
            <w:shd w:val="clear" w:color="000000" w:fill="FFFFFF"/>
            <w:noWrap/>
            <w:vAlign w:val="bottom"/>
            <w:hideMark/>
          </w:tcPr>
          <w:p w14:paraId="135CF08A" w14:textId="77777777" w:rsidR="006C1D91" w:rsidRPr="00EE53B1" w:rsidRDefault="006C1D91" w:rsidP="00B720D8">
            <w:pPr>
              <w:jc w:val="center"/>
              <w:rPr>
                <w:color w:val="000000"/>
                <w:sz w:val="20"/>
                <w:szCs w:val="20"/>
              </w:rPr>
            </w:pPr>
            <w:r w:rsidRPr="00EE53B1">
              <w:rPr>
                <w:b/>
                <w:bCs/>
                <w:color w:val="000000"/>
                <w:sz w:val="20"/>
                <w:szCs w:val="20"/>
              </w:rPr>
              <w:t>0.921</w:t>
            </w:r>
          </w:p>
        </w:tc>
        <w:tc>
          <w:tcPr>
            <w:tcW w:w="1195" w:type="dxa"/>
            <w:tcBorders>
              <w:top w:val="nil"/>
              <w:left w:val="nil"/>
              <w:bottom w:val="nil"/>
              <w:right w:val="nil"/>
            </w:tcBorders>
            <w:shd w:val="clear" w:color="000000" w:fill="FFFFFF"/>
            <w:noWrap/>
            <w:vAlign w:val="bottom"/>
            <w:hideMark/>
          </w:tcPr>
          <w:p w14:paraId="6F84A83C" w14:textId="77777777" w:rsidR="006C1D91" w:rsidRPr="00EE53B1" w:rsidRDefault="006C1D91" w:rsidP="00B720D8">
            <w:pPr>
              <w:jc w:val="center"/>
              <w:rPr>
                <w:b/>
                <w:bCs/>
                <w:color w:val="000000"/>
                <w:sz w:val="20"/>
                <w:szCs w:val="20"/>
              </w:rPr>
            </w:pPr>
            <w:r w:rsidRPr="00EE53B1">
              <w:rPr>
                <w:b/>
                <w:bCs/>
                <w:color w:val="000000"/>
                <w:sz w:val="20"/>
                <w:szCs w:val="20"/>
              </w:rPr>
              <w:t>-3.45%</w:t>
            </w:r>
          </w:p>
        </w:tc>
        <w:tc>
          <w:tcPr>
            <w:tcW w:w="1420" w:type="dxa"/>
            <w:tcBorders>
              <w:top w:val="nil"/>
              <w:left w:val="nil"/>
              <w:bottom w:val="nil"/>
              <w:right w:val="nil"/>
            </w:tcBorders>
            <w:shd w:val="clear" w:color="000000" w:fill="FFFFFF"/>
            <w:noWrap/>
            <w:vAlign w:val="bottom"/>
            <w:hideMark/>
          </w:tcPr>
          <w:p w14:paraId="4F36F849" w14:textId="77777777" w:rsidR="006C1D91" w:rsidRPr="00EE53B1" w:rsidRDefault="006C1D91" w:rsidP="00B720D8">
            <w:pPr>
              <w:jc w:val="center"/>
              <w:rPr>
                <w:color w:val="000000"/>
                <w:sz w:val="20"/>
                <w:szCs w:val="20"/>
              </w:rPr>
            </w:pPr>
            <w:r w:rsidRPr="00EE53B1">
              <w:rPr>
                <w:b/>
                <w:bCs/>
                <w:color w:val="000000"/>
                <w:sz w:val="20"/>
                <w:szCs w:val="20"/>
              </w:rPr>
              <w:t>-0.66%</w:t>
            </w:r>
          </w:p>
        </w:tc>
        <w:tc>
          <w:tcPr>
            <w:tcW w:w="1240" w:type="dxa"/>
            <w:tcBorders>
              <w:top w:val="nil"/>
              <w:left w:val="nil"/>
              <w:bottom w:val="nil"/>
              <w:right w:val="nil"/>
            </w:tcBorders>
            <w:shd w:val="clear" w:color="000000" w:fill="FFFFFF"/>
            <w:noWrap/>
            <w:vAlign w:val="bottom"/>
            <w:hideMark/>
          </w:tcPr>
          <w:p w14:paraId="0ADFF758" w14:textId="77777777" w:rsidR="006C1D91" w:rsidRPr="00EE53B1" w:rsidRDefault="006C1D91" w:rsidP="00B720D8">
            <w:pPr>
              <w:jc w:val="center"/>
              <w:rPr>
                <w:color w:val="000000"/>
                <w:sz w:val="20"/>
                <w:szCs w:val="20"/>
              </w:rPr>
            </w:pPr>
            <w:r w:rsidRPr="00EE53B1">
              <w:rPr>
                <w:b/>
                <w:bCs/>
                <w:color w:val="000000"/>
                <w:sz w:val="20"/>
                <w:szCs w:val="20"/>
              </w:rPr>
              <w:t>2.54%</w:t>
            </w:r>
          </w:p>
        </w:tc>
        <w:tc>
          <w:tcPr>
            <w:tcW w:w="1160" w:type="dxa"/>
            <w:tcBorders>
              <w:top w:val="nil"/>
              <w:left w:val="nil"/>
              <w:bottom w:val="nil"/>
              <w:right w:val="nil"/>
            </w:tcBorders>
            <w:shd w:val="clear" w:color="000000" w:fill="FFFFFF"/>
            <w:noWrap/>
            <w:vAlign w:val="bottom"/>
            <w:hideMark/>
          </w:tcPr>
          <w:p w14:paraId="4D2090E2" w14:textId="77777777" w:rsidR="006C1D91" w:rsidRPr="00EE53B1" w:rsidRDefault="006C1D91" w:rsidP="00B720D8">
            <w:pPr>
              <w:jc w:val="center"/>
              <w:rPr>
                <w:color w:val="000000"/>
                <w:sz w:val="20"/>
                <w:szCs w:val="20"/>
              </w:rPr>
            </w:pPr>
            <w:r w:rsidRPr="00EE53B1">
              <w:rPr>
                <w:color w:val="000000"/>
                <w:sz w:val="20"/>
                <w:szCs w:val="20"/>
              </w:rPr>
              <w:t>0.55</w:t>
            </w:r>
          </w:p>
        </w:tc>
      </w:tr>
      <w:tr w:rsidR="006C1D91" w:rsidRPr="00EE53B1" w14:paraId="3024EA91" w14:textId="77777777" w:rsidTr="00B720D8">
        <w:trPr>
          <w:trHeight w:val="300"/>
        </w:trPr>
        <w:tc>
          <w:tcPr>
            <w:tcW w:w="1998" w:type="dxa"/>
            <w:tcBorders>
              <w:top w:val="nil"/>
              <w:left w:val="nil"/>
              <w:bottom w:val="nil"/>
              <w:right w:val="nil"/>
            </w:tcBorders>
            <w:shd w:val="clear" w:color="000000" w:fill="FFFFFF"/>
            <w:noWrap/>
            <w:vAlign w:val="bottom"/>
            <w:hideMark/>
          </w:tcPr>
          <w:p w14:paraId="72B0402B" w14:textId="77777777" w:rsidR="006C1D91" w:rsidRPr="00EE53B1" w:rsidRDefault="006C1D91" w:rsidP="00B720D8">
            <w:pPr>
              <w:rPr>
                <w:color w:val="000000"/>
                <w:sz w:val="20"/>
                <w:szCs w:val="20"/>
              </w:rPr>
            </w:pPr>
            <w:r w:rsidRPr="00EE53B1">
              <w:rPr>
                <w:color w:val="000000"/>
                <w:sz w:val="20"/>
                <w:szCs w:val="20"/>
              </w:rPr>
              <w:t>Iceland</w:t>
            </w:r>
          </w:p>
        </w:tc>
        <w:tc>
          <w:tcPr>
            <w:tcW w:w="1147" w:type="dxa"/>
            <w:tcBorders>
              <w:top w:val="nil"/>
              <w:left w:val="nil"/>
              <w:bottom w:val="nil"/>
              <w:right w:val="nil"/>
            </w:tcBorders>
            <w:shd w:val="clear" w:color="000000" w:fill="FFFFFF"/>
            <w:noWrap/>
            <w:vAlign w:val="bottom"/>
            <w:hideMark/>
          </w:tcPr>
          <w:p w14:paraId="6E9AAF20" w14:textId="77777777" w:rsidR="006C1D91" w:rsidRPr="00EE53B1" w:rsidRDefault="006C1D91" w:rsidP="00B720D8">
            <w:pPr>
              <w:jc w:val="center"/>
              <w:rPr>
                <w:color w:val="000000"/>
                <w:sz w:val="20"/>
                <w:szCs w:val="20"/>
              </w:rPr>
            </w:pPr>
            <w:r w:rsidRPr="00EE53B1">
              <w:rPr>
                <w:color w:val="000000"/>
                <w:sz w:val="20"/>
                <w:szCs w:val="20"/>
              </w:rPr>
              <w:t>0.0004</w:t>
            </w:r>
          </w:p>
        </w:tc>
        <w:tc>
          <w:tcPr>
            <w:tcW w:w="1580" w:type="dxa"/>
            <w:tcBorders>
              <w:top w:val="nil"/>
              <w:left w:val="nil"/>
              <w:bottom w:val="nil"/>
              <w:right w:val="nil"/>
            </w:tcBorders>
            <w:shd w:val="clear" w:color="000000" w:fill="FFFFFF"/>
            <w:noWrap/>
            <w:vAlign w:val="bottom"/>
            <w:hideMark/>
          </w:tcPr>
          <w:p w14:paraId="3F3D420E" w14:textId="77777777" w:rsidR="006C1D91" w:rsidRPr="00EE53B1" w:rsidRDefault="006C1D91" w:rsidP="00B720D8">
            <w:pPr>
              <w:jc w:val="center"/>
              <w:rPr>
                <w:color w:val="000000"/>
                <w:sz w:val="20"/>
                <w:szCs w:val="20"/>
              </w:rPr>
            </w:pPr>
            <w:r w:rsidRPr="00EE53B1">
              <w:rPr>
                <w:b/>
                <w:bCs/>
                <w:color w:val="000000"/>
                <w:sz w:val="20"/>
                <w:szCs w:val="20"/>
              </w:rPr>
              <w:t>0.419</w:t>
            </w:r>
          </w:p>
        </w:tc>
        <w:tc>
          <w:tcPr>
            <w:tcW w:w="1195" w:type="dxa"/>
            <w:tcBorders>
              <w:top w:val="nil"/>
              <w:left w:val="nil"/>
              <w:bottom w:val="nil"/>
              <w:right w:val="nil"/>
            </w:tcBorders>
            <w:shd w:val="clear" w:color="000000" w:fill="FFFFFF"/>
            <w:noWrap/>
            <w:vAlign w:val="bottom"/>
            <w:hideMark/>
          </w:tcPr>
          <w:p w14:paraId="2C1BEE6D" w14:textId="77777777" w:rsidR="006C1D91" w:rsidRPr="00EE53B1" w:rsidRDefault="006C1D91" w:rsidP="00B720D8">
            <w:pPr>
              <w:jc w:val="center"/>
              <w:rPr>
                <w:b/>
                <w:bCs/>
                <w:color w:val="000000"/>
                <w:sz w:val="20"/>
                <w:szCs w:val="20"/>
              </w:rPr>
            </w:pPr>
            <w:r w:rsidRPr="00EE53B1">
              <w:rPr>
                <w:b/>
                <w:bCs/>
                <w:color w:val="000000"/>
                <w:sz w:val="20"/>
                <w:szCs w:val="20"/>
              </w:rPr>
              <w:t>-3.98%</w:t>
            </w:r>
          </w:p>
        </w:tc>
        <w:tc>
          <w:tcPr>
            <w:tcW w:w="1420" w:type="dxa"/>
            <w:tcBorders>
              <w:top w:val="nil"/>
              <w:left w:val="nil"/>
              <w:bottom w:val="nil"/>
              <w:right w:val="nil"/>
            </w:tcBorders>
            <w:shd w:val="clear" w:color="000000" w:fill="FFFFFF"/>
            <w:noWrap/>
            <w:vAlign w:val="bottom"/>
            <w:hideMark/>
          </w:tcPr>
          <w:p w14:paraId="46968F2F" w14:textId="77777777" w:rsidR="006C1D91" w:rsidRPr="00EE53B1" w:rsidRDefault="006C1D91" w:rsidP="00B720D8">
            <w:pPr>
              <w:jc w:val="center"/>
              <w:rPr>
                <w:b/>
                <w:bCs/>
                <w:color w:val="000000"/>
                <w:sz w:val="20"/>
                <w:szCs w:val="20"/>
              </w:rPr>
            </w:pPr>
            <w:r w:rsidRPr="00EE53B1">
              <w:rPr>
                <w:b/>
                <w:bCs/>
                <w:color w:val="000000"/>
                <w:sz w:val="20"/>
                <w:szCs w:val="20"/>
              </w:rPr>
              <w:t>-2.06%</w:t>
            </w:r>
          </w:p>
        </w:tc>
        <w:tc>
          <w:tcPr>
            <w:tcW w:w="1240" w:type="dxa"/>
            <w:tcBorders>
              <w:top w:val="nil"/>
              <w:left w:val="nil"/>
              <w:bottom w:val="nil"/>
              <w:right w:val="nil"/>
            </w:tcBorders>
            <w:shd w:val="clear" w:color="000000" w:fill="FFFFFF"/>
            <w:noWrap/>
            <w:vAlign w:val="bottom"/>
            <w:hideMark/>
          </w:tcPr>
          <w:p w14:paraId="18FFD1C6" w14:textId="77777777" w:rsidR="006C1D91" w:rsidRPr="00EE53B1" w:rsidRDefault="006C1D91" w:rsidP="00B720D8">
            <w:pPr>
              <w:jc w:val="center"/>
              <w:rPr>
                <w:b/>
                <w:bCs/>
                <w:color w:val="000000"/>
                <w:sz w:val="20"/>
                <w:szCs w:val="20"/>
              </w:rPr>
            </w:pPr>
            <w:r w:rsidRPr="00EE53B1">
              <w:rPr>
                <w:b/>
                <w:bCs/>
                <w:color w:val="000000"/>
                <w:sz w:val="20"/>
                <w:szCs w:val="20"/>
              </w:rPr>
              <w:t>1.66%</w:t>
            </w:r>
          </w:p>
        </w:tc>
        <w:tc>
          <w:tcPr>
            <w:tcW w:w="1160" w:type="dxa"/>
            <w:tcBorders>
              <w:top w:val="nil"/>
              <w:left w:val="nil"/>
              <w:bottom w:val="nil"/>
              <w:right w:val="nil"/>
            </w:tcBorders>
            <w:shd w:val="clear" w:color="000000" w:fill="FFFFFF"/>
            <w:noWrap/>
            <w:vAlign w:val="bottom"/>
            <w:hideMark/>
          </w:tcPr>
          <w:p w14:paraId="291F4849" w14:textId="77777777" w:rsidR="006C1D91" w:rsidRPr="00EE53B1" w:rsidRDefault="006C1D91" w:rsidP="00B720D8">
            <w:pPr>
              <w:jc w:val="center"/>
              <w:rPr>
                <w:color w:val="000000"/>
                <w:sz w:val="20"/>
                <w:szCs w:val="20"/>
              </w:rPr>
            </w:pPr>
            <w:r w:rsidRPr="00EE53B1">
              <w:rPr>
                <w:color w:val="000000"/>
                <w:sz w:val="20"/>
                <w:szCs w:val="20"/>
              </w:rPr>
              <w:t>0.369</w:t>
            </w:r>
          </w:p>
        </w:tc>
      </w:tr>
      <w:tr w:rsidR="006C1D91" w:rsidRPr="00EE53B1" w14:paraId="6203754F" w14:textId="77777777" w:rsidTr="00B720D8">
        <w:trPr>
          <w:trHeight w:val="300"/>
        </w:trPr>
        <w:tc>
          <w:tcPr>
            <w:tcW w:w="1998" w:type="dxa"/>
            <w:tcBorders>
              <w:top w:val="nil"/>
              <w:left w:val="nil"/>
              <w:bottom w:val="nil"/>
              <w:right w:val="nil"/>
            </w:tcBorders>
            <w:shd w:val="clear" w:color="000000" w:fill="FFFFFF"/>
            <w:noWrap/>
            <w:vAlign w:val="bottom"/>
            <w:hideMark/>
          </w:tcPr>
          <w:p w14:paraId="1347928C" w14:textId="77777777" w:rsidR="006C1D91" w:rsidRPr="00EE53B1" w:rsidRDefault="006C1D91" w:rsidP="00B720D8">
            <w:pPr>
              <w:rPr>
                <w:color w:val="000000"/>
                <w:sz w:val="20"/>
                <w:szCs w:val="20"/>
              </w:rPr>
            </w:pPr>
            <w:r w:rsidRPr="00EE53B1">
              <w:rPr>
                <w:color w:val="000000"/>
                <w:sz w:val="20"/>
                <w:szCs w:val="20"/>
              </w:rPr>
              <w:t>Italy</w:t>
            </w:r>
          </w:p>
        </w:tc>
        <w:tc>
          <w:tcPr>
            <w:tcW w:w="1147" w:type="dxa"/>
            <w:tcBorders>
              <w:top w:val="nil"/>
              <w:left w:val="nil"/>
              <w:bottom w:val="nil"/>
              <w:right w:val="nil"/>
            </w:tcBorders>
            <w:shd w:val="clear" w:color="000000" w:fill="FFFFFF"/>
            <w:noWrap/>
            <w:vAlign w:val="bottom"/>
            <w:hideMark/>
          </w:tcPr>
          <w:p w14:paraId="3BCDBE7B" w14:textId="77777777" w:rsidR="006C1D91" w:rsidRPr="00EE53B1" w:rsidRDefault="006C1D91" w:rsidP="00B720D8">
            <w:pPr>
              <w:jc w:val="center"/>
              <w:rPr>
                <w:color w:val="000000"/>
                <w:sz w:val="20"/>
                <w:szCs w:val="20"/>
              </w:rPr>
            </w:pPr>
            <w:r w:rsidRPr="00EE53B1">
              <w:rPr>
                <w:color w:val="000000"/>
                <w:sz w:val="20"/>
                <w:szCs w:val="20"/>
              </w:rPr>
              <w:t>-0.001</w:t>
            </w:r>
          </w:p>
        </w:tc>
        <w:tc>
          <w:tcPr>
            <w:tcW w:w="1580" w:type="dxa"/>
            <w:tcBorders>
              <w:top w:val="nil"/>
              <w:left w:val="nil"/>
              <w:bottom w:val="nil"/>
              <w:right w:val="nil"/>
            </w:tcBorders>
            <w:shd w:val="clear" w:color="000000" w:fill="FFFFFF"/>
            <w:noWrap/>
            <w:vAlign w:val="bottom"/>
            <w:hideMark/>
          </w:tcPr>
          <w:p w14:paraId="5F11424F" w14:textId="77777777" w:rsidR="006C1D91" w:rsidRPr="00EE53B1" w:rsidRDefault="006C1D91" w:rsidP="00B720D8">
            <w:pPr>
              <w:jc w:val="center"/>
              <w:rPr>
                <w:b/>
                <w:bCs/>
                <w:color w:val="000000"/>
                <w:sz w:val="20"/>
                <w:szCs w:val="20"/>
              </w:rPr>
            </w:pPr>
            <w:r w:rsidRPr="00EE53B1">
              <w:rPr>
                <w:b/>
                <w:bCs/>
                <w:color w:val="000000"/>
                <w:sz w:val="20"/>
                <w:szCs w:val="20"/>
              </w:rPr>
              <w:t>1.637</w:t>
            </w:r>
          </w:p>
        </w:tc>
        <w:tc>
          <w:tcPr>
            <w:tcW w:w="1195" w:type="dxa"/>
            <w:tcBorders>
              <w:top w:val="nil"/>
              <w:left w:val="nil"/>
              <w:bottom w:val="nil"/>
              <w:right w:val="nil"/>
            </w:tcBorders>
            <w:shd w:val="clear" w:color="000000" w:fill="FFFFFF"/>
            <w:noWrap/>
            <w:vAlign w:val="bottom"/>
            <w:hideMark/>
          </w:tcPr>
          <w:p w14:paraId="3429B16F" w14:textId="77777777" w:rsidR="006C1D91" w:rsidRPr="00EE53B1" w:rsidRDefault="006C1D91" w:rsidP="00B720D8">
            <w:pPr>
              <w:jc w:val="center"/>
              <w:rPr>
                <w:b/>
                <w:bCs/>
                <w:color w:val="000000"/>
                <w:sz w:val="20"/>
                <w:szCs w:val="20"/>
              </w:rPr>
            </w:pPr>
            <w:r w:rsidRPr="00EE53B1">
              <w:rPr>
                <w:b/>
                <w:bCs/>
                <w:color w:val="000000"/>
                <w:sz w:val="20"/>
                <w:szCs w:val="20"/>
              </w:rPr>
              <w:t>-6.65%</w:t>
            </w:r>
          </w:p>
        </w:tc>
        <w:tc>
          <w:tcPr>
            <w:tcW w:w="1420" w:type="dxa"/>
            <w:tcBorders>
              <w:top w:val="nil"/>
              <w:left w:val="nil"/>
              <w:bottom w:val="nil"/>
              <w:right w:val="nil"/>
            </w:tcBorders>
            <w:shd w:val="clear" w:color="000000" w:fill="FFFFFF"/>
            <w:noWrap/>
            <w:vAlign w:val="bottom"/>
            <w:hideMark/>
          </w:tcPr>
          <w:p w14:paraId="3E88B5E8" w14:textId="77777777" w:rsidR="006C1D91" w:rsidRPr="00EE53B1" w:rsidRDefault="006C1D91" w:rsidP="00B720D8">
            <w:pPr>
              <w:jc w:val="center"/>
              <w:rPr>
                <w:b/>
                <w:bCs/>
                <w:color w:val="000000"/>
                <w:sz w:val="20"/>
                <w:szCs w:val="20"/>
              </w:rPr>
            </w:pPr>
            <w:r w:rsidRPr="00EE53B1">
              <w:rPr>
                <w:b/>
                <w:bCs/>
                <w:color w:val="000000"/>
                <w:sz w:val="20"/>
                <w:szCs w:val="20"/>
              </w:rPr>
              <w:t>-1.05%</w:t>
            </w:r>
          </w:p>
        </w:tc>
        <w:tc>
          <w:tcPr>
            <w:tcW w:w="1240" w:type="dxa"/>
            <w:tcBorders>
              <w:top w:val="nil"/>
              <w:left w:val="nil"/>
              <w:bottom w:val="nil"/>
              <w:right w:val="nil"/>
            </w:tcBorders>
            <w:shd w:val="clear" w:color="000000" w:fill="FFFFFF"/>
            <w:noWrap/>
            <w:vAlign w:val="bottom"/>
            <w:hideMark/>
          </w:tcPr>
          <w:p w14:paraId="1DB7632B" w14:textId="77777777" w:rsidR="006C1D91" w:rsidRPr="00EE53B1" w:rsidRDefault="006C1D91" w:rsidP="00B720D8">
            <w:pPr>
              <w:jc w:val="center"/>
              <w:rPr>
                <w:b/>
                <w:bCs/>
                <w:color w:val="000000"/>
                <w:sz w:val="20"/>
                <w:szCs w:val="20"/>
              </w:rPr>
            </w:pPr>
            <w:r w:rsidRPr="00EE53B1">
              <w:rPr>
                <w:b/>
                <w:bCs/>
                <w:color w:val="000000"/>
                <w:sz w:val="20"/>
                <w:szCs w:val="20"/>
              </w:rPr>
              <w:t>0.99%</w:t>
            </w:r>
          </w:p>
        </w:tc>
        <w:tc>
          <w:tcPr>
            <w:tcW w:w="1160" w:type="dxa"/>
            <w:tcBorders>
              <w:top w:val="nil"/>
              <w:left w:val="nil"/>
              <w:bottom w:val="nil"/>
              <w:right w:val="nil"/>
            </w:tcBorders>
            <w:shd w:val="clear" w:color="000000" w:fill="FFFFFF"/>
            <w:noWrap/>
            <w:vAlign w:val="bottom"/>
            <w:hideMark/>
          </w:tcPr>
          <w:p w14:paraId="1F6432F4" w14:textId="77777777" w:rsidR="006C1D91" w:rsidRPr="00EE53B1" w:rsidRDefault="006C1D91" w:rsidP="00B720D8">
            <w:pPr>
              <w:jc w:val="center"/>
              <w:rPr>
                <w:color w:val="000000"/>
                <w:sz w:val="20"/>
                <w:szCs w:val="20"/>
              </w:rPr>
            </w:pPr>
            <w:r w:rsidRPr="00EE53B1">
              <w:rPr>
                <w:color w:val="000000"/>
                <w:sz w:val="20"/>
                <w:szCs w:val="20"/>
              </w:rPr>
              <w:t>0.685</w:t>
            </w:r>
          </w:p>
        </w:tc>
      </w:tr>
      <w:tr w:rsidR="006C1D91" w:rsidRPr="00EE53B1" w14:paraId="046081E3" w14:textId="77777777" w:rsidTr="00B720D8">
        <w:trPr>
          <w:trHeight w:val="300"/>
        </w:trPr>
        <w:tc>
          <w:tcPr>
            <w:tcW w:w="1998" w:type="dxa"/>
            <w:tcBorders>
              <w:top w:val="nil"/>
              <w:left w:val="nil"/>
              <w:bottom w:val="nil"/>
              <w:right w:val="nil"/>
            </w:tcBorders>
            <w:shd w:val="clear" w:color="000000" w:fill="FFFFFF"/>
            <w:noWrap/>
            <w:vAlign w:val="bottom"/>
            <w:hideMark/>
          </w:tcPr>
          <w:p w14:paraId="39B83A28" w14:textId="77777777" w:rsidR="006C1D91" w:rsidRPr="00EE53B1" w:rsidRDefault="006C1D91" w:rsidP="00B720D8">
            <w:pPr>
              <w:rPr>
                <w:color w:val="000000"/>
                <w:sz w:val="20"/>
                <w:szCs w:val="20"/>
              </w:rPr>
            </w:pPr>
            <w:r w:rsidRPr="00EE53B1">
              <w:rPr>
                <w:color w:val="000000"/>
                <w:sz w:val="20"/>
                <w:szCs w:val="20"/>
              </w:rPr>
              <w:t>Ireland</w:t>
            </w:r>
          </w:p>
        </w:tc>
        <w:tc>
          <w:tcPr>
            <w:tcW w:w="1147" w:type="dxa"/>
            <w:tcBorders>
              <w:top w:val="nil"/>
              <w:left w:val="nil"/>
              <w:bottom w:val="nil"/>
              <w:right w:val="nil"/>
            </w:tcBorders>
            <w:shd w:val="clear" w:color="000000" w:fill="FFFFFF"/>
            <w:noWrap/>
            <w:vAlign w:val="bottom"/>
            <w:hideMark/>
          </w:tcPr>
          <w:p w14:paraId="6B9BDDEE" w14:textId="77777777" w:rsidR="006C1D91" w:rsidRPr="00EE53B1" w:rsidRDefault="006C1D91" w:rsidP="00B720D8">
            <w:pPr>
              <w:jc w:val="center"/>
              <w:rPr>
                <w:color w:val="000000"/>
                <w:sz w:val="20"/>
                <w:szCs w:val="20"/>
              </w:rPr>
            </w:pPr>
            <w:r w:rsidRPr="00EE53B1">
              <w:rPr>
                <w:color w:val="000000"/>
                <w:sz w:val="20"/>
                <w:szCs w:val="20"/>
              </w:rPr>
              <w:t>-0.002</w:t>
            </w:r>
          </w:p>
        </w:tc>
        <w:tc>
          <w:tcPr>
            <w:tcW w:w="1580" w:type="dxa"/>
            <w:tcBorders>
              <w:top w:val="nil"/>
              <w:left w:val="nil"/>
              <w:bottom w:val="nil"/>
              <w:right w:val="nil"/>
            </w:tcBorders>
            <w:shd w:val="clear" w:color="000000" w:fill="FFFFFF"/>
            <w:noWrap/>
            <w:vAlign w:val="bottom"/>
            <w:hideMark/>
          </w:tcPr>
          <w:p w14:paraId="559DE5A7" w14:textId="77777777" w:rsidR="006C1D91" w:rsidRPr="00EE53B1" w:rsidRDefault="006C1D91" w:rsidP="00B720D8">
            <w:pPr>
              <w:jc w:val="center"/>
              <w:rPr>
                <w:color w:val="000000"/>
                <w:sz w:val="20"/>
                <w:szCs w:val="20"/>
              </w:rPr>
            </w:pPr>
            <w:r w:rsidRPr="00EE53B1">
              <w:rPr>
                <w:b/>
                <w:bCs/>
                <w:color w:val="000000"/>
                <w:sz w:val="20"/>
                <w:szCs w:val="20"/>
              </w:rPr>
              <w:t>0.997</w:t>
            </w:r>
          </w:p>
        </w:tc>
        <w:tc>
          <w:tcPr>
            <w:tcW w:w="1195" w:type="dxa"/>
            <w:tcBorders>
              <w:top w:val="nil"/>
              <w:left w:val="nil"/>
              <w:bottom w:val="nil"/>
              <w:right w:val="nil"/>
            </w:tcBorders>
            <w:shd w:val="clear" w:color="000000" w:fill="FFFFFF"/>
            <w:noWrap/>
            <w:vAlign w:val="bottom"/>
            <w:hideMark/>
          </w:tcPr>
          <w:p w14:paraId="25800A9E" w14:textId="77777777" w:rsidR="006C1D91" w:rsidRPr="00EE53B1" w:rsidRDefault="006C1D91" w:rsidP="00B720D8">
            <w:pPr>
              <w:jc w:val="center"/>
              <w:rPr>
                <w:b/>
                <w:bCs/>
                <w:color w:val="000000"/>
                <w:sz w:val="20"/>
                <w:szCs w:val="20"/>
              </w:rPr>
            </w:pPr>
            <w:r w:rsidRPr="00EE53B1">
              <w:rPr>
                <w:b/>
                <w:bCs/>
                <w:color w:val="000000"/>
                <w:sz w:val="20"/>
                <w:szCs w:val="20"/>
              </w:rPr>
              <w:t>-5.15%</w:t>
            </w:r>
          </w:p>
        </w:tc>
        <w:tc>
          <w:tcPr>
            <w:tcW w:w="1420" w:type="dxa"/>
            <w:tcBorders>
              <w:top w:val="nil"/>
              <w:left w:val="nil"/>
              <w:bottom w:val="nil"/>
              <w:right w:val="nil"/>
            </w:tcBorders>
            <w:shd w:val="clear" w:color="000000" w:fill="FFFFFF"/>
            <w:noWrap/>
            <w:vAlign w:val="bottom"/>
            <w:hideMark/>
          </w:tcPr>
          <w:p w14:paraId="3C2405CC" w14:textId="77777777" w:rsidR="006C1D91" w:rsidRPr="00EE53B1" w:rsidRDefault="006C1D91" w:rsidP="00B720D8">
            <w:pPr>
              <w:jc w:val="center"/>
              <w:rPr>
                <w:b/>
                <w:bCs/>
                <w:color w:val="000000"/>
                <w:sz w:val="20"/>
                <w:szCs w:val="20"/>
              </w:rPr>
            </w:pPr>
            <w:r w:rsidRPr="00EE53B1">
              <w:rPr>
                <w:b/>
                <w:bCs/>
                <w:color w:val="000000"/>
                <w:sz w:val="20"/>
                <w:szCs w:val="20"/>
              </w:rPr>
              <w:t>-8.45%</w:t>
            </w:r>
          </w:p>
        </w:tc>
        <w:tc>
          <w:tcPr>
            <w:tcW w:w="1240" w:type="dxa"/>
            <w:tcBorders>
              <w:top w:val="nil"/>
              <w:left w:val="nil"/>
              <w:bottom w:val="nil"/>
              <w:right w:val="nil"/>
            </w:tcBorders>
            <w:shd w:val="clear" w:color="000000" w:fill="FFFFFF"/>
            <w:noWrap/>
            <w:vAlign w:val="bottom"/>
            <w:hideMark/>
          </w:tcPr>
          <w:p w14:paraId="4CFF3801" w14:textId="77777777" w:rsidR="006C1D91" w:rsidRPr="00EE53B1" w:rsidRDefault="006C1D91" w:rsidP="00B720D8">
            <w:pPr>
              <w:jc w:val="center"/>
              <w:rPr>
                <w:b/>
                <w:bCs/>
                <w:color w:val="000000"/>
                <w:sz w:val="20"/>
                <w:szCs w:val="20"/>
              </w:rPr>
            </w:pPr>
            <w:r w:rsidRPr="00EE53B1">
              <w:rPr>
                <w:b/>
                <w:bCs/>
                <w:color w:val="000000"/>
                <w:sz w:val="20"/>
                <w:szCs w:val="20"/>
              </w:rPr>
              <w:t>1.53%</w:t>
            </w:r>
          </w:p>
        </w:tc>
        <w:tc>
          <w:tcPr>
            <w:tcW w:w="1160" w:type="dxa"/>
            <w:tcBorders>
              <w:top w:val="nil"/>
              <w:left w:val="nil"/>
              <w:bottom w:val="nil"/>
              <w:right w:val="nil"/>
            </w:tcBorders>
            <w:shd w:val="clear" w:color="000000" w:fill="FFFFFF"/>
            <w:noWrap/>
            <w:vAlign w:val="bottom"/>
            <w:hideMark/>
          </w:tcPr>
          <w:p w14:paraId="7614507B" w14:textId="77777777" w:rsidR="006C1D91" w:rsidRPr="00EE53B1" w:rsidRDefault="006C1D91" w:rsidP="00B720D8">
            <w:pPr>
              <w:jc w:val="center"/>
              <w:rPr>
                <w:color w:val="000000"/>
                <w:sz w:val="20"/>
                <w:szCs w:val="20"/>
              </w:rPr>
            </w:pPr>
            <w:r w:rsidRPr="00EE53B1">
              <w:rPr>
                <w:color w:val="000000"/>
                <w:sz w:val="20"/>
                <w:szCs w:val="20"/>
              </w:rPr>
              <w:t>0.725</w:t>
            </w:r>
          </w:p>
        </w:tc>
      </w:tr>
      <w:tr w:rsidR="006C1D91" w:rsidRPr="00EE53B1" w14:paraId="4D4E6DC3" w14:textId="77777777" w:rsidTr="00B720D8">
        <w:trPr>
          <w:trHeight w:val="300"/>
        </w:trPr>
        <w:tc>
          <w:tcPr>
            <w:tcW w:w="1998" w:type="dxa"/>
            <w:tcBorders>
              <w:top w:val="nil"/>
              <w:left w:val="nil"/>
              <w:bottom w:val="nil"/>
              <w:right w:val="nil"/>
            </w:tcBorders>
            <w:shd w:val="clear" w:color="000000" w:fill="FFFFFF"/>
            <w:noWrap/>
            <w:vAlign w:val="bottom"/>
            <w:hideMark/>
          </w:tcPr>
          <w:p w14:paraId="0563970B" w14:textId="77777777" w:rsidR="006C1D91" w:rsidRPr="00EE53B1" w:rsidRDefault="006C1D91" w:rsidP="00B720D8">
            <w:pPr>
              <w:rPr>
                <w:color w:val="000000"/>
                <w:sz w:val="20"/>
                <w:szCs w:val="20"/>
              </w:rPr>
            </w:pPr>
            <w:r w:rsidRPr="00EE53B1">
              <w:rPr>
                <w:color w:val="000000"/>
                <w:sz w:val="20"/>
                <w:szCs w:val="20"/>
              </w:rPr>
              <w:t>Poland</w:t>
            </w:r>
          </w:p>
        </w:tc>
        <w:tc>
          <w:tcPr>
            <w:tcW w:w="1147" w:type="dxa"/>
            <w:tcBorders>
              <w:top w:val="nil"/>
              <w:left w:val="nil"/>
              <w:bottom w:val="nil"/>
              <w:right w:val="nil"/>
            </w:tcBorders>
            <w:shd w:val="clear" w:color="000000" w:fill="FFFFFF"/>
            <w:noWrap/>
            <w:vAlign w:val="bottom"/>
            <w:hideMark/>
          </w:tcPr>
          <w:p w14:paraId="58A62F9A" w14:textId="77777777" w:rsidR="006C1D91" w:rsidRPr="00EE53B1" w:rsidRDefault="006C1D91" w:rsidP="00B720D8">
            <w:pPr>
              <w:jc w:val="center"/>
              <w:rPr>
                <w:color w:val="000000"/>
                <w:sz w:val="20"/>
                <w:szCs w:val="20"/>
              </w:rPr>
            </w:pPr>
            <w:r w:rsidRPr="00EE53B1">
              <w:rPr>
                <w:color w:val="000000"/>
                <w:sz w:val="20"/>
                <w:szCs w:val="20"/>
              </w:rPr>
              <w:t>-0.0002</w:t>
            </w:r>
          </w:p>
        </w:tc>
        <w:tc>
          <w:tcPr>
            <w:tcW w:w="1580" w:type="dxa"/>
            <w:tcBorders>
              <w:top w:val="nil"/>
              <w:left w:val="nil"/>
              <w:bottom w:val="nil"/>
              <w:right w:val="nil"/>
            </w:tcBorders>
            <w:shd w:val="clear" w:color="000000" w:fill="FFFFFF"/>
            <w:noWrap/>
            <w:vAlign w:val="bottom"/>
            <w:hideMark/>
          </w:tcPr>
          <w:p w14:paraId="7A7D0008" w14:textId="77777777" w:rsidR="006C1D91" w:rsidRPr="00EE53B1" w:rsidRDefault="006C1D91" w:rsidP="00B720D8">
            <w:pPr>
              <w:jc w:val="center"/>
              <w:rPr>
                <w:b/>
                <w:bCs/>
                <w:color w:val="000000"/>
                <w:sz w:val="20"/>
                <w:szCs w:val="20"/>
              </w:rPr>
            </w:pPr>
            <w:r w:rsidRPr="00EE53B1">
              <w:rPr>
                <w:color w:val="000000"/>
                <w:sz w:val="20"/>
                <w:szCs w:val="20"/>
              </w:rPr>
              <w:t>1.02</w:t>
            </w:r>
          </w:p>
        </w:tc>
        <w:tc>
          <w:tcPr>
            <w:tcW w:w="1195" w:type="dxa"/>
            <w:tcBorders>
              <w:top w:val="nil"/>
              <w:left w:val="nil"/>
              <w:bottom w:val="nil"/>
              <w:right w:val="nil"/>
            </w:tcBorders>
            <w:shd w:val="clear" w:color="000000" w:fill="FFFFFF"/>
            <w:noWrap/>
            <w:vAlign w:val="bottom"/>
            <w:hideMark/>
          </w:tcPr>
          <w:p w14:paraId="287731FD" w14:textId="77777777" w:rsidR="006C1D91" w:rsidRPr="00EE53B1" w:rsidRDefault="006C1D91" w:rsidP="00B720D8">
            <w:pPr>
              <w:jc w:val="center"/>
              <w:rPr>
                <w:color w:val="000000"/>
                <w:sz w:val="20"/>
                <w:szCs w:val="20"/>
              </w:rPr>
            </w:pPr>
            <w:r w:rsidRPr="00EE53B1">
              <w:rPr>
                <w:b/>
                <w:bCs/>
                <w:color w:val="000000"/>
                <w:sz w:val="20"/>
                <w:szCs w:val="20"/>
              </w:rPr>
              <w:t>-3.77%</w:t>
            </w:r>
          </w:p>
        </w:tc>
        <w:tc>
          <w:tcPr>
            <w:tcW w:w="1420" w:type="dxa"/>
            <w:tcBorders>
              <w:top w:val="nil"/>
              <w:left w:val="nil"/>
              <w:bottom w:val="nil"/>
              <w:right w:val="nil"/>
            </w:tcBorders>
            <w:shd w:val="clear" w:color="000000" w:fill="FFFFFF"/>
            <w:noWrap/>
            <w:vAlign w:val="bottom"/>
            <w:hideMark/>
          </w:tcPr>
          <w:p w14:paraId="7FC56CC8" w14:textId="77777777" w:rsidR="006C1D91" w:rsidRPr="00EE53B1" w:rsidRDefault="006C1D91" w:rsidP="00B720D8">
            <w:pPr>
              <w:jc w:val="center"/>
              <w:rPr>
                <w:b/>
                <w:bCs/>
                <w:color w:val="000000"/>
                <w:sz w:val="20"/>
                <w:szCs w:val="20"/>
              </w:rPr>
            </w:pPr>
            <w:r w:rsidRPr="00EE53B1">
              <w:rPr>
                <w:color w:val="000000"/>
                <w:sz w:val="20"/>
                <w:szCs w:val="20"/>
              </w:rPr>
              <w:t>-0.34%</w:t>
            </w:r>
          </w:p>
        </w:tc>
        <w:tc>
          <w:tcPr>
            <w:tcW w:w="1240" w:type="dxa"/>
            <w:tcBorders>
              <w:top w:val="nil"/>
              <w:left w:val="nil"/>
              <w:bottom w:val="nil"/>
              <w:right w:val="nil"/>
            </w:tcBorders>
            <w:shd w:val="clear" w:color="000000" w:fill="FFFFFF"/>
            <w:noWrap/>
            <w:vAlign w:val="bottom"/>
            <w:hideMark/>
          </w:tcPr>
          <w:p w14:paraId="53EB257F" w14:textId="77777777" w:rsidR="006C1D91" w:rsidRPr="00EE53B1" w:rsidRDefault="006C1D91" w:rsidP="00B720D8">
            <w:pPr>
              <w:jc w:val="center"/>
              <w:rPr>
                <w:color w:val="000000"/>
                <w:sz w:val="20"/>
                <w:szCs w:val="20"/>
              </w:rPr>
            </w:pPr>
            <w:r w:rsidRPr="00EE53B1">
              <w:rPr>
                <w:b/>
                <w:bCs/>
                <w:color w:val="000000"/>
                <w:sz w:val="20"/>
                <w:szCs w:val="20"/>
              </w:rPr>
              <w:t>0.89%</w:t>
            </w:r>
          </w:p>
        </w:tc>
        <w:tc>
          <w:tcPr>
            <w:tcW w:w="1160" w:type="dxa"/>
            <w:tcBorders>
              <w:top w:val="nil"/>
              <w:left w:val="nil"/>
              <w:bottom w:val="nil"/>
              <w:right w:val="nil"/>
            </w:tcBorders>
            <w:shd w:val="clear" w:color="000000" w:fill="FFFFFF"/>
            <w:noWrap/>
            <w:vAlign w:val="bottom"/>
            <w:hideMark/>
          </w:tcPr>
          <w:p w14:paraId="7F0A6840" w14:textId="77777777" w:rsidR="006C1D91" w:rsidRPr="00EE53B1" w:rsidRDefault="006C1D91" w:rsidP="00B720D8">
            <w:pPr>
              <w:jc w:val="center"/>
              <w:rPr>
                <w:color w:val="000000"/>
                <w:sz w:val="20"/>
                <w:szCs w:val="20"/>
              </w:rPr>
            </w:pPr>
            <w:r w:rsidRPr="00EE53B1">
              <w:rPr>
                <w:color w:val="000000"/>
                <w:sz w:val="20"/>
                <w:szCs w:val="20"/>
              </w:rPr>
              <w:t>0.544</w:t>
            </w:r>
          </w:p>
        </w:tc>
      </w:tr>
      <w:tr w:rsidR="006C1D91" w:rsidRPr="00EE53B1" w14:paraId="6A12760A" w14:textId="77777777" w:rsidTr="00B720D8">
        <w:trPr>
          <w:trHeight w:val="300"/>
        </w:trPr>
        <w:tc>
          <w:tcPr>
            <w:tcW w:w="1998" w:type="dxa"/>
            <w:tcBorders>
              <w:top w:val="nil"/>
              <w:left w:val="nil"/>
              <w:bottom w:val="nil"/>
              <w:right w:val="nil"/>
            </w:tcBorders>
            <w:shd w:val="clear" w:color="000000" w:fill="FFFFFF"/>
            <w:noWrap/>
            <w:vAlign w:val="bottom"/>
            <w:hideMark/>
          </w:tcPr>
          <w:p w14:paraId="54D5BE43" w14:textId="77777777" w:rsidR="006C1D91" w:rsidRPr="00EE53B1" w:rsidRDefault="006C1D91" w:rsidP="00B720D8">
            <w:pPr>
              <w:rPr>
                <w:color w:val="000000"/>
                <w:sz w:val="20"/>
                <w:szCs w:val="20"/>
              </w:rPr>
            </w:pPr>
            <w:r w:rsidRPr="00EE53B1">
              <w:rPr>
                <w:color w:val="000000"/>
                <w:sz w:val="20"/>
                <w:szCs w:val="20"/>
              </w:rPr>
              <w:t>Portugal</w:t>
            </w:r>
          </w:p>
        </w:tc>
        <w:tc>
          <w:tcPr>
            <w:tcW w:w="1147" w:type="dxa"/>
            <w:tcBorders>
              <w:top w:val="nil"/>
              <w:left w:val="nil"/>
              <w:bottom w:val="nil"/>
              <w:right w:val="nil"/>
            </w:tcBorders>
            <w:shd w:val="clear" w:color="000000" w:fill="FFFFFF"/>
            <w:noWrap/>
            <w:vAlign w:val="bottom"/>
            <w:hideMark/>
          </w:tcPr>
          <w:p w14:paraId="26F0E3D0" w14:textId="77777777" w:rsidR="006C1D91" w:rsidRPr="00EE53B1" w:rsidRDefault="006C1D91" w:rsidP="00B720D8">
            <w:pPr>
              <w:jc w:val="center"/>
              <w:rPr>
                <w:color w:val="000000"/>
                <w:sz w:val="20"/>
                <w:szCs w:val="20"/>
              </w:rPr>
            </w:pPr>
            <w:r w:rsidRPr="00EE53B1">
              <w:rPr>
                <w:color w:val="000000"/>
                <w:sz w:val="20"/>
                <w:szCs w:val="20"/>
              </w:rPr>
              <w:t>-0.0008</w:t>
            </w:r>
          </w:p>
        </w:tc>
        <w:tc>
          <w:tcPr>
            <w:tcW w:w="1580" w:type="dxa"/>
            <w:tcBorders>
              <w:top w:val="nil"/>
              <w:left w:val="nil"/>
              <w:bottom w:val="nil"/>
              <w:right w:val="nil"/>
            </w:tcBorders>
            <w:shd w:val="clear" w:color="000000" w:fill="FFFFFF"/>
            <w:noWrap/>
            <w:vAlign w:val="bottom"/>
            <w:hideMark/>
          </w:tcPr>
          <w:p w14:paraId="02606361" w14:textId="77777777" w:rsidR="006C1D91" w:rsidRPr="00EE53B1" w:rsidRDefault="006C1D91" w:rsidP="00B720D8">
            <w:pPr>
              <w:jc w:val="center"/>
              <w:rPr>
                <w:color w:val="000000"/>
                <w:sz w:val="20"/>
                <w:szCs w:val="20"/>
              </w:rPr>
            </w:pPr>
            <w:r w:rsidRPr="00EE53B1">
              <w:rPr>
                <w:b/>
                <w:bCs/>
                <w:color w:val="000000"/>
                <w:sz w:val="20"/>
                <w:szCs w:val="20"/>
              </w:rPr>
              <w:t>1.147</w:t>
            </w:r>
          </w:p>
        </w:tc>
        <w:tc>
          <w:tcPr>
            <w:tcW w:w="1195" w:type="dxa"/>
            <w:tcBorders>
              <w:top w:val="nil"/>
              <w:left w:val="nil"/>
              <w:bottom w:val="nil"/>
              <w:right w:val="nil"/>
            </w:tcBorders>
            <w:shd w:val="clear" w:color="000000" w:fill="FFFFFF"/>
            <w:noWrap/>
            <w:vAlign w:val="bottom"/>
            <w:hideMark/>
          </w:tcPr>
          <w:p w14:paraId="46D13849" w14:textId="77777777" w:rsidR="006C1D91" w:rsidRPr="00EE53B1" w:rsidRDefault="006C1D91" w:rsidP="00B720D8">
            <w:pPr>
              <w:jc w:val="center"/>
              <w:rPr>
                <w:color w:val="000000"/>
                <w:sz w:val="20"/>
                <w:szCs w:val="20"/>
              </w:rPr>
            </w:pPr>
            <w:r w:rsidRPr="00EE53B1">
              <w:rPr>
                <w:b/>
                <w:bCs/>
                <w:color w:val="000000"/>
                <w:sz w:val="20"/>
                <w:szCs w:val="20"/>
              </w:rPr>
              <w:t>-3.66%</w:t>
            </w:r>
          </w:p>
        </w:tc>
        <w:tc>
          <w:tcPr>
            <w:tcW w:w="1420" w:type="dxa"/>
            <w:tcBorders>
              <w:top w:val="nil"/>
              <w:left w:val="nil"/>
              <w:bottom w:val="nil"/>
              <w:right w:val="nil"/>
            </w:tcBorders>
            <w:shd w:val="clear" w:color="000000" w:fill="FFFFFF"/>
            <w:noWrap/>
            <w:vAlign w:val="bottom"/>
            <w:hideMark/>
          </w:tcPr>
          <w:p w14:paraId="63691D44" w14:textId="77777777" w:rsidR="006C1D91" w:rsidRPr="00EE53B1" w:rsidRDefault="006C1D91" w:rsidP="00B720D8">
            <w:pPr>
              <w:jc w:val="center"/>
              <w:rPr>
                <w:b/>
                <w:bCs/>
                <w:color w:val="000000"/>
                <w:sz w:val="20"/>
                <w:szCs w:val="20"/>
              </w:rPr>
            </w:pPr>
            <w:r w:rsidRPr="00EE53B1">
              <w:rPr>
                <w:color w:val="000000"/>
                <w:sz w:val="20"/>
                <w:szCs w:val="20"/>
              </w:rPr>
              <w:t>-0.56%</w:t>
            </w:r>
          </w:p>
        </w:tc>
        <w:tc>
          <w:tcPr>
            <w:tcW w:w="1240" w:type="dxa"/>
            <w:tcBorders>
              <w:top w:val="nil"/>
              <w:left w:val="nil"/>
              <w:bottom w:val="nil"/>
              <w:right w:val="nil"/>
            </w:tcBorders>
            <w:shd w:val="clear" w:color="000000" w:fill="FFFFFF"/>
            <w:noWrap/>
            <w:vAlign w:val="bottom"/>
            <w:hideMark/>
          </w:tcPr>
          <w:p w14:paraId="529494E4" w14:textId="77777777" w:rsidR="006C1D91" w:rsidRPr="00EE53B1" w:rsidRDefault="006C1D91" w:rsidP="00B720D8">
            <w:pPr>
              <w:jc w:val="center"/>
              <w:rPr>
                <w:b/>
                <w:bCs/>
                <w:color w:val="000000"/>
                <w:sz w:val="20"/>
                <w:szCs w:val="20"/>
              </w:rPr>
            </w:pPr>
            <w:r w:rsidRPr="00EE53B1">
              <w:rPr>
                <w:b/>
                <w:bCs/>
                <w:color w:val="000000"/>
                <w:sz w:val="20"/>
                <w:szCs w:val="20"/>
              </w:rPr>
              <w:t>0.80%</w:t>
            </w:r>
          </w:p>
        </w:tc>
        <w:tc>
          <w:tcPr>
            <w:tcW w:w="1160" w:type="dxa"/>
            <w:tcBorders>
              <w:top w:val="nil"/>
              <w:left w:val="nil"/>
              <w:bottom w:val="nil"/>
              <w:right w:val="nil"/>
            </w:tcBorders>
            <w:shd w:val="clear" w:color="000000" w:fill="FFFFFF"/>
            <w:noWrap/>
            <w:vAlign w:val="bottom"/>
            <w:hideMark/>
          </w:tcPr>
          <w:p w14:paraId="2920CAD7" w14:textId="77777777" w:rsidR="006C1D91" w:rsidRPr="00EE53B1" w:rsidRDefault="006C1D91" w:rsidP="00B720D8">
            <w:pPr>
              <w:jc w:val="center"/>
              <w:rPr>
                <w:color w:val="000000"/>
                <w:sz w:val="20"/>
                <w:szCs w:val="20"/>
              </w:rPr>
            </w:pPr>
            <w:r w:rsidRPr="00EE53B1">
              <w:rPr>
                <w:color w:val="000000"/>
                <w:sz w:val="20"/>
                <w:szCs w:val="20"/>
              </w:rPr>
              <w:t>0.616</w:t>
            </w:r>
          </w:p>
        </w:tc>
      </w:tr>
      <w:tr w:rsidR="006C1D91" w:rsidRPr="00EE53B1" w14:paraId="7CC501F5" w14:textId="77777777" w:rsidTr="00B720D8">
        <w:trPr>
          <w:trHeight w:val="300"/>
        </w:trPr>
        <w:tc>
          <w:tcPr>
            <w:tcW w:w="1998" w:type="dxa"/>
            <w:tcBorders>
              <w:top w:val="nil"/>
              <w:left w:val="nil"/>
              <w:bottom w:val="nil"/>
              <w:right w:val="nil"/>
            </w:tcBorders>
            <w:shd w:val="clear" w:color="000000" w:fill="FFFFFF"/>
            <w:noWrap/>
            <w:vAlign w:val="bottom"/>
            <w:hideMark/>
          </w:tcPr>
          <w:p w14:paraId="614758F7" w14:textId="77777777" w:rsidR="006C1D91" w:rsidRPr="00EE53B1" w:rsidRDefault="006C1D91" w:rsidP="00B720D8">
            <w:pPr>
              <w:rPr>
                <w:color w:val="000000"/>
                <w:sz w:val="20"/>
                <w:szCs w:val="20"/>
              </w:rPr>
            </w:pPr>
            <w:r w:rsidRPr="00EE53B1">
              <w:rPr>
                <w:color w:val="000000"/>
                <w:sz w:val="20"/>
                <w:szCs w:val="20"/>
              </w:rPr>
              <w:t>Russia</w:t>
            </w:r>
          </w:p>
        </w:tc>
        <w:tc>
          <w:tcPr>
            <w:tcW w:w="1147" w:type="dxa"/>
            <w:tcBorders>
              <w:top w:val="nil"/>
              <w:left w:val="nil"/>
              <w:bottom w:val="nil"/>
              <w:right w:val="nil"/>
            </w:tcBorders>
            <w:shd w:val="clear" w:color="000000" w:fill="FFFFFF"/>
            <w:noWrap/>
            <w:vAlign w:val="bottom"/>
            <w:hideMark/>
          </w:tcPr>
          <w:p w14:paraId="092CD4D3" w14:textId="77777777" w:rsidR="006C1D91" w:rsidRPr="00EE53B1" w:rsidRDefault="006C1D91" w:rsidP="00B720D8">
            <w:pPr>
              <w:jc w:val="center"/>
              <w:rPr>
                <w:color w:val="000000"/>
                <w:sz w:val="20"/>
                <w:szCs w:val="20"/>
              </w:rPr>
            </w:pPr>
            <w:r w:rsidRPr="00EE53B1">
              <w:rPr>
                <w:color w:val="000000"/>
                <w:sz w:val="20"/>
                <w:szCs w:val="20"/>
              </w:rPr>
              <w:t>0.00002</w:t>
            </w:r>
          </w:p>
        </w:tc>
        <w:tc>
          <w:tcPr>
            <w:tcW w:w="1580" w:type="dxa"/>
            <w:tcBorders>
              <w:top w:val="nil"/>
              <w:left w:val="nil"/>
              <w:bottom w:val="nil"/>
              <w:right w:val="nil"/>
            </w:tcBorders>
            <w:shd w:val="clear" w:color="000000" w:fill="FFFFFF"/>
            <w:noWrap/>
            <w:vAlign w:val="bottom"/>
            <w:hideMark/>
          </w:tcPr>
          <w:p w14:paraId="17ED5502" w14:textId="77777777" w:rsidR="006C1D91" w:rsidRPr="00EE53B1" w:rsidRDefault="006C1D91" w:rsidP="00B720D8">
            <w:pPr>
              <w:jc w:val="center"/>
              <w:rPr>
                <w:b/>
                <w:bCs/>
                <w:color w:val="000000"/>
                <w:sz w:val="20"/>
                <w:szCs w:val="20"/>
              </w:rPr>
            </w:pPr>
            <w:r w:rsidRPr="00EE53B1">
              <w:rPr>
                <w:b/>
                <w:bCs/>
                <w:color w:val="000000"/>
                <w:sz w:val="20"/>
                <w:szCs w:val="20"/>
              </w:rPr>
              <w:t>1.795</w:t>
            </w:r>
          </w:p>
        </w:tc>
        <w:tc>
          <w:tcPr>
            <w:tcW w:w="1195" w:type="dxa"/>
            <w:tcBorders>
              <w:top w:val="nil"/>
              <w:left w:val="nil"/>
              <w:bottom w:val="nil"/>
              <w:right w:val="nil"/>
            </w:tcBorders>
            <w:shd w:val="clear" w:color="000000" w:fill="FFFFFF"/>
            <w:noWrap/>
            <w:vAlign w:val="bottom"/>
            <w:hideMark/>
          </w:tcPr>
          <w:p w14:paraId="06E2E39B" w14:textId="77777777" w:rsidR="006C1D91" w:rsidRPr="00EE53B1" w:rsidRDefault="006C1D91" w:rsidP="00B720D8">
            <w:pPr>
              <w:jc w:val="center"/>
              <w:rPr>
                <w:b/>
                <w:bCs/>
                <w:color w:val="000000"/>
                <w:sz w:val="20"/>
                <w:szCs w:val="20"/>
              </w:rPr>
            </w:pPr>
            <w:r w:rsidRPr="00EE53B1">
              <w:rPr>
                <w:b/>
                <w:bCs/>
                <w:color w:val="000000"/>
                <w:sz w:val="20"/>
                <w:szCs w:val="20"/>
              </w:rPr>
              <w:t>5.30%</w:t>
            </w:r>
          </w:p>
        </w:tc>
        <w:tc>
          <w:tcPr>
            <w:tcW w:w="1420" w:type="dxa"/>
            <w:tcBorders>
              <w:top w:val="nil"/>
              <w:left w:val="nil"/>
              <w:bottom w:val="nil"/>
              <w:right w:val="nil"/>
            </w:tcBorders>
            <w:shd w:val="clear" w:color="000000" w:fill="FFFFFF"/>
            <w:noWrap/>
            <w:vAlign w:val="bottom"/>
            <w:hideMark/>
          </w:tcPr>
          <w:p w14:paraId="4942556C" w14:textId="77777777" w:rsidR="006C1D91" w:rsidRPr="00EE53B1" w:rsidRDefault="006C1D91" w:rsidP="00B720D8">
            <w:pPr>
              <w:jc w:val="center"/>
              <w:rPr>
                <w:b/>
                <w:bCs/>
                <w:color w:val="000000"/>
                <w:sz w:val="20"/>
                <w:szCs w:val="20"/>
              </w:rPr>
            </w:pPr>
            <w:r w:rsidRPr="00EE53B1">
              <w:rPr>
                <w:color w:val="000000"/>
                <w:sz w:val="20"/>
                <w:szCs w:val="20"/>
              </w:rPr>
              <w:t>0.82%</w:t>
            </w:r>
          </w:p>
        </w:tc>
        <w:tc>
          <w:tcPr>
            <w:tcW w:w="1240" w:type="dxa"/>
            <w:tcBorders>
              <w:top w:val="nil"/>
              <w:left w:val="nil"/>
              <w:bottom w:val="nil"/>
              <w:right w:val="nil"/>
            </w:tcBorders>
            <w:shd w:val="clear" w:color="000000" w:fill="FFFFFF"/>
            <w:noWrap/>
            <w:vAlign w:val="bottom"/>
            <w:hideMark/>
          </w:tcPr>
          <w:p w14:paraId="10D3FF35" w14:textId="77777777" w:rsidR="006C1D91" w:rsidRPr="00EE53B1" w:rsidRDefault="006C1D91" w:rsidP="00B720D8">
            <w:pPr>
              <w:jc w:val="center"/>
              <w:rPr>
                <w:b/>
                <w:bCs/>
                <w:color w:val="000000"/>
                <w:sz w:val="20"/>
                <w:szCs w:val="20"/>
              </w:rPr>
            </w:pPr>
            <w:r w:rsidRPr="00EE53B1">
              <w:rPr>
                <w:color w:val="000000"/>
                <w:sz w:val="20"/>
                <w:szCs w:val="20"/>
              </w:rPr>
              <w:t>-0.22%</w:t>
            </w:r>
          </w:p>
        </w:tc>
        <w:tc>
          <w:tcPr>
            <w:tcW w:w="1160" w:type="dxa"/>
            <w:tcBorders>
              <w:top w:val="nil"/>
              <w:left w:val="nil"/>
              <w:bottom w:val="nil"/>
              <w:right w:val="nil"/>
            </w:tcBorders>
            <w:shd w:val="clear" w:color="000000" w:fill="FFFFFF"/>
            <w:noWrap/>
            <w:vAlign w:val="bottom"/>
            <w:hideMark/>
          </w:tcPr>
          <w:p w14:paraId="2FF2481B" w14:textId="77777777" w:rsidR="006C1D91" w:rsidRPr="00EE53B1" w:rsidRDefault="006C1D91" w:rsidP="00B720D8">
            <w:pPr>
              <w:jc w:val="center"/>
              <w:rPr>
                <w:color w:val="000000"/>
                <w:sz w:val="20"/>
                <w:szCs w:val="20"/>
              </w:rPr>
            </w:pPr>
            <w:r w:rsidRPr="00EE53B1">
              <w:rPr>
                <w:color w:val="000000"/>
                <w:sz w:val="20"/>
                <w:szCs w:val="20"/>
              </w:rPr>
              <w:t>0.498</w:t>
            </w:r>
          </w:p>
        </w:tc>
      </w:tr>
      <w:tr w:rsidR="006C1D91" w:rsidRPr="00EE53B1" w14:paraId="185BD0B2" w14:textId="77777777" w:rsidTr="00B720D8">
        <w:trPr>
          <w:trHeight w:val="300"/>
        </w:trPr>
        <w:tc>
          <w:tcPr>
            <w:tcW w:w="1998" w:type="dxa"/>
            <w:tcBorders>
              <w:top w:val="nil"/>
              <w:left w:val="nil"/>
              <w:bottom w:val="nil"/>
              <w:right w:val="nil"/>
            </w:tcBorders>
            <w:shd w:val="clear" w:color="000000" w:fill="FFFFFF"/>
            <w:noWrap/>
            <w:vAlign w:val="bottom"/>
            <w:hideMark/>
          </w:tcPr>
          <w:p w14:paraId="2CE8FF27" w14:textId="77777777" w:rsidR="006C1D91" w:rsidRPr="00EE53B1" w:rsidRDefault="006C1D91" w:rsidP="00B720D8">
            <w:pPr>
              <w:rPr>
                <w:color w:val="000000"/>
                <w:sz w:val="20"/>
                <w:szCs w:val="20"/>
              </w:rPr>
            </w:pPr>
            <w:r w:rsidRPr="00EE53B1">
              <w:rPr>
                <w:color w:val="000000"/>
                <w:sz w:val="20"/>
                <w:szCs w:val="20"/>
              </w:rPr>
              <w:t>Spain</w:t>
            </w:r>
          </w:p>
        </w:tc>
        <w:tc>
          <w:tcPr>
            <w:tcW w:w="1147" w:type="dxa"/>
            <w:tcBorders>
              <w:top w:val="nil"/>
              <w:left w:val="nil"/>
              <w:bottom w:val="nil"/>
              <w:right w:val="nil"/>
            </w:tcBorders>
            <w:shd w:val="clear" w:color="000000" w:fill="FFFFFF"/>
            <w:noWrap/>
            <w:vAlign w:val="bottom"/>
            <w:hideMark/>
          </w:tcPr>
          <w:p w14:paraId="01914B6C" w14:textId="77777777" w:rsidR="006C1D91" w:rsidRPr="00EE53B1" w:rsidRDefault="006C1D91" w:rsidP="00B720D8">
            <w:pPr>
              <w:jc w:val="center"/>
              <w:rPr>
                <w:color w:val="000000"/>
                <w:sz w:val="20"/>
                <w:szCs w:val="20"/>
              </w:rPr>
            </w:pPr>
            <w:r w:rsidRPr="00EE53B1">
              <w:rPr>
                <w:color w:val="000000"/>
                <w:sz w:val="20"/>
                <w:szCs w:val="20"/>
              </w:rPr>
              <w:t>-0.0004</w:t>
            </w:r>
          </w:p>
        </w:tc>
        <w:tc>
          <w:tcPr>
            <w:tcW w:w="1580" w:type="dxa"/>
            <w:tcBorders>
              <w:top w:val="nil"/>
              <w:left w:val="nil"/>
              <w:bottom w:val="nil"/>
              <w:right w:val="nil"/>
            </w:tcBorders>
            <w:shd w:val="clear" w:color="000000" w:fill="FFFFFF"/>
            <w:noWrap/>
            <w:vAlign w:val="bottom"/>
            <w:hideMark/>
          </w:tcPr>
          <w:p w14:paraId="3E070FF4" w14:textId="77777777" w:rsidR="006C1D91" w:rsidRPr="00EE53B1" w:rsidRDefault="006C1D91" w:rsidP="00B720D8">
            <w:pPr>
              <w:jc w:val="center"/>
              <w:rPr>
                <w:b/>
                <w:bCs/>
                <w:color w:val="000000"/>
                <w:sz w:val="20"/>
                <w:szCs w:val="20"/>
              </w:rPr>
            </w:pPr>
            <w:r w:rsidRPr="00EE53B1">
              <w:rPr>
                <w:b/>
                <w:bCs/>
                <w:color w:val="000000"/>
                <w:sz w:val="20"/>
                <w:szCs w:val="20"/>
              </w:rPr>
              <w:t>1.457</w:t>
            </w:r>
          </w:p>
        </w:tc>
        <w:tc>
          <w:tcPr>
            <w:tcW w:w="1195" w:type="dxa"/>
            <w:tcBorders>
              <w:top w:val="nil"/>
              <w:left w:val="nil"/>
              <w:bottom w:val="nil"/>
              <w:right w:val="nil"/>
            </w:tcBorders>
            <w:shd w:val="clear" w:color="000000" w:fill="FFFFFF"/>
            <w:noWrap/>
            <w:vAlign w:val="bottom"/>
            <w:hideMark/>
          </w:tcPr>
          <w:p w14:paraId="2FFBD371" w14:textId="77777777" w:rsidR="006C1D91" w:rsidRPr="00EE53B1" w:rsidRDefault="006C1D91" w:rsidP="00B720D8">
            <w:pPr>
              <w:jc w:val="center"/>
              <w:rPr>
                <w:b/>
                <w:bCs/>
                <w:color w:val="000000"/>
                <w:sz w:val="20"/>
                <w:szCs w:val="20"/>
              </w:rPr>
            </w:pPr>
            <w:r w:rsidRPr="00EE53B1">
              <w:rPr>
                <w:b/>
                <w:bCs/>
                <w:color w:val="000000"/>
                <w:sz w:val="20"/>
                <w:szCs w:val="20"/>
              </w:rPr>
              <w:t>-7.46%</w:t>
            </w:r>
          </w:p>
        </w:tc>
        <w:tc>
          <w:tcPr>
            <w:tcW w:w="1420" w:type="dxa"/>
            <w:tcBorders>
              <w:top w:val="nil"/>
              <w:left w:val="nil"/>
              <w:bottom w:val="nil"/>
              <w:right w:val="nil"/>
            </w:tcBorders>
            <w:shd w:val="clear" w:color="000000" w:fill="FFFFFF"/>
            <w:noWrap/>
            <w:vAlign w:val="bottom"/>
            <w:hideMark/>
          </w:tcPr>
          <w:p w14:paraId="6AEB6626" w14:textId="77777777" w:rsidR="006C1D91" w:rsidRPr="00EE53B1" w:rsidRDefault="006C1D91" w:rsidP="00B720D8">
            <w:pPr>
              <w:jc w:val="center"/>
              <w:rPr>
                <w:b/>
                <w:bCs/>
                <w:color w:val="000000"/>
                <w:sz w:val="20"/>
                <w:szCs w:val="20"/>
              </w:rPr>
            </w:pPr>
            <w:r w:rsidRPr="00EE53B1">
              <w:rPr>
                <w:b/>
                <w:bCs/>
                <w:color w:val="000000"/>
                <w:sz w:val="20"/>
                <w:szCs w:val="20"/>
              </w:rPr>
              <w:t>0.73%</w:t>
            </w:r>
          </w:p>
        </w:tc>
        <w:tc>
          <w:tcPr>
            <w:tcW w:w="1240" w:type="dxa"/>
            <w:tcBorders>
              <w:top w:val="nil"/>
              <w:left w:val="nil"/>
              <w:bottom w:val="nil"/>
              <w:right w:val="nil"/>
            </w:tcBorders>
            <w:shd w:val="clear" w:color="000000" w:fill="FFFFFF"/>
            <w:noWrap/>
            <w:vAlign w:val="bottom"/>
            <w:hideMark/>
          </w:tcPr>
          <w:p w14:paraId="63BAA04F" w14:textId="77777777" w:rsidR="006C1D91" w:rsidRPr="00EE53B1" w:rsidRDefault="006C1D91" w:rsidP="00B720D8">
            <w:pPr>
              <w:jc w:val="center"/>
              <w:rPr>
                <w:b/>
                <w:bCs/>
                <w:color w:val="000000"/>
                <w:sz w:val="20"/>
                <w:szCs w:val="20"/>
              </w:rPr>
            </w:pPr>
            <w:r w:rsidRPr="00EE53B1">
              <w:rPr>
                <w:b/>
                <w:bCs/>
                <w:color w:val="000000"/>
                <w:sz w:val="20"/>
                <w:szCs w:val="20"/>
              </w:rPr>
              <w:t>0.58%</w:t>
            </w:r>
          </w:p>
        </w:tc>
        <w:tc>
          <w:tcPr>
            <w:tcW w:w="1160" w:type="dxa"/>
            <w:tcBorders>
              <w:top w:val="nil"/>
              <w:left w:val="nil"/>
              <w:bottom w:val="nil"/>
              <w:right w:val="nil"/>
            </w:tcBorders>
            <w:shd w:val="clear" w:color="000000" w:fill="FFFFFF"/>
            <w:noWrap/>
            <w:vAlign w:val="bottom"/>
            <w:hideMark/>
          </w:tcPr>
          <w:p w14:paraId="09A4F51B" w14:textId="77777777" w:rsidR="006C1D91" w:rsidRPr="00EE53B1" w:rsidRDefault="006C1D91" w:rsidP="00B720D8">
            <w:pPr>
              <w:jc w:val="center"/>
              <w:rPr>
                <w:color w:val="000000"/>
                <w:sz w:val="20"/>
                <w:szCs w:val="20"/>
              </w:rPr>
            </w:pPr>
            <w:r w:rsidRPr="00EE53B1">
              <w:rPr>
                <w:color w:val="000000"/>
                <w:sz w:val="20"/>
                <w:szCs w:val="20"/>
              </w:rPr>
              <w:t>0.785</w:t>
            </w:r>
          </w:p>
        </w:tc>
      </w:tr>
      <w:tr w:rsidR="006C1D91" w:rsidRPr="00EE53B1" w14:paraId="3879974D" w14:textId="77777777" w:rsidTr="00B720D8">
        <w:trPr>
          <w:trHeight w:val="300"/>
        </w:trPr>
        <w:tc>
          <w:tcPr>
            <w:tcW w:w="1998" w:type="dxa"/>
            <w:tcBorders>
              <w:top w:val="nil"/>
              <w:left w:val="nil"/>
              <w:bottom w:val="nil"/>
              <w:right w:val="nil"/>
            </w:tcBorders>
            <w:shd w:val="clear" w:color="000000" w:fill="FFFFFF"/>
            <w:noWrap/>
            <w:vAlign w:val="bottom"/>
            <w:hideMark/>
          </w:tcPr>
          <w:p w14:paraId="156205DF" w14:textId="77777777" w:rsidR="006C1D91" w:rsidRPr="00EE53B1" w:rsidRDefault="006C1D91" w:rsidP="00B720D8">
            <w:pPr>
              <w:rPr>
                <w:color w:val="000000"/>
                <w:sz w:val="20"/>
                <w:szCs w:val="20"/>
              </w:rPr>
            </w:pPr>
            <w:r w:rsidRPr="00EE53B1">
              <w:rPr>
                <w:color w:val="000000"/>
                <w:sz w:val="20"/>
                <w:szCs w:val="20"/>
              </w:rPr>
              <w:t>UK</w:t>
            </w:r>
          </w:p>
        </w:tc>
        <w:tc>
          <w:tcPr>
            <w:tcW w:w="1147" w:type="dxa"/>
            <w:tcBorders>
              <w:top w:val="nil"/>
              <w:left w:val="nil"/>
              <w:bottom w:val="nil"/>
              <w:right w:val="nil"/>
            </w:tcBorders>
            <w:shd w:val="clear" w:color="000000" w:fill="FFFFFF"/>
            <w:noWrap/>
            <w:vAlign w:val="bottom"/>
            <w:hideMark/>
          </w:tcPr>
          <w:p w14:paraId="6C88013E" w14:textId="77777777" w:rsidR="006C1D91" w:rsidRPr="00EE53B1" w:rsidRDefault="006C1D91" w:rsidP="00B720D8">
            <w:pPr>
              <w:jc w:val="center"/>
              <w:rPr>
                <w:color w:val="000000"/>
                <w:sz w:val="20"/>
                <w:szCs w:val="20"/>
              </w:rPr>
            </w:pPr>
            <w:r w:rsidRPr="00EE53B1">
              <w:rPr>
                <w:color w:val="000000"/>
                <w:sz w:val="20"/>
                <w:szCs w:val="20"/>
              </w:rPr>
              <w:t>0.0015</w:t>
            </w:r>
          </w:p>
        </w:tc>
        <w:tc>
          <w:tcPr>
            <w:tcW w:w="1580" w:type="dxa"/>
            <w:tcBorders>
              <w:top w:val="nil"/>
              <w:left w:val="nil"/>
              <w:bottom w:val="nil"/>
              <w:right w:val="nil"/>
            </w:tcBorders>
            <w:shd w:val="clear" w:color="000000" w:fill="FFFFFF"/>
            <w:noWrap/>
            <w:vAlign w:val="bottom"/>
            <w:hideMark/>
          </w:tcPr>
          <w:p w14:paraId="38A4A16F" w14:textId="77777777" w:rsidR="006C1D91" w:rsidRPr="00EE53B1" w:rsidRDefault="006C1D91" w:rsidP="00B720D8">
            <w:pPr>
              <w:jc w:val="center"/>
              <w:rPr>
                <w:b/>
                <w:bCs/>
                <w:color w:val="000000"/>
                <w:sz w:val="20"/>
                <w:szCs w:val="20"/>
              </w:rPr>
            </w:pPr>
            <w:r w:rsidRPr="00EE53B1">
              <w:rPr>
                <w:b/>
                <w:bCs/>
                <w:color w:val="000000"/>
                <w:sz w:val="20"/>
                <w:szCs w:val="20"/>
              </w:rPr>
              <w:t>1.415</w:t>
            </w:r>
          </w:p>
        </w:tc>
        <w:tc>
          <w:tcPr>
            <w:tcW w:w="1195" w:type="dxa"/>
            <w:tcBorders>
              <w:top w:val="nil"/>
              <w:left w:val="nil"/>
              <w:bottom w:val="nil"/>
              <w:right w:val="nil"/>
            </w:tcBorders>
            <w:shd w:val="clear" w:color="000000" w:fill="FFFFFF"/>
            <w:noWrap/>
            <w:vAlign w:val="bottom"/>
            <w:hideMark/>
          </w:tcPr>
          <w:p w14:paraId="1ED1E72F" w14:textId="77777777" w:rsidR="006C1D91" w:rsidRPr="00EE53B1" w:rsidRDefault="006C1D91" w:rsidP="00B720D8">
            <w:pPr>
              <w:jc w:val="center"/>
              <w:rPr>
                <w:b/>
                <w:bCs/>
                <w:color w:val="000000"/>
                <w:sz w:val="20"/>
                <w:szCs w:val="20"/>
              </w:rPr>
            </w:pPr>
            <w:r w:rsidRPr="00EE53B1">
              <w:rPr>
                <w:b/>
                <w:bCs/>
                <w:color w:val="000000"/>
                <w:sz w:val="20"/>
                <w:szCs w:val="20"/>
              </w:rPr>
              <w:t>-4.22%</w:t>
            </w:r>
          </w:p>
        </w:tc>
        <w:tc>
          <w:tcPr>
            <w:tcW w:w="1420" w:type="dxa"/>
            <w:tcBorders>
              <w:top w:val="nil"/>
              <w:left w:val="nil"/>
              <w:bottom w:val="nil"/>
              <w:right w:val="nil"/>
            </w:tcBorders>
            <w:shd w:val="clear" w:color="000000" w:fill="FFFFFF"/>
            <w:noWrap/>
            <w:vAlign w:val="bottom"/>
            <w:hideMark/>
          </w:tcPr>
          <w:p w14:paraId="759EB0F7" w14:textId="77777777" w:rsidR="006C1D91" w:rsidRPr="00EE53B1" w:rsidRDefault="006C1D91" w:rsidP="00B720D8">
            <w:pPr>
              <w:jc w:val="center"/>
              <w:rPr>
                <w:b/>
                <w:bCs/>
                <w:color w:val="000000"/>
                <w:sz w:val="20"/>
                <w:szCs w:val="20"/>
              </w:rPr>
            </w:pPr>
            <w:r w:rsidRPr="00EE53B1">
              <w:rPr>
                <w:b/>
                <w:bCs/>
                <w:color w:val="000000"/>
                <w:sz w:val="20"/>
                <w:szCs w:val="20"/>
              </w:rPr>
              <w:t>2.74%</w:t>
            </w:r>
          </w:p>
        </w:tc>
        <w:tc>
          <w:tcPr>
            <w:tcW w:w="1240" w:type="dxa"/>
            <w:tcBorders>
              <w:top w:val="nil"/>
              <w:left w:val="nil"/>
              <w:bottom w:val="nil"/>
              <w:right w:val="nil"/>
            </w:tcBorders>
            <w:shd w:val="clear" w:color="000000" w:fill="FFFFFF"/>
            <w:noWrap/>
            <w:vAlign w:val="bottom"/>
            <w:hideMark/>
          </w:tcPr>
          <w:p w14:paraId="63F7EB17" w14:textId="77777777" w:rsidR="006C1D91" w:rsidRPr="00EE53B1" w:rsidRDefault="006C1D91" w:rsidP="00B720D8">
            <w:pPr>
              <w:jc w:val="center"/>
              <w:rPr>
                <w:b/>
                <w:bCs/>
                <w:color w:val="000000"/>
                <w:sz w:val="20"/>
                <w:szCs w:val="20"/>
              </w:rPr>
            </w:pPr>
            <w:r w:rsidRPr="00EE53B1">
              <w:rPr>
                <w:b/>
                <w:bCs/>
                <w:color w:val="000000"/>
                <w:sz w:val="20"/>
                <w:szCs w:val="20"/>
              </w:rPr>
              <w:t>1.14%</w:t>
            </w:r>
          </w:p>
        </w:tc>
        <w:tc>
          <w:tcPr>
            <w:tcW w:w="1160" w:type="dxa"/>
            <w:tcBorders>
              <w:top w:val="nil"/>
              <w:left w:val="nil"/>
              <w:bottom w:val="nil"/>
              <w:right w:val="nil"/>
            </w:tcBorders>
            <w:shd w:val="clear" w:color="000000" w:fill="FFFFFF"/>
            <w:noWrap/>
            <w:vAlign w:val="bottom"/>
            <w:hideMark/>
          </w:tcPr>
          <w:p w14:paraId="3902B8D5" w14:textId="77777777" w:rsidR="006C1D91" w:rsidRPr="00EE53B1" w:rsidRDefault="006C1D91" w:rsidP="00B720D8">
            <w:pPr>
              <w:jc w:val="center"/>
              <w:rPr>
                <w:color w:val="000000"/>
                <w:sz w:val="20"/>
                <w:szCs w:val="20"/>
              </w:rPr>
            </w:pPr>
            <w:r w:rsidRPr="00EE53B1">
              <w:rPr>
                <w:color w:val="000000"/>
                <w:sz w:val="20"/>
                <w:szCs w:val="20"/>
              </w:rPr>
              <w:t>0.822</w:t>
            </w:r>
          </w:p>
        </w:tc>
      </w:tr>
      <w:tr w:rsidR="006C1D91" w:rsidRPr="00EE53B1" w14:paraId="7AFAFA9C" w14:textId="77777777" w:rsidTr="00B720D8">
        <w:trPr>
          <w:trHeight w:val="300"/>
        </w:trPr>
        <w:tc>
          <w:tcPr>
            <w:tcW w:w="1998" w:type="dxa"/>
            <w:tcBorders>
              <w:top w:val="nil"/>
              <w:left w:val="nil"/>
              <w:bottom w:val="nil"/>
              <w:right w:val="nil"/>
            </w:tcBorders>
            <w:shd w:val="clear" w:color="000000" w:fill="FFFFFF"/>
            <w:noWrap/>
            <w:vAlign w:val="bottom"/>
            <w:hideMark/>
          </w:tcPr>
          <w:p w14:paraId="2BAE293C" w14:textId="77777777" w:rsidR="006C1D91" w:rsidRPr="00EE53B1" w:rsidRDefault="006C1D91" w:rsidP="00B720D8">
            <w:pPr>
              <w:rPr>
                <w:color w:val="000000"/>
                <w:sz w:val="20"/>
                <w:szCs w:val="20"/>
              </w:rPr>
            </w:pPr>
          </w:p>
        </w:tc>
        <w:tc>
          <w:tcPr>
            <w:tcW w:w="1147" w:type="dxa"/>
            <w:tcBorders>
              <w:top w:val="nil"/>
              <w:left w:val="nil"/>
              <w:bottom w:val="nil"/>
              <w:right w:val="nil"/>
            </w:tcBorders>
            <w:shd w:val="clear" w:color="000000" w:fill="FFFFFF"/>
            <w:noWrap/>
            <w:vAlign w:val="bottom"/>
            <w:hideMark/>
          </w:tcPr>
          <w:p w14:paraId="5370A87B" w14:textId="77777777" w:rsidR="006C1D91" w:rsidRPr="00EE53B1" w:rsidRDefault="006C1D91" w:rsidP="00B720D8">
            <w:pPr>
              <w:jc w:val="center"/>
              <w:rPr>
                <w:color w:val="000000"/>
                <w:sz w:val="20"/>
                <w:szCs w:val="20"/>
              </w:rPr>
            </w:pPr>
          </w:p>
        </w:tc>
        <w:tc>
          <w:tcPr>
            <w:tcW w:w="1580" w:type="dxa"/>
            <w:tcBorders>
              <w:top w:val="nil"/>
              <w:left w:val="nil"/>
              <w:bottom w:val="nil"/>
              <w:right w:val="nil"/>
            </w:tcBorders>
            <w:shd w:val="clear" w:color="000000" w:fill="FFFFFF"/>
            <w:noWrap/>
            <w:vAlign w:val="bottom"/>
            <w:hideMark/>
          </w:tcPr>
          <w:p w14:paraId="23FC4DAD" w14:textId="77777777" w:rsidR="006C1D91" w:rsidRPr="00EE53B1" w:rsidRDefault="006C1D91" w:rsidP="00B720D8">
            <w:pPr>
              <w:jc w:val="center"/>
              <w:rPr>
                <w:b/>
                <w:bCs/>
                <w:color w:val="000000"/>
                <w:sz w:val="20"/>
                <w:szCs w:val="20"/>
              </w:rPr>
            </w:pPr>
          </w:p>
        </w:tc>
        <w:tc>
          <w:tcPr>
            <w:tcW w:w="1195" w:type="dxa"/>
            <w:tcBorders>
              <w:top w:val="nil"/>
              <w:left w:val="nil"/>
              <w:bottom w:val="nil"/>
              <w:right w:val="nil"/>
            </w:tcBorders>
            <w:shd w:val="clear" w:color="000000" w:fill="FFFFFF"/>
            <w:noWrap/>
            <w:vAlign w:val="bottom"/>
            <w:hideMark/>
          </w:tcPr>
          <w:p w14:paraId="213CBB45" w14:textId="77777777" w:rsidR="006C1D91" w:rsidRPr="00EE53B1" w:rsidRDefault="006C1D91" w:rsidP="00B720D8">
            <w:pPr>
              <w:jc w:val="center"/>
              <w:rPr>
                <w:b/>
                <w:bCs/>
                <w:color w:val="000000"/>
                <w:sz w:val="20"/>
                <w:szCs w:val="20"/>
              </w:rPr>
            </w:pPr>
          </w:p>
        </w:tc>
        <w:tc>
          <w:tcPr>
            <w:tcW w:w="1420" w:type="dxa"/>
            <w:tcBorders>
              <w:top w:val="nil"/>
              <w:left w:val="nil"/>
              <w:bottom w:val="nil"/>
              <w:right w:val="nil"/>
            </w:tcBorders>
            <w:shd w:val="clear" w:color="000000" w:fill="FFFFFF"/>
            <w:noWrap/>
            <w:vAlign w:val="bottom"/>
            <w:hideMark/>
          </w:tcPr>
          <w:p w14:paraId="31E8FC3E" w14:textId="77777777" w:rsidR="006C1D91" w:rsidRPr="00EE53B1" w:rsidRDefault="006C1D91" w:rsidP="00B720D8">
            <w:pPr>
              <w:jc w:val="center"/>
              <w:rPr>
                <w:b/>
                <w:bCs/>
                <w:color w:val="000000"/>
                <w:sz w:val="20"/>
                <w:szCs w:val="20"/>
              </w:rPr>
            </w:pPr>
          </w:p>
        </w:tc>
        <w:tc>
          <w:tcPr>
            <w:tcW w:w="1240" w:type="dxa"/>
            <w:tcBorders>
              <w:top w:val="nil"/>
              <w:left w:val="nil"/>
              <w:bottom w:val="nil"/>
              <w:right w:val="nil"/>
            </w:tcBorders>
            <w:shd w:val="clear" w:color="000000" w:fill="FFFFFF"/>
            <w:noWrap/>
            <w:vAlign w:val="bottom"/>
            <w:hideMark/>
          </w:tcPr>
          <w:p w14:paraId="52219683" w14:textId="77777777" w:rsidR="006C1D91" w:rsidRPr="00EE53B1" w:rsidRDefault="006C1D91" w:rsidP="00B720D8">
            <w:pPr>
              <w:jc w:val="center"/>
              <w:rPr>
                <w:b/>
                <w:bCs/>
                <w:color w:val="000000"/>
                <w:sz w:val="20"/>
                <w:szCs w:val="20"/>
              </w:rPr>
            </w:pPr>
          </w:p>
        </w:tc>
        <w:tc>
          <w:tcPr>
            <w:tcW w:w="1160" w:type="dxa"/>
            <w:tcBorders>
              <w:top w:val="nil"/>
              <w:left w:val="nil"/>
              <w:bottom w:val="nil"/>
              <w:right w:val="nil"/>
            </w:tcBorders>
            <w:shd w:val="clear" w:color="000000" w:fill="FFFFFF"/>
            <w:noWrap/>
            <w:vAlign w:val="bottom"/>
            <w:hideMark/>
          </w:tcPr>
          <w:p w14:paraId="6D97FE12" w14:textId="77777777" w:rsidR="006C1D91" w:rsidRPr="00EE53B1" w:rsidRDefault="006C1D91" w:rsidP="00B720D8">
            <w:pPr>
              <w:jc w:val="center"/>
              <w:rPr>
                <w:color w:val="000000"/>
                <w:sz w:val="20"/>
                <w:szCs w:val="20"/>
              </w:rPr>
            </w:pPr>
          </w:p>
        </w:tc>
      </w:tr>
      <w:tr w:rsidR="006C1D91" w:rsidRPr="00EE53B1" w14:paraId="5FF994E3" w14:textId="77777777" w:rsidTr="00B720D8">
        <w:trPr>
          <w:trHeight w:val="300"/>
        </w:trPr>
        <w:tc>
          <w:tcPr>
            <w:tcW w:w="1998" w:type="dxa"/>
            <w:tcBorders>
              <w:top w:val="nil"/>
              <w:left w:val="nil"/>
              <w:bottom w:val="nil"/>
              <w:right w:val="nil"/>
            </w:tcBorders>
            <w:shd w:val="clear" w:color="000000" w:fill="FFFFFF"/>
            <w:noWrap/>
            <w:vAlign w:val="bottom"/>
            <w:hideMark/>
          </w:tcPr>
          <w:p w14:paraId="096D3F77" w14:textId="77777777" w:rsidR="006C1D91" w:rsidRPr="00EE53B1" w:rsidRDefault="006C1D91" w:rsidP="00B720D8">
            <w:pPr>
              <w:rPr>
                <w:color w:val="000000"/>
                <w:sz w:val="20"/>
                <w:szCs w:val="20"/>
              </w:rPr>
            </w:pPr>
          </w:p>
        </w:tc>
        <w:tc>
          <w:tcPr>
            <w:tcW w:w="1147" w:type="dxa"/>
            <w:tcBorders>
              <w:top w:val="nil"/>
              <w:left w:val="nil"/>
              <w:bottom w:val="nil"/>
              <w:right w:val="nil"/>
            </w:tcBorders>
            <w:shd w:val="clear" w:color="000000" w:fill="FFFFFF"/>
            <w:noWrap/>
            <w:vAlign w:val="bottom"/>
            <w:hideMark/>
          </w:tcPr>
          <w:p w14:paraId="3F287765" w14:textId="77777777" w:rsidR="006C1D91" w:rsidRPr="00EE53B1" w:rsidRDefault="006C1D91" w:rsidP="00B720D8">
            <w:pPr>
              <w:jc w:val="center"/>
              <w:rPr>
                <w:color w:val="000000"/>
                <w:sz w:val="20"/>
                <w:szCs w:val="20"/>
              </w:rPr>
            </w:pPr>
          </w:p>
        </w:tc>
        <w:tc>
          <w:tcPr>
            <w:tcW w:w="1580" w:type="dxa"/>
            <w:tcBorders>
              <w:top w:val="nil"/>
              <w:left w:val="nil"/>
              <w:bottom w:val="nil"/>
              <w:right w:val="nil"/>
            </w:tcBorders>
            <w:shd w:val="clear" w:color="000000" w:fill="FFFFFF"/>
            <w:noWrap/>
            <w:vAlign w:val="bottom"/>
            <w:hideMark/>
          </w:tcPr>
          <w:p w14:paraId="0E793C41" w14:textId="77777777" w:rsidR="006C1D91" w:rsidRPr="00EE53B1" w:rsidRDefault="006C1D91" w:rsidP="00B720D8">
            <w:pPr>
              <w:jc w:val="center"/>
              <w:rPr>
                <w:b/>
                <w:bCs/>
                <w:color w:val="000000"/>
                <w:sz w:val="20"/>
                <w:szCs w:val="20"/>
              </w:rPr>
            </w:pPr>
          </w:p>
        </w:tc>
        <w:tc>
          <w:tcPr>
            <w:tcW w:w="1195" w:type="dxa"/>
            <w:tcBorders>
              <w:top w:val="nil"/>
              <w:left w:val="nil"/>
              <w:bottom w:val="nil"/>
              <w:right w:val="nil"/>
            </w:tcBorders>
            <w:shd w:val="clear" w:color="000000" w:fill="FFFFFF"/>
            <w:noWrap/>
            <w:vAlign w:val="bottom"/>
            <w:hideMark/>
          </w:tcPr>
          <w:p w14:paraId="5C0945EE" w14:textId="77777777" w:rsidR="006C1D91" w:rsidRPr="00EE53B1" w:rsidRDefault="006C1D91" w:rsidP="00B720D8">
            <w:pPr>
              <w:jc w:val="center"/>
              <w:rPr>
                <w:b/>
                <w:bCs/>
                <w:color w:val="000000"/>
                <w:sz w:val="20"/>
                <w:szCs w:val="20"/>
              </w:rPr>
            </w:pPr>
          </w:p>
        </w:tc>
        <w:tc>
          <w:tcPr>
            <w:tcW w:w="1420" w:type="dxa"/>
            <w:tcBorders>
              <w:top w:val="nil"/>
              <w:left w:val="nil"/>
              <w:bottom w:val="nil"/>
              <w:right w:val="nil"/>
            </w:tcBorders>
            <w:shd w:val="clear" w:color="000000" w:fill="FFFFFF"/>
            <w:noWrap/>
            <w:vAlign w:val="bottom"/>
            <w:hideMark/>
          </w:tcPr>
          <w:p w14:paraId="6ACC9DC4" w14:textId="77777777" w:rsidR="006C1D91" w:rsidRPr="00EE53B1" w:rsidRDefault="006C1D91" w:rsidP="00B720D8">
            <w:pPr>
              <w:jc w:val="center"/>
              <w:rPr>
                <w:b/>
                <w:bCs/>
                <w:color w:val="000000"/>
                <w:sz w:val="20"/>
                <w:szCs w:val="20"/>
              </w:rPr>
            </w:pPr>
          </w:p>
        </w:tc>
        <w:tc>
          <w:tcPr>
            <w:tcW w:w="1240" w:type="dxa"/>
            <w:tcBorders>
              <w:top w:val="nil"/>
              <w:left w:val="nil"/>
              <w:bottom w:val="nil"/>
              <w:right w:val="nil"/>
            </w:tcBorders>
            <w:shd w:val="clear" w:color="000000" w:fill="FFFFFF"/>
            <w:noWrap/>
            <w:vAlign w:val="bottom"/>
            <w:hideMark/>
          </w:tcPr>
          <w:p w14:paraId="46CD4E08" w14:textId="77777777" w:rsidR="006C1D91" w:rsidRPr="00EE53B1" w:rsidRDefault="006C1D91" w:rsidP="00B720D8">
            <w:pPr>
              <w:jc w:val="center"/>
              <w:rPr>
                <w:b/>
                <w:bCs/>
                <w:color w:val="000000"/>
                <w:sz w:val="20"/>
                <w:szCs w:val="20"/>
              </w:rPr>
            </w:pPr>
          </w:p>
        </w:tc>
        <w:tc>
          <w:tcPr>
            <w:tcW w:w="1160" w:type="dxa"/>
            <w:tcBorders>
              <w:top w:val="nil"/>
              <w:left w:val="nil"/>
              <w:bottom w:val="nil"/>
              <w:right w:val="nil"/>
            </w:tcBorders>
            <w:shd w:val="clear" w:color="000000" w:fill="FFFFFF"/>
            <w:noWrap/>
            <w:vAlign w:val="bottom"/>
            <w:hideMark/>
          </w:tcPr>
          <w:p w14:paraId="4D375D0D" w14:textId="77777777" w:rsidR="006C1D91" w:rsidRPr="00EE53B1" w:rsidRDefault="006C1D91" w:rsidP="00B720D8">
            <w:pPr>
              <w:jc w:val="center"/>
              <w:rPr>
                <w:color w:val="000000"/>
                <w:sz w:val="20"/>
                <w:szCs w:val="20"/>
              </w:rPr>
            </w:pPr>
          </w:p>
        </w:tc>
      </w:tr>
      <w:tr w:rsidR="006C1D91" w:rsidRPr="00EE53B1" w14:paraId="7AA0172C" w14:textId="77777777" w:rsidTr="00B720D8">
        <w:trPr>
          <w:trHeight w:val="300"/>
        </w:trPr>
        <w:tc>
          <w:tcPr>
            <w:tcW w:w="1998" w:type="dxa"/>
            <w:tcBorders>
              <w:top w:val="nil"/>
              <w:left w:val="nil"/>
              <w:bottom w:val="nil"/>
              <w:right w:val="nil"/>
            </w:tcBorders>
            <w:shd w:val="clear" w:color="000000" w:fill="FFFFFF"/>
            <w:noWrap/>
            <w:vAlign w:val="bottom"/>
          </w:tcPr>
          <w:p w14:paraId="04D1A827" w14:textId="77777777" w:rsidR="006C1D91" w:rsidRPr="00EE53B1" w:rsidRDefault="006C1D91" w:rsidP="00B720D8">
            <w:pPr>
              <w:rPr>
                <w:color w:val="000000"/>
                <w:sz w:val="20"/>
                <w:szCs w:val="20"/>
              </w:rPr>
            </w:pPr>
          </w:p>
        </w:tc>
        <w:tc>
          <w:tcPr>
            <w:tcW w:w="1147" w:type="dxa"/>
            <w:tcBorders>
              <w:top w:val="nil"/>
              <w:left w:val="nil"/>
              <w:bottom w:val="nil"/>
              <w:right w:val="nil"/>
            </w:tcBorders>
            <w:shd w:val="clear" w:color="000000" w:fill="FFFFFF"/>
            <w:noWrap/>
            <w:vAlign w:val="bottom"/>
          </w:tcPr>
          <w:p w14:paraId="7A2C91EB" w14:textId="77777777" w:rsidR="006C1D91" w:rsidRPr="00EE53B1" w:rsidRDefault="006C1D91" w:rsidP="00B720D8">
            <w:pPr>
              <w:jc w:val="center"/>
              <w:rPr>
                <w:color w:val="000000"/>
                <w:sz w:val="20"/>
                <w:szCs w:val="20"/>
              </w:rPr>
            </w:pPr>
          </w:p>
        </w:tc>
        <w:tc>
          <w:tcPr>
            <w:tcW w:w="1580" w:type="dxa"/>
            <w:tcBorders>
              <w:top w:val="nil"/>
              <w:left w:val="nil"/>
              <w:bottom w:val="nil"/>
              <w:right w:val="nil"/>
            </w:tcBorders>
            <w:shd w:val="clear" w:color="000000" w:fill="FFFFFF"/>
            <w:noWrap/>
            <w:vAlign w:val="bottom"/>
          </w:tcPr>
          <w:p w14:paraId="1AE6D597" w14:textId="77777777" w:rsidR="006C1D91" w:rsidRPr="00EE53B1" w:rsidRDefault="006C1D91" w:rsidP="00B720D8">
            <w:pPr>
              <w:jc w:val="center"/>
              <w:rPr>
                <w:color w:val="000000"/>
                <w:sz w:val="20"/>
                <w:szCs w:val="20"/>
              </w:rPr>
            </w:pPr>
          </w:p>
        </w:tc>
        <w:tc>
          <w:tcPr>
            <w:tcW w:w="1195" w:type="dxa"/>
            <w:tcBorders>
              <w:top w:val="nil"/>
              <w:left w:val="nil"/>
              <w:bottom w:val="nil"/>
              <w:right w:val="nil"/>
            </w:tcBorders>
            <w:shd w:val="clear" w:color="000000" w:fill="FFFFFF"/>
            <w:noWrap/>
            <w:vAlign w:val="bottom"/>
          </w:tcPr>
          <w:p w14:paraId="249CC704" w14:textId="77777777" w:rsidR="006C1D91" w:rsidRPr="00EE53B1" w:rsidRDefault="006C1D91" w:rsidP="00B720D8">
            <w:pPr>
              <w:jc w:val="center"/>
              <w:rPr>
                <w:color w:val="000000"/>
                <w:sz w:val="20"/>
                <w:szCs w:val="20"/>
              </w:rPr>
            </w:pPr>
          </w:p>
        </w:tc>
        <w:tc>
          <w:tcPr>
            <w:tcW w:w="1420" w:type="dxa"/>
            <w:tcBorders>
              <w:top w:val="nil"/>
              <w:left w:val="nil"/>
              <w:bottom w:val="nil"/>
              <w:right w:val="nil"/>
            </w:tcBorders>
            <w:shd w:val="clear" w:color="000000" w:fill="FFFFFF"/>
            <w:noWrap/>
            <w:vAlign w:val="bottom"/>
          </w:tcPr>
          <w:p w14:paraId="2D8BB108" w14:textId="77777777" w:rsidR="006C1D91" w:rsidRPr="00EE53B1" w:rsidRDefault="006C1D91" w:rsidP="00B720D8">
            <w:pPr>
              <w:jc w:val="center"/>
              <w:rPr>
                <w:b/>
                <w:bCs/>
                <w:color w:val="000000"/>
                <w:sz w:val="20"/>
                <w:szCs w:val="20"/>
              </w:rPr>
            </w:pPr>
          </w:p>
        </w:tc>
        <w:tc>
          <w:tcPr>
            <w:tcW w:w="1240" w:type="dxa"/>
            <w:tcBorders>
              <w:top w:val="nil"/>
              <w:left w:val="nil"/>
              <w:bottom w:val="nil"/>
              <w:right w:val="nil"/>
            </w:tcBorders>
            <w:shd w:val="clear" w:color="000000" w:fill="FFFFFF"/>
            <w:noWrap/>
            <w:vAlign w:val="bottom"/>
          </w:tcPr>
          <w:p w14:paraId="63134BCF" w14:textId="77777777" w:rsidR="006C1D91" w:rsidRPr="00EE53B1" w:rsidRDefault="006C1D91" w:rsidP="00B720D8">
            <w:pPr>
              <w:jc w:val="center"/>
              <w:rPr>
                <w:b/>
                <w:bCs/>
                <w:color w:val="000000"/>
                <w:sz w:val="20"/>
                <w:szCs w:val="20"/>
              </w:rPr>
            </w:pPr>
          </w:p>
        </w:tc>
        <w:tc>
          <w:tcPr>
            <w:tcW w:w="1160" w:type="dxa"/>
            <w:tcBorders>
              <w:top w:val="nil"/>
              <w:left w:val="nil"/>
              <w:bottom w:val="nil"/>
              <w:right w:val="nil"/>
            </w:tcBorders>
            <w:shd w:val="clear" w:color="000000" w:fill="FFFFFF"/>
            <w:noWrap/>
            <w:vAlign w:val="bottom"/>
          </w:tcPr>
          <w:p w14:paraId="76501E1C" w14:textId="77777777" w:rsidR="006C1D91" w:rsidRPr="00EE53B1" w:rsidRDefault="006C1D91" w:rsidP="00B720D8">
            <w:pPr>
              <w:jc w:val="center"/>
              <w:rPr>
                <w:color w:val="000000"/>
                <w:sz w:val="20"/>
                <w:szCs w:val="20"/>
              </w:rPr>
            </w:pPr>
          </w:p>
        </w:tc>
      </w:tr>
      <w:tr w:rsidR="006C1D91" w:rsidRPr="00EE53B1" w14:paraId="0842D7DA" w14:textId="77777777" w:rsidTr="00B720D8">
        <w:trPr>
          <w:trHeight w:val="300"/>
        </w:trPr>
        <w:tc>
          <w:tcPr>
            <w:tcW w:w="1998" w:type="dxa"/>
            <w:tcBorders>
              <w:top w:val="nil"/>
              <w:left w:val="nil"/>
              <w:bottom w:val="nil"/>
              <w:right w:val="nil"/>
            </w:tcBorders>
            <w:shd w:val="clear" w:color="000000" w:fill="FFFFFF"/>
            <w:noWrap/>
            <w:vAlign w:val="bottom"/>
          </w:tcPr>
          <w:p w14:paraId="6AA5EEB0" w14:textId="77777777" w:rsidR="006C1D91" w:rsidRPr="00EE53B1" w:rsidRDefault="006C1D91" w:rsidP="00B720D8">
            <w:pPr>
              <w:rPr>
                <w:color w:val="000000"/>
                <w:sz w:val="20"/>
                <w:szCs w:val="20"/>
              </w:rPr>
            </w:pPr>
          </w:p>
        </w:tc>
        <w:tc>
          <w:tcPr>
            <w:tcW w:w="1147" w:type="dxa"/>
            <w:tcBorders>
              <w:top w:val="nil"/>
              <w:left w:val="nil"/>
              <w:bottom w:val="nil"/>
              <w:right w:val="nil"/>
            </w:tcBorders>
            <w:shd w:val="clear" w:color="000000" w:fill="FFFFFF"/>
            <w:noWrap/>
            <w:vAlign w:val="bottom"/>
          </w:tcPr>
          <w:p w14:paraId="7AC2D1F1" w14:textId="77777777" w:rsidR="006C1D91" w:rsidRPr="00EE53B1" w:rsidRDefault="006C1D91" w:rsidP="00B720D8">
            <w:pPr>
              <w:jc w:val="center"/>
              <w:rPr>
                <w:color w:val="000000"/>
                <w:sz w:val="20"/>
                <w:szCs w:val="20"/>
              </w:rPr>
            </w:pPr>
          </w:p>
        </w:tc>
        <w:tc>
          <w:tcPr>
            <w:tcW w:w="1580" w:type="dxa"/>
            <w:tcBorders>
              <w:top w:val="nil"/>
              <w:left w:val="nil"/>
              <w:bottom w:val="nil"/>
              <w:right w:val="nil"/>
            </w:tcBorders>
            <w:shd w:val="clear" w:color="000000" w:fill="FFFFFF"/>
            <w:noWrap/>
            <w:vAlign w:val="bottom"/>
          </w:tcPr>
          <w:p w14:paraId="1EFCFBFF" w14:textId="77777777" w:rsidR="006C1D91" w:rsidRPr="00EE53B1" w:rsidRDefault="006C1D91" w:rsidP="00B720D8">
            <w:pPr>
              <w:jc w:val="center"/>
              <w:rPr>
                <w:color w:val="000000"/>
                <w:sz w:val="20"/>
                <w:szCs w:val="20"/>
              </w:rPr>
            </w:pPr>
          </w:p>
        </w:tc>
        <w:tc>
          <w:tcPr>
            <w:tcW w:w="1195" w:type="dxa"/>
            <w:tcBorders>
              <w:top w:val="nil"/>
              <w:left w:val="nil"/>
              <w:bottom w:val="nil"/>
              <w:right w:val="nil"/>
            </w:tcBorders>
            <w:shd w:val="clear" w:color="000000" w:fill="FFFFFF"/>
            <w:noWrap/>
            <w:vAlign w:val="bottom"/>
          </w:tcPr>
          <w:p w14:paraId="6A5C1969" w14:textId="77777777" w:rsidR="006C1D91" w:rsidRPr="00EE53B1" w:rsidRDefault="006C1D91" w:rsidP="00B720D8">
            <w:pPr>
              <w:jc w:val="center"/>
              <w:rPr>
                <w:b/>
                <w:bCs/>
                <w:color w:val="000000"/>
                <w:sz w:val="20"/>
                <w:szCs w:val="20"/>
              </w:rPr>
            </w:pPr>
          </w:p>
        </w:tc>
        <w:tc>
          <w:tcPr>
            <w:tcW w:w="1420" w:type="dxa"/>
            <w:tcBorders>
              <w:top w:val="nil"/>
              <w:left w:val="nil"/>
              <w:bottom w:val="nil"/>
              <w:right w:val="nil"/>
            </w:tcBorders>
            <w:shd w:val="clear" w:color="000000" w:fill="FFFFFF"/>
            <w:noWrap/>
            <w:vAlign w:val="bottom"/>
          </w:tcPr>
          <w:p w14:paraId="6A47BEB0" w14:textId="77777777" w:rsidR="006C1D91" w:rsidRPr="00EE53B1" w:rsidRDefault="006C1D91" w:rsidP="00B720D8">
            <w:pPr>
              <w:jc w:val="center"/>
              <w:rPr>
                <w:b/>
                <w:bCs/>
                <w:color w:val="000000"/>
                <w:sz w:val="20"/>
                <w:szCs w:val="20"/>
              </w:rPr>
            </w:pPr>
          </w:p>
        </w:tc>
        <w:tc>
          <w:tcPr>
            <w:tcW w:w="1240" w:type="dxa"/>
            <w:tcBorders>
              <w:top w:val="nil"/>
              <w:left w:val="nil"/>
              <w:bottom w:val="nil"/>
              <w:right w:val="nil"/>
            </w:tcBorders>
            <w:shd w:val="clear" w:color="000000" w:fill="FFFFFF"/>
            <w:noWrap/>
            <w:vAlign w:val="bottom"/>
          </w:tcPr>
          <w:p w14:paraId="5D6B5534" w14:textId="77777777" w:rsidR="006C1D91" w:rsidRPr="00EE53B1" w:rsidRDefault="006C1D91" w:rsidP="00B720D8">
            <w:pPr>
              <w:jc w:val="center"/>
              <w:rPr>
                <w:color w:val="000000"/>
                <w:sz w:val="20"/>
                <w:szCs w:val="20"/>
              </w:rPr>
            </w:pPr>
          </w:p>
        </w:tc>
        <w:tc>
          <w:tcPr>
            <w:tcW w:w="1160" w:type="dxa"/>
            <w:tcBorders>
              <w:top w:val="nil"/>
              <w:left w:val="nil"/>
              <w:bottom w:val="nil"/>
              <w:right w:val="nil"/>
            </w:tcBorders>
            <w:shd w:val="clear" w:color="000000" w:fill="FFFFFF"/>
            <w:noWrap/>
            <w:vAlign w:val="bottom"/>
          </w:tcPr>
          <w:p w14:paraId="79B0A1F9" w14:textId="77777777" w:rsidR="006C1D91" w:rsidRPr="00EE53B1" w:rsidRDefault="006C1D91" w:rsidP="00B720D8">
            <w:pPr>
              <w:jc w:val="center"/>
              <w:rPr>
                <w:color w:val="000000"/>
                <w:sz w:val="20"/>
                <w:szCs w:val="20"/>
              </w:rPr>
            </w:pPr>
          </w:p>
        </w:tc>
      </w:tr>
      <w:tr w:rsidR="006C1D91" w:rsidRPr="00EE53B1" w14:paraId="37604C82" w14:textId="77777777" w:rsidTr="00B720D8">
        <w:trPr>
          <w:trHeight w:val="288"/>
        </w:trPr>
        <w:tc>
          <w:tcPr>
            <w:tcW w:w="1998" w:type="dxa"/>
            <w:tcBorders>
              <w:top w:val="nil"/>
              <w:left w:val="nil"/>
              <w:bottom w:val="nil"/>
              <w:right w:val="nil"/>
            </w:tcBorders>
            <w:shd w:val="clear" w:color="000000" w:fill="FFFFFF"/>
            <w:noWrap/>
            <w:vAlign w:val="bottom"/>
          </w:tcPr>
          <w:p w14:paraId="075F8C8F" w14:textId="77777777" w:rsidR="006C1D91" w:rsidRPr="00EE53B1" w:rsidRDefault="006C1D91" w:rsidP="00B720D8">
            <w:pPr>
              <w:rPr>
                <w:color w:val="000000"/>
                <w:sz w:val="20"/>
                <w:szCs w:val="20"/>
              </w:rPr>
            </w:pPr>
          </w:p>
        </w:tc>
        <w:tc>
          <w:tcPr>
            <w:tcW w:w="1147" w:type="dxa"/>
            <w:tcBorders>
              <w:top w:val="nil"/>
              <w:left w:val="nil"/>
              <w:bottom w:val="nil"/>
              <w:right w:val="nil"/>
            </w:tcBorders>
            <w:shd w:val="clear" w:color="000000" w:fill="FFFFFF"/>
            <w:noWrap/>
            <w:vAlign w:val="bottom"/>
          </w:tcPr>
          <w:p w14:paraId="779FEC90" w14:textId="77777777" w:rsidR="006C1D91" w:rsidRPr="00EE53B1" w:rsidRDefault="006C1D91" w:rsidP="00B720D8">
            <w:pPr>
              <w:jc w:val="center"/>
              <w:rPr>
                <w:color w:val="000000"/>
                <w:sz w:val="20"/>
                <w:szCs w:val="20"/>
              </w:rPr>
            </w:pPr>
          </w:p>
        </w:tc>
        <w:tc>
          <w:tcPr>
            <w:tcW w:w="1580" w:type="dxa"/>
            <w:tcBorders>
              <w:top w:val="nil"/>
              <w:left w:val="nil"/>
              <w:bottom w:val="nil"/>
              <w:right w:val="nil"/>
            </w:tcBorders>
            <w:shd w:val="clear" w:color="000000" w:fill="FFFFFF"/>
            <w:noWrap/>
            <w:vAlign w:val="bottom"/>
          </w:tcPr>
          <w:p w14:paraId="4D434D5E" w14:textId="77777777" w:rsidR="006C1D91" w:rsidRPr="00EE53B1" w:rsidRDefault="006C1D91" w:rsidP="00B720D8">
            <w:pPr>
              <w:jc w:val="center"/>
              <w:rPr>
                <w:b/>
                <w:bCs/>
                <w:color w:val="000000"/>
                <w:sz w:val="20"/>
                <w:szCs w:val="20"/>
              </w:rPr>
            </w:pPr>
          </w:p>
        </w:tc>
        <w:tc>
          <w:tcPr>
            <w:tcW w:w="1195" w:type="dxa"/>
            <w:tcBorders>
              <w:top w:val="nil"/>
              <w:left w:val="nil"/>
              <w:bottom w:val="nil"/>
              <w:right w:val="nil"/>
            </w:tcBorders>
            <w:shd w:val="clear" w:color="000000" w:fill="FFFFFF"/>
            <w:noWrap/>
            <w:vAlign w:val="bottom"/>
          </w:tcPr>
          <w:p w14:paraId="29FBEF22" w14:textId="77777777" w:rsidR="006C1D91" w:rsidRPr="00EE53B1" w:rsidRDefault="006C1D91" w:rsidP="00B720D8">
            <w:pPr>
              <w:jc w:val="center"/>
              <w:rPr>
                <w:b/>
                <w:bCs/>
                <w:color w:val="000000"/>
                <w:sz w:val="20"/>
                <w:szCs w:val="20"/>
              </w:rPr>
            </w:pPr>
          </w:p>
        </w:tc>
        <w:tc>
          <w:tcPr>
            <w:tcW w:w="1420" w:type="dxa"/>
            <w:tcBorders>
              <w:top w:val="nil"/>
              <w:left w:val="nil"/>
              <w:bottom w:val="nil"/>
              <w:right w:val="nil"/>
            </w:tcBorders>
            <w:shd w:val="clear" w:color="000000" w:fill="FFFFFF"/>
            <w:noWrap/>
            <w:vAlign w:val="bottom"/>
          </w:tcPr>
          <w:p w14:paraId="4111B8FA" w14:textId="77777777" w:rsidR="006C1D91" w:rsidRPr="00EE53B1" w:rsidRDefault="006C1D91" w:rsidP="00B720D8">
            <w:pPr>
              <w:jc w:val="center"/>
              <w:rPr>
                <w:b/>
                <w:bCs/>
                <w:color w:val="000000"/>
                <w:sz w:val="20"/>
                <w:szCs w:val="20"/>
              </w:rPr>
            </w:pPr>
          </w:p>
        </w:tc>
        <w:tc>
          <w:tcPr>
            <w:tcW w:w="1240" w:type="dxa"/>
            <w:tcBorders>
              <w:top w:val="nil"/>
              <w:left w:val="nil"/>
              <w:bottom w:val="nil"/>
              <w:right w:val="nil"/>
            </w:tcBorders>
            <w:shd w:val="clear" w:color="000000" w:fill="FFFFFF"/>
            <w:noWrap/>
            <w:vAlign w:val="bottom"/>
          </w:tcPr>
          <w:p w14:paraId="5FF22F8D" w14:textId="77777777" w:rsidR="006C1D91" w:rsidRPr="00EE53B1" w:rsidRDefault="006C1D91" w:rsidP="00B720D8">
            <w:pPr>
              <w:jc w:val="center"/>
              <w:rPr>
                <w:b/>
                <w:bCs/>
                <w:color w:val="000000"/>
                <w:sz w:val="20"/>
                <w:szCs w:val="20"/>
              </w:rPr>
            </w:pPr>
          </w:p>
        </w:tc>
        <w:tc>
          <w:tcPr>
            <w:tcW w:w="1160" w:type="dxa"/>
            <w:tcBorders>
              <w:top w:val="nil"/>
              <w:left w:val="nil"/>
              <w:bottom w:val="nil"/>
              <w:right w:val="nil"/>
            </w:tcBorders>
            <w:shd w:val="clear" w:color="000000" w:fill="FFFFFF"/>
            <w:noWrap/>
            <w:vAlign w:val="bottom"/>
          </w:tcPr>
          <w:p w14:paraId="6917212B" w14:textId="77777777" w:rsidR="006C1D91" w:rsidRPr="00EE53B1" w:rsidRDefault="006C1D91" w:rsidP="00B720D8">
            <w:pPr>
              <w:jc w:val="center"/>
              <w:rPr>
                <w:color w:val="000000"/>
                <w:sz w:val="20"/>
                <w:szCs w:val="20"/>
              </w:rPr>
            </w:pPr>
          </w:p>
        </w:tc>
      </w:tr>
    </w:tbl>
    <w:p w14:paraId="0463E18F" w14:textId="77777777" w:rsidR="006C1D91" w:rsidRDefault="006C1D91" w:rsidP="006C1D91">
      <w:pPr>
        <w:pStyle w:val="ListParagraph"/>
        <w:widowControl w:val="0"/>
        <w:autoSpaceDE w:val="0"/>
        <w:autoSpaceDN w:val="0"/>
        <w:adjustRightInd w:val="0"/>
        <w:ind w:left="1080"/>
        <w:rPr>
          <w:color w:val="000000"/>
        </w:rPr>
      </w:pPr>
    </w:p>
    <w:p w14:paraId="06D0E59F" w14:textId="77777777" w:rsidR="006C1D91" w:rsidRDefault="006C1D91" w:rsidP="006C1D91">
      <w:pPr>
        <w:rPr>
          <w:color w:val="000000"/>
        </w:rPr>
      </w:pPr>
      <w:r>
        <w:rPr>
          <w:color w:val="000000"/>
        </w:rPr>
        <w:br w:type="page"/>
      </w:r>
    </w:p>
    <w:p w14:paraId="1705C0DB" w14:textId="77777777" w:rsidR="006C1D91" w:rsidRDefault="006C1D91" w:rsidP="006C1D91">
      <w:pPr>
        <w:pStyle w:val="ListParagraph"/>
        <w:widowControl w:val="0"/>
        <w:numPr>
          <w:ilvl w:val="1"/>
          <w:numId w:val="28"/>
        </w:numPr>
        <w:autoSpaceDE w:val="0"/>
        <w:autoSpaceDN w:val="0"/>
        <w:adjustRightInd w:val="0"/>
        <w:rPr>
          <w:color w:val="000000"/>
        </w:rPr>
      </w:pPr>
      <w:r>
        <w:rPr>
          <w:color w:val="000000"/>
        </w:rPr>
        <w:lastRenderedPageBreak/>
        <w:t>(8) What was the expected return cumulative abnormal return on British stock over the two-trading-day period 6-24 to 6-27? Approximately what was the expected cumulative return?</w:t>
      </w:r>
    </w:p>
    <w:p w14:paraId="52C45EF5" w14:textId="77777777" w:rsidR="006C1D91" w:rsidRDefault="006C1D91" w:rsidP="006C1D91">
      <w:pPr>
        <w:pStyle w:val="ListParagraph"/>
        <w:widowControl w:val="0"/>
        <w:autoSpaceDE w:val="0"/>
        <w:autoSpaceDN w:val="0"/>
        <w:adjustRightInd w:val="0"/>
        <w:ind w:left="1080"/>
        <w:rPr>
          <w:color w:val="000000"/>
        </w:rPr>
      </w:pPr>
    </w:p>
    <w:p w14:paraId="527BCF32" w14:textId="77777777" w:rsidR="006C1D91" w:rsidRPr="00963054" w:rsidRDefault="006C1D91" w:rsidP="006C1D91">
      <w:pPr>
        <w:pStyle w:val="ListParagraph"/>
        <w:widowControl w:val="0"/>
        <w:numPr>
          <w:ilvl w:val="1"/>
          <w:numId w:val="28"/>
        </w:numPr>
        <w:autoSpaceDE w:val="0"/>
        <w:autoSpaceDN w:val="0"/>
        <w:adjustRightInd w:val="0"/>
        <w:rPr>
          <w:color w:val="000000"/>
        </w:rPr>
      </w:pPr>
      <w:r>
        <w:rPr>
          <w:color w:val="000000"/>
        </w:rPr>
        <w:t>(8) Britain’s largest trading partners on this list are Germany and France.  Other countries are less connected in terms of trade.  How did Germany and France fare compared with Britain in terms of abnormal returns over the same 2-day period examined in part a?  Although you do not have standard errors in this table, you can get some idea whether the expected damage done by Brexit is about the same in Britain as in the large countries in the EU. Given the relative effects in the two countries, did market participants set stock prices in a way consistent with trade fears?</w:t>
      </w:r>
    </w:p>
    <w:p w14:paraId="72C8841B" w14:textId="77777777" w:rsidR="006C1D91" w:rsidRPr="00FE3BC5" w:rsidRDefault="006C1D91" w:rsidP="006C1D91">
      <w:pPr>
        <w:pStyle w:val="ListParagraph"/>
        <w:widowControl w:val="0"/>
        <w:autoSpaceDE w:val="0"/>
        <w:autoSpaceDN w:val="0"/>
        <w:adjustRightInd w:val="0"/>
        <w:ind w:left="1080"/>
        <w:rPr>
          <w:color w:val="000000"/>
        </w:rPr>
      </w:pPr>
    </w:p>
    <w:p w14:paraId="118102F0" w14:textId="77777777" w:rsidR="006C1D91" w:rsidRDefault="006C1D91" w:rsidP="006C1D91">
      <w:pPr>
        <w:pStyle w:val="ListParagraph"/>
        <w:widowControl w:val="0"/>
        <w:numPr>
          <w:ilvl w:val="1"/>
          <w:numId w:val="28"/>
        </w:numPr>
        <w:autoSpaceDE w:val="0"/>
        <w:autoSpaceDN w:val="0"/>
        <w:adjustRightInd w:val="0"/>
        <w:rPr>
          <w:color w:val="000000"/>
        </w:rPr>
      </w:pPr>
      <w:r>
        <w:rPr>
          <w:color w:val="000000"/>
        </w:rPr>
        <w:t>(8) Clearly, there were come country indexes that did worse than Britain by far.  Consider Greece.  In the Greek bailout, where the EU made sure that Greece did not default on its sovereign debt. Other countries which have been in the news recently because of the riskiness of their sovereign debt are Italy, Ireland, Portugal and Spain.  How did these countries fare over the same two-day window in terms of cumulative returns? What do you think these data imply about the change in the likelihood of a sovereign default in these countries and the willingness of the EU to prevent such a crisis?</w:t>
      </w:r>
    </w:p>
    <w:p w14:paraId="1D5A5FDF" w14:textId="77777777" w:rsidR="006C1D91" w:rsidRPr="00963054" w:rsidRDefault="006C1D91" w:rsidP="006C1D91">
      <w:pPr>
        <w:pStyle w:val="ListParagraph"/>
        <w:rPr>
          <w:color w:val="000000"/>
        </w:rPr>
      </w:pPr>
    </w:p>
    <w:p w14:paraId="2F1CA7B5" w14:textId="77777777" w:rsidR="006C1D91" w:rsidRDefault="006C1D91" w:rsidP="006C1D91">
      <w:pPr>
        <w:pStyle w:val="ListParagraph"/>
        <w:widowControl w:val="0"/>
        <w:numPr>
          <w:ilvl w:val="1"/>
          <w:numId w:val="28"/>
        </w:numPr>
        <w:autoSpaceDE w:val="0"/>
        <w:autoSpaceDN w:val="0"/>
        <w:adjustRightInd w:val="0"/>
        <w:rPr>
          <w:color w:val="000000"/>
        </w:rPr>
      </w:pPr>
      <w:r>
        <w:rPr>
          <w:color w:val="000000"/>
        </w:rPr>
        <w:t xml:space="preserve">(6) Now look at Russia’s returns (cumulative returns and cumulative abnormal returns. Can you explain the pattern of Russia’s returns over the two-day window relative to the returns in the EU countries? </w:t>
      </w:r>
    </w:p>
    <w:p w14:paraId="27AB0BDF" w14:textId="4037AC12" w:rsidR="006C1D91" w:rsidRPr="006C1D91" w:rsidRDefault="006C1D91" w:rsidP="006C1D91">
      <w:pPr>
        <w:rPr>
          <w:color w:val="000000"/>
        </w:rPr>
      </w:pPr>
    </w:p>
    <w:p w14:paraId="67F34460" w14:textId="77777777" w:rsidR="006C1D91" w:rsidRDefault="006C1D91" w:rsidP="00913F64">
      <w:pPr>
        <w:pStyle w:val="ListParagraph"/>
        <w:widowControl w:val="0"/>
        <w:numPr>
          <w:ilvl w:val="0"/>
          <w:numId w:val="20"/>
        </w:numPr>
        <w:autoSpaceDE w:val="0"/>
        <w:autoSpaceDN w:val="0"/>
        <w:adjustRightInd w:val="0"/>
        <w:rPr>
          <w:color w:val="000000"/>
        </w:rPr>
      </w:pPr>
      <w:r>
        <w:rPr>
          <w:color w:val="000000"/>
        </w:rPr>
        <w:t>(10) (</w:t>
      </w:r>
      <w:r w:rsidRPr="00390CAE">
        <w:rPr>
          <w:b/>
          <w:color w:val="000000"/>
        </w:rPr>
        <w:t>short</w:t>
      </w:r>
      <w:r>
        <w:rPr>
          <w:color w:val="000000"/>
        </w:rPr>
        <w:t xml:space="preserve"> answer) Explain what is meant by the Fama-MacBeth two-pass technique for testing the CAPM.</w:t>
      </w:r>
    </w:p>
    <w:p w14:paraId="7A92F2F5" w14:textId="77777777" w:rsidR="006C1D91" w:rsidRDefault="006C1D91" w:rsidP="00913F64">
      <w:pPr>
        <w:pStyle w:val="ListParagraph"/>
        <w:widowControl w:val="0"/>
        <w:numPr>
          <w:ilvl w:val="1"/>
          <w:numId w:val="20"/>
        </w:numPr>
        <w:autoSpaceDE w:val="0"/>
        <w:autoSpaceDN w:val="0"/>
        <w:adjustRightInd w:val="0"/>
        <w:rPr>
          <w:color w:val="000000"/>
        </w:rPr>
      </w:pPr>
      <w:r>
        <w:rPr>
          <w:color w:val="000000"/>
        </w:rPr>
        <w:t>(4) What regression is run in the first pass?</w:t>
      </w:r>
    </w:p>
    <w:p w14:paraId="727FAA45" w14:textId="77777777" w:rsidR="006C1D91" w:rsidRDefault="006C1D91" w:rsidP="00913F64">
      <w:pPr>
        <w:pStyle w:val="ListParagraph"/>
        <w:widowControl w:val="0"/>
        <w:numPr>
          <w:ilvl w:val="1"/>
          <w:numId w:val="20"/>
        </w:numPr>
        <w:autoSpaceDE w:val="0"/>
        <w:autoSpaceDN w:val="0"/>
        <w:adjustRightInd w:val="0"/>
        <w:rPr>
          <w:color w:val="000000"/>
        </w:rPr>
      </w:pPr>
      <w:r>
        <w:rPr>
          <w:color w:val="000000"/>
        </w:rPr>
        <w:t>(4) What regression is run in the second pass?</w:t>
      </w:r>
    </w:p>
    <w:p w14:paraId="26B41047" w14:textId="77777777" w:rsidR="006C1D91" w:rsidRDefault="006C1D91" w:rsidP="00913F64">
      <w:pPr>
        <w:pStyle w:val="ListParagraph"/>
        <w:widowControl w:val="0"/>
        <w:numPr>
          <w:ilvl w:val="1"/>
          <w:numId w:val="20"/>
        </w:numPr>
        <w:autoSpaceDE w:val="0"/>
        <w:autoSpaceDN w:val="0"/>
        <w:adjustRightInd w:val="0"/>
        <w:rPr>
          <w:color w:val="000000"/>
        </w:rPr>
      </w:pPr>
      <w:r>
        <w:rPr>
          <w:color w:val="000000"/>
        </w:rPr>
        <w:t>(3) In the two-pass technique, what evidence did Fama and French (1992) use to reject the CAPM?</w:t>
      </w:r>
    </w:p>
    <w:p w14:paraId="64E14D55" w14:textId="77777777" w:rsidR="006C1D91" w:rsidRDefault="006C1D91" w:rsidP="006C1D91">
      <w:pPr>
        <w:rPr>
          <w:color w:val="000000"/>
        </w:rPr>
      </w:pPr>
      <w:r>
        <w:rPr>
          <w:color w:val="000000"/>
        </w:rPr>
        <w:br w:type="page"/>
      </w:r>
    </w:p>
    <w:tbl>
      <w:tblPr>
        <w:tblW w:w="6941" w:type="dxa"/>
        <w:tblLook w:val="04A0" w:firstRow="1" w:lastRow="0" w:firstColumn="1" w:lastColumn="0" w:noHBand="0" w:noVBand="1"/>
      </w:tblPr>
      <w:tblGrid>
        <w:gridCol w:w="2140"/>
        <w:gridCol w:w="1540"/>
        <w:gridCol w:w="1493"/>
        <w:gridCol w:w="1129"/>
        <w:gridCol w:w="1129"/>
      </w:tblGrid>
      <w:tr w:rsidR="006C1D91" w:rsidRPr="001051DF" w14:paraId="15BE3C73" w14:textId="77777777" w:rsidTr="00B720D8">
        <w:trPr>
          <w:trHeight w:val="315"/>
        </w:trPr>
        <w:tc>
          <w:tcPr>
            <w:tcW w:w="2140" w:type="dxa"/>
            <w:tcBorders>
              <w:top w:val="nil"/>
              <w:left w:val="nil"/>
              <w:bottom w:val="nil"/>
              <w:right w:val="nil"/>
            </w:tcBorders>
            <w:shd w:val="clear" w:color="auto" w:fill="auto"/>
            <w:noWrap/>
            <w:vAlign w:val="bottom"/>
            <w:hideMark/>
          </w:tcPr>
          <w:p w14:paraId="3260920B" w14:textId="10D0E429" w:rsidR="006C1D91" w:rsidRPr="001051DF" w:rsidRDefault="006C1D91" w:rsidP="00B720D8">
            <w:pPr>
              <w:rPr>
                <w:rFonts w:ascii="Calibri" w:hAnsi="Calibri"/>
                <w:color w:val="000000"/>
              </w:rPr>
            </w:pPr>
            <w:r w:rsidRPr="001051DF">
              <w:rPr>
                <w:rFonts w:ascii="Calibri" w:hAnsi="Calibri"/>
                <w:color w:val="000000"/>
              </w:rPr>
              <w:lastRenderedPageBreak/>
              <w:t>OUTPUT</w:t>
            </w:r>
          </w:p>
        </w:tc>
        <w:tc>
          <w:tcPr>
            <w:tcW w:w="1540" w:type="dxa"/>
            <w:tcBorders>
              <w:top w:val="nil"/>
              <w:left w:val="nil"/>
              <w:bottom w:val="nil"/>
              <w:right w:val="nil"/>
            </w:tcBorders>
            <w:shd w:val="clear" w:color="auto" w:fill="auto"/>
            <w:noWrap/>
            <w:vAlign w:val="bottom"/>
            <w:hideMark/>
          </w:tcPr>
          <w:p w14:paraId="3DCF7382" w14:textId="77777777" w:rsidR="006C1D91" w:rsidRPr="001051DF" w:rsidRDefault="006C1D91" w:rsidP="00B720D8">
            <w:pPr>
              <w:rPr>
                <w:rFonts w:ascii="Calibri" w:hAnsi="Calibri"/>
                <w:color w:val="000000"/>
              </w:rPr>
            </w:pPr>
          </w:p>
        </w:tc>
        <w:tc>
          <w:tcPr>
            <w:tcW w:w="1341" w:type="dxa"/>
            <w:tcBorders>
              <w:top w:val="nil"/>
              <w:left w:val="nil"/>
              <w:bottom w:val="nil"/>
              <w:right w:val="nil"/>
            </w:tcBorders>
            <w:shd w:val="clear" w:color="auto" w:fill="auto"/>
            <w:noWrap/>
            <w:vAlign w:val="bottom"/>
            <w:hideMark/>
          </w:tcPr>
          <w:p w14:paraId="5A8F0EF4"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3D3D807B"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7B76C05A" w14:textId="77777777" w:rsidR="006C1D91" w:rsidRPr="001051DF" w:rsidRDefault="006C1D91" w:rsidP="00B720D8">
            <w:pPr>
              <w:rPr>
                <w:sz w:val="20"/>
                <w:szCs w:val="20"/>
              </w:rPr>
            </w:pPr>
          </w:p>
        </w:tc>
      </w:tr>
      <w:tr w:rsidR="006C1D91" w:rsidRPr="001051DF" w14:paraId="2E499CB0" w14:textId="77777777" w:rsidTr="00B720D8">
        <w:trPr>
          <w:trHeight w:val="315"/>
        </w:trPr>
        <w:tc>
          <w:tcPr>
            <w:tcW w:w="2140" w:type="dxa"/>
            <w:tcBorders>
              <w:top w:val="nil"/>
              <w:left w:val="nil"/>
              <w:bottom w:val="nil"/>
              <w:right w:val="nil"/>
            </w:tcBorders>
            <w:shd w:val="clear" w:color="auto" w:fill="auto"/>
            <w:noWrap/>
            <w:vAlign w:val="bottom"/>
            <w:hideMark/>
          </w:tcPr>
          <w:p w14:paraId="3E21D614" w14:textId="77777777" w:rsidR="006C1D91" w:rsidRPr="001051DF" w:rsidRDefault="006C1D91" w:rsidP="00B720D8">
            <w:pPr>
              <w:rPr>
                <w:rFonts w:ascii="Calibri" w:hAnsi="Calibri"/>
                <w:color w:val="000000"/>
              </w:rPr>
            </w:pPr>
            <w:r w:rsidRPr="001051DF">
              <w:rPr>
                <w:rFonts w:ascii="Calibri" w:hAnsi="Calibri"/>
                <w:color w:val="000000"/>
              </w:rPr>
              <w:t>Exxon</w:t>
            </w:r>
          </w:p>
        </w:tc>
        <w:tc>
          <w:tcPr>
            <w:tcW w:w="1540" w:type="dxa"/>
            <w:tcBorders>
              <w:top w:val="nil"/>
              <w:left w:val="nil"/>
              <w:bottom w:val="nil"/>
              <w:right w:val="nil"/>
            </w:tcBorders>
            <w:shd w:val="clear" w:color="auto" w:fill="auto"/>
            <w:noWrap/>
            <w:vAlign w:val="bottom"/>
            <w:hideMark/>
          </w:tcPr>
          <w:p w14:paraId="331E8FFD" w14:textId="77777777" w:rsidR="006C1D91" w:rsidRPr="001051DF" w:rsidRDefault="006C1D91" w:rsidP="00B720D8">
            <w:pPr>
              <w:rPr>
                <w:rFonts w:ascii="Calibri" w:hAnsi="Calibri"/>
                <w:color w:val="000000"/>
              </w:rPr>
            </w:pPr>
          </w:p>
        </w:tc>
        <w:tc>
          <w:tcPr>
            <w:tcW w:w="1341" w:type="dxa"/>
            <w:tcBorders>
              <w:top w:val="nil"/>
              <w:left w:val="nil"/>
              <w:bottom w:val="nil"/>
              <w:right w:val="nil"/>
            </w:tcBorders>
            <w:shd w:val="clear" w:color="auto" w:fill="auto"/>
            <w:noWrap/>
            <w:vAlign w:val="bottom"/>
            <w:hideMark/>
          </w:tcPr>
          <w:p w14:paraId="3686A4C4"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666BD475"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51C283DD" w14:textId="77777777" w:rsidR="006C1D91" w:rsidRPr="001051DF" w:rsidRDefault="006C1D91" w:rsidP="00B720D8">
            <w:pPr>
              <w:rPr>
                <w:sz w:val="20"/>
                <w:szCs w:val="20"/>
              </w:rPr>
            </w:pPr>
          </w:p>
        </w:tc>
      </w:tr>
      <w:tr w:rsidR="006C1D91" w:rsidRPr="001051DF" w14:paraId="549E43B2" w14:textId="77777777" w:rsidTr="00B720D8">
        <w:trPr>
          <w:trHeight w:val="300"/>
        </w:trPr>
        <w:tc>
          <w:tcPr>
            <w:tcW w:w="3680" w:type="dxa"/>
            <w:gridSpan w:val="2"/>
            <w:tcBorders>
              <w:top w:val="single" w:sz="8" w:space="0" w:color="auto"/>
              <w:left w:val="nil"/>
              <w:bottom w:val="single" w:sz="4" w:space="0" w:color="auto"/>
              <w:right w:val="nil"/>
            </w:tcBorders>
            <w:shd w:val="clear" w:color="auto" w:fill="auto"/>
            <w:noWrap/>
            <w:vAlign w:val="bottom"/>
            <w:hideMark/>
          </w:tcPr>
          <w:p w14:paraId="590CD8E3" w14:textId="77777777" w:rsidR="006C1D91" w:rsidRPr="001051DF" w:rsidRDefault="006C1D91" w:rsidP="00B720D8">
            <w:pPr>
              <w:jc w:val="center"/>
              <w:rPr>
                <w:rFonts w:ascii="Calibri" w:hAnsi="Calibri"/>
                <w:i/>
                <w:iCs/>
                <w:color w:val="000000"/>
              </w:rPr>
            </w:pPr>
            <w:r w:rsidRPr="001051DF">
              <w:rPr>
                <w:rFonts w:ascii="Calibri" w:hAnsi="Calibri"/>
                <w:i/>
                <w:iCs/>
                <w:color w:val="000000"/>
              </w:rPr>
              <w:t>Regression Statistics</w:t>
            </w:r>
          </w:p>
        </w:tc>
        <w:tc>
          <w:tcPr>
            <w:tcW w:w="1341" w:type="dxa"/>
            <w:tcBorders>
              <w:top w:val="nil"/>
              <w:left w:val="nil"/>
              <w:bottom w:val="nil"/>
              <w:right w:val="nil"/>
            </w:tcBorders>
            <w:shd w:val="clear" w:color="auto" w:fill="auto"/>
            <w:noWrap/>
            <w:vAlign w:val="bottom"/>
            <w:hideMark/>
          </w:tcPr>
          <w:p w14:paraId="5CE96B35" w14:textId="77777777" w:rsidR="006C1D91" w:rsidRPr="001051DF" w:rsidRDefault="006C1D91" w:rsidP="00B720D8">
            <w:pPr>
              <w:jc w:val="center"/>
              <w:rPr>
                <w:rFonts w:ascii="Calibri" w:hAnsi="Calibri"/>
                <w:i/>
                <w:iCs/>
                <w:color w:val="000000"/>
              </w:rPr>
            </w:pPr>
          </w:p>
        </w:tc>
        <w:tc>
          <w:tcPr>
            <w:tcW w:w="960" w:type="dxa"/>
            <w:tcBorders>
              <w:top w:val="nil"/>
              <w:left w:val="nil"/>
              <w:bottom w:val="nil"/>
              <w:right w:val="nil"/>
            </w:tcBorders>
            <w:shd w:val="clear" w:color="auto" w:fill="auto"/>
            <w:noWrap/>
            <w:vAlign w:val="bottom"/>
            <w:hideMark/>
          </w:tcPr>
          <w:p w14:paraId="01C2BBEE"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26B04D9D" w14:textId="77777777" w:rsidR="006C1D91" w:rsidRPr="001051DF" w:rsidRDefault="006C1D91" w:rsidP="00B720D8">
            <w:pPr>
              <w:rPr>
                <w:sz w:val="20"/>
                <w:szCs w:val="20"/>
              </w:rPr>
            </w:pPr>
          </w:p>
        </w:tc>
      </w:tr>
      <w:tr w:rsidR="006C1D91" w:rsidRPr="001051DF" w14:paraId="4C53DDAE" w14:textId="77777777" w:rsidTr="00B720D8">
        <w:trPr>
          <w:trHeight w:val="300"/>
        </w:trPr>
        <w:tc>
          <w:tcPr>
            <w:tcW w:w="2140" w:type="dxa"/>
            <w:tcBorders>
              <w:top w:val="nil"/>
              <w:left w:val="nil"/>
              <w:bottom w:val="nil"/>
              <w:right w:val="nil"/>
            </w:tcBorders>
            <w:shd w:val="clear" w:color="auto" w:fill="auto"/>
            <w:noWrap/>
            <w:vAlign w:val="bottom"/>
            <w:hideMark/>
          </w:tcPr>
          <w:p w14:paraId="5697F554" w14:textId="77777777" w:rsidR="006C1D91" w:rsidRPr="001051DF" w:rsidRDefault="006C1D91" w:rsidP="00B720D8">
            <w:pPr>
              <w:rPr>
                <w:rFonts w:ascii="Calibri" w:hAnsi="Calibri"/>
                <w:color w:val="000000"/>
              </w:rPr>
            </w:pPr>
            <w:r w:rsidRPr="001051DF">
              <w:rPr>
                <w:rFonts w:ascii="Calibri" w:hAnsi="Calibri"/>
                <w:color w:val="000000"/>
              </w:rPr>
              <w:t>Multiple R</w:t>
            </w:r>
          </w:p>
        </w:tc>
        <w:tc>
          <w:tcPr>
            <w:tcW w:w="1540" w:type="dxa"/>
            <w:tcBorders>
              <w:top w:val="nil"/>
              <w:left w:val="nil"/>
              <w:bottom w:val="nil"/>
              <w:right w:val="nil"/>
            </w:tcBorders>
            <w:shd w:val="clear" w:color="auto" w:fill="auto"/>
            <w:noWrap/>
            <w:vAlign w:val="bottom"/>
            <w:hideMark/>
          </w:tcPr>
          <w:p w14:paraId="1EAB8669" w14:textId="77777777" w:rsidR="006C1D91" w:rsidRPr="001051DF" w:rsidRDefault="006C1D91" w:rsidP="00B720D8">
            <w:pPr>
              <w:jc w:val="right"/>
              <w:rPr>
                <w:rFonts w:ascii="Calibri" w:hAnsi="Calibri"/>
                <w:color w:val="000000"/>
              </w:rPr>
            </w:pPr>
            <w:r w:rsidRPr="001051DF">
              <w:rPr>
                <w:rFonts w:ascii="Calibri" w:hAnsi="Calibri"/>
                <w:color w:val="000000"/>
              </w:rPr>
              <w:t>0.551273314</w:t>
            </w:r>
          </w:p>
        </w:tc>
        <w:tc>
          <w:tcPr>
            <w:tcW w:w="1341" w:type="dxa"/>
            <w:tcBorders>
              <w:top w:val="nil"/>
              <w:left w:val="nil"/>
              <w:bottom w:val="nil"/>
              <w:right w:val="nil"/>
            </w:tcBorders>
            <w:shd w:val="clear" w:color="auto" w:fill="auto"/>
            <w:noWrap/>
            <w:vAlign w:val="bottom"/>
            <w:hideMark/>
          </w:tcPr>
          <w:p w14:paraId="35503D64" w14:textId="77777777" w:rsidR="006C1D91" w:rsidRPr="001051DF" w:rsidRDefault="006C1D91" w:rsidP="00B720D8">
            <w:pPr>
              <w:jc w:val="right"/>
              <w:rPr>
                <w:rFonts w:ascii="Calibri" w:hAnsi="Calibri"/>
                <w:color w:val="000000"/>
              </w:rPr>
            </w:pPr>
          </w:p>
        </w:tc>
        <w:tc>
          <w:tcPr>
            <w:tcW w:w="960" w:type="dxa"/>
            <w:tcBorders>
              <w:top w:val="nil"/>
              <w:left w:val="nil"/>
              <w:bottom w:val="nil"/>
              <w:right w:val="nil"/>
            </w:tcBorders>
            <w:shd w:val="clear" w:color="auto" w:fill="auto"/>
            <w:noWrap/>
            <w:vAlign w:val="bottom"/>
            <w:hideMark/>
          </w:tcPr>
          <w:p w14:paraId="624FF799"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30DA935B" w14:textId="77777777" w:rsidR="006C1D91" w:rsidRPr="001051DF" w:rsidRDefault="006C1D91" w:rsidP="00B720D8">
            <w:pPr>
              <w:rPr>
                <w:sz w:val="20"/>
                <w:szCs w:val="20"/>
              </w:rPr>
            </w:pPr>
          </w:p>
        </w:tc>
      </w:tr>
      <w:tr w:rsidR="006C1D91" w:rsidRPr="001051DF" w14:paraId="7E3946C6" w14:textId="77777777" w:rsidTr="00B720D8">
        <w:trPr>
          <w:trHeight w:val="300"/>
        </w:trPr>
        <w:tc>
          <w:tcPr>
            <w:tcW w:w="2140" w:type="dxa"/>
            <w:tcBorders>
              <w:top w:val="nil"/>
              <w:left w:val="nil"/>
              <w:bottom w:val="nil"/>
              <w:right w:val="nil"/>
            </w:tcBorders>
            <w:shd w:val="clear" w:color="auto" w:fill="auto"/>
            <w:noWrap/>
            <w:vAlign w:val="bottom"/>
            <w:hideMark/>
          </w:tcPr>
          <w:p w14:paraId="486C2AF6" w14:textId="77777777" w:rsidR="006C1D91" w:rsidRPr="001051DF" w:rsidRDefault="006C1D91" w:rsidP="00B720D8">
            <w:pPr>
              <w:rPr>
                <w:rFonts w:ascii="Calibri" w:hAnsi="Calibri"/>
                <w:color w:val="000000"/>
              </w:rPr>
            </w:pPr>
            <w:r w:rsidRPr="001051DF">
              <w:rPr>
                <w:rFonts w:ascii="Calibri" w:hAnsi="Calibri"/>
                <w:color w:val="000000"/>
              </w:rPr>
              <w:t>R Square</w:t>
            </w:r>
          </w:p>
        </w:tc>
        <w:tc>
          <w:tcPr>
            <w:tcW w:w="1540" w:type="dxa"/>
            <w:tcBorders>
              <w:top w:val="nil"/>
              <w:left w:val="nil"/>
              <w:bottom w:val="nil"/>
              <w:right w:val="nil"/>
            </w:tcBorders>
            <w:shd w:val="clear" w:color="auto" w:fill="auto"/>
            <w:noWrap/>
            <w:vAlign w:val="bottom"/>
            <w:hideMark/>
          </w:tcPr>
          <w:p w14:paraId="78B8F588" w14:textId="77777777" w:rsidR="006C1D91" w:rsidRPr="001051DF" w:rsidRDefault="006C1D91" w:rsidP="00B720D8">
            <w:pPr>
              <w:jc w:val="right"/>
              <w:rPr>
                <w:rFonts w:ascii="Calibri" w:hAnsi="Calibri"/>
                <w:color w:val="000000"/>
              </w:rPr>
            </w:pPr>
            <w:r w:rsidRPr="001051DF">
              <w:rPr>
                <w:rFonts w:ascii="Calibri" w:hAnsi="Calibri"/>
                <w:color w:val="000000"/>
              </w:rPr>
              <w:t>0.303902267</w:t>
            </w:r>
          </w:p>
        </w:tc>
        <w:tc>
          <w:tcPr>
            <w:tcW w:w="1341" w:type="dxa"/>
            <w:tcBorders>
              <w:top w:val="nil"/>
              <w:left w:val="nil"/>
              <w:bottom w:val="nil"/>
              <w:right w:val="nil"/>
            </w:tcBorders>
            <w:shd w:val="clear" w:color="auto" w:fill="auto"/>
            <w:noWrap/>
            <w:vAlign w:val="bottom"/>
            <w:hideMark/>
          </w:tcPr>
          <w:p w14:paraId="6AB05E43" w14:textId="77777777" w:rsidR="006C1D91" w:rsidRPr="001051DF" w:rsidRDefault="006C1D91" w:rsidP="00B720D8">
            <w:pPr>
              <w:jc w:val="right"/>
              <w:rPr>
                <w:rFonts w:ascii="Calibri" w:hAnsi="Calibri"/>
                <w:color w:val="000000"/>
              </w:rPr>
            </w:pPr>
          </w:p>
        </w:tc>
        <w:tc>
          <w:tcPr>
            <w:tcW w:w="960" w:type="dxa"/>
            <w:tcBorders>
              <w:top w:val="nil"/>
              <w:left w:val="nil"/>
              <w:bottom w:val="nil"/>
              <w:right w:val="nil"/>
            </w:tcBorders>
            <w:shd w:val="clear" w:color="auto" w:fill="auto"/>
            <w:noWrap/>
            <w:vAlign w:val="bottom"/>
            <w:hideMark/>
          </w:tcPr>
          <w:p w14:paraId="0B1D13EC"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75920791" w14:textId="77777777" w:rsidR="006C1D91" w:rsidRPr="001051DF" w:rsidRDefault="006C1D91" w:rsidP="00B720D8">
            <w:pPr>
              <w:rPr>
                <w:sz w:val="20"/>
                <w:szCs w:val="20"/>
              </w:rPr>
            </w:pPr>
          </w:p>
        </w:tc>
      </w:tr>
      <w:tr w:rsidR="006C1D91" w:rsidRPr="001051DF" w14:paraId="27A98171" w14:textId="77777777" w:rsidTr="00B720D8">
        <w:trPr>
          <w:trHeight w:val="300"/>
        </w:trPr>
        <w:tc>
          <w:tcPr>
            <w:tcW w:w="2140" w:type="dxa"/>
            <w:tcBorders>
              <w:top w:val="nil"/>
              <w:left w:val="nil"/>
              <w:bottom w:val="nil"/>
              <w:right w:val="nil"/>
            </w:tcBorders>
            <w:shd w:val="clear" w:color="auto" w:fill="auto"/>
            <w:noWrap/>
            <w:vAlign w:val="bottom"/>
            <w:hideMark/>
          </w:tcPr>
          <w:p w14:paraId="765D18EE" w14:textId="77777777" w:rsidR="006C1D91" w:rsidRPr="001051DF" w:rsidRDefault="006C1D91" w:rsidP="00B720D8">
            <w:pPr>
              <w:rPr>
                <w:rFonts w:ascii="Calibri" w:hAnsi="Calibri"/>
                <w:color w:val="000000"/>
              </w:rPr>
            </w:pPr>
            <w:r w:rsidRPr="001051DF">
              <w:rPr>
                <w:rFonts w:ascii="Calibri" w:hAnsi="Calibri"/>
                <w:color w:val="000000"/>
              </w:rPr>
              <w:t>Adjusted R Square</w:t>
            </w:r>
          </w:p>
        </w:tc>
        <w:tc>
          <w:tcPr>
            <w:tcW w:w="1540" w:type="dxa"/>
            <w:tcBorders>
              <w:top w:val="nil"/>
              <w:left w:val="nil"/>
              <w:bottom w:val="nil"/>
              <w:right w:val="nil"/>
            </w:tcBorders>
            <w:shd w:val="clear" w:color="auto" w:fill="auto"/>
            <w:noWrap/>
            <w:vAlign w:val="bottom"/>
            <w:hideMark/>
          </w:tcPr>
          <w:p w14:paraId="6C925E2A" w14:textId="77777777" w:rsidR="006C1D91" w:rsidRPr="001051DF" w:rsidRDefault="006C1D91" w:rsidP="00B720D8">
            <w:pPr>
              <w:jc w:val="right"/>
              <w:rPr>
                <w:rFonts w:ascii="Calibri" w:hAnsi="Calibri"/>
                <w:color w:val="000000"/>
              </w:rPr>
            </w:pPr>
            <w:r w:rsidRPr="001051DF">
              <w:rPr>
                <w:rFonts w:ascii="Calibri" w:hAnsi="Calibri"/>
                <w:color w:val="000000"/>
              </w:rPr>
              <w:t>0.273192072</w:t>
            </w:r>
          </w:p>
        </w:tc>
        <w:tc>
          <w:tcPr>
            <w:tcW w:w="1341" w:type="dxa"/>
            <w:tcBorders>
              <w:top w:val="nil"/>
              <w:left w:val="nil"/>
              <w:bottom w:val="nil"/>
              <w:right w:val="nil"/>
            </w:tcBorders>
            <w:shd w:val="clear" w:color="auto" w:fill="auto"/>
            <w:noWrap/>
            <w:vAlign w:val="bottom"/>
            <w:hideMark/>
          </w:tcPr>
          <w:p w14:paraId="46336D44" w14:textId="77777777" w:rsidR="006C1D91" w:rsidRPr="001051DF" w:rsidRDefault="006C1D91" w:rsidP="00B720D8">
            <w:pPr>
              <w:jc w:val="right"/>
              <w:rPr>
                <w:rFonts w:ascii="Calibri" w:hAnsi="Calibri"/>
                <w:color w:val="000000"/>
              </w:rPr>
            </w:pPr>
          </w:p>
        </w:tc>
        <w:tc>
          <w:tcPr>
            <w:tcW w:w="960" w:type="dxa"/>
            <w:tcBorders>
              <w:top w:val="nil"/>
              <w:left w:val="nil"/>
              <w:bottom w:val="nil"/>
              <w:right w:val="nil"/>
            </w:tcBorders>
            <w:shd w:val="clear" w:color="auto" w:fill="auto"/>
            <w:noWrap/>
            <w:vAlign w:val="bottom"/>
            <w:hideMark/>
          </w:tcPr>
          <w:p w14:paraId="3DF394DB"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44A27684" w14:textId="77777777" w:rsidR="006C1D91" w:rsidRPr="001051DF" w:rsidRDefault="006C1D91" w:rsidP="00B720D8">
            <w:pPr>
              <w:rPr>
                <w:sz w:val="20"/>
                <w:szCs w:val="20"/>
              </w:rPr>
            </w:pPr>
          </w:p>
        </w:tc>
      </w:tr>
      <w:tr w:rsidR="006C1D91" w:rsidRPr="001051DF" w14:paraId="7F74F677" w14:textId="77777777" w:rsidTr="00B720D8">
        <w:trPr>
          <w:trHeight w:val="315"/>
        </w:trPr>
        <w:tc>
          <w:tcPr>
            <w:tcW w:w="2140" w:type="dxa"/>
            <w:tcBorders>
              <w:top w:val="nil"/>
              <w:left w:val="nil"/>
              <w:bottom w:val="nil"/>
              <w:right w:val="nil"/>
            </w:tcBorders>
            <w:shd w:val="clear" w:color="auto" w:fill="auto"/>
            <w:noWrap/>
            <w:vAlign w:val="bottom"/>
            <w:hideMark/>
          </w:tcPr>
          <w:p w14:paraId="2CD79D93" w14:textId="77777777" w:rsidR="006C1D91" w:rsidRPr="001051DF" w:rsidRDefault="006C1D91" w:rsidP="00B720D8">
            <w:pPr>
              <w:rPr>
                <w:rFonts w:ascii="Calibri" w:hAnsi="Calibri"/>
                <w:color w:val="000000"/>
              </w:rPr>
            </w:pPr>
            <w:r w:rsidRPr="001051DF">
              <w:rPr>
                <w:rFonts w:ascii="Calibri" w:hAnsi="Calibri"/>
                <w:color w:val="000000"/>
              </w:rPr>
              <w:t>Standard Error</w:t>
            </w:r>
          </w:p>
        </w:tc>
        <w:tc>
          <w:tcPr>
            <w:tcW w:w="1540" w:type="dxa"/>
            <w:tcBorders>
              <w:top w:val="nil"/>
              <w:left w:val="nil"/>
              <w:bottom w:val="nil"/>
              <w:right w:val="nil"/>
            </w:tcBorders>
            <w:shd w:val="clear" w:color="auto" w:fill="auto"/>
            <w:noWrap/>
            <w:vAlign w:val="bottom"/>
            <w:hideMark/>
          </w:tcPr>
          <w:p w14:paraId="66C4DBDA" w14:textId="77777777" w:rsidR="006C1D91" w:rsidRPr="001051DF" w:rsidRDefault="006C1D91" w:rsidP="00B720D8">
            <w:pPr>
              <w:jc w:val="right"/>
              <w:rPr>
                <w:rFonts w:ascii="Calibri" w:hAnsi="Calibri"/>
                <w:color w:val="000000"/>
              </w:rPr>
            </w:pPr>
            <w:r w:rsidRPr="001051DF">
              <w:rPr>
                <w:rFonts w:ascii="Calibri" w:hAnsi="Calibri"/>
                <w:color w:val="000000"/>
              </w:rPr>
              <w:t>0.048917177</w:t>
            </w:r>
          </w:p>
        </w:tc>
        <w:tc>
          <w:tcPr>
            <w:tcW w:w="1341" w:type="dxa"/>
            <w:tcBorders>
              <w:top w:val="nil"/>
              <w:left w:val="nil"/>
              <w:bottom w:val="nil"/>
              <w:right w:val="nil"/>
            </w:tcBorders>
            <w:shd w:val="clear" w:color="auto" w:fill="auto"/>
            <w:noWrap/>
            <w:vAlign w:val="bottom"/>
            <w:hideMark/>
          </w:tcPr>
          <w:p w14:paraId="29333707" w14:textId="77777777" w:rsidR="006C1D91" w:rsidRPr="001051DF" w:rsidRDefault="006C1D91" w:rsidP="00B720D8">
            <w:pPr>
              <w:jc w:val="right"/>
              <w:rPr>
                <w:rFonts w:ascii="Calibri" w:hAnsi="Calibri"/>
                <w:color w:val="000000"/>
              </w:rPr>
            </w:pPr>
          </w:p>
        </w:tc>
        <w:tc>
          <w:tcPr>
            <w:tcW w:w="960" w:type="dxa"/>
            <w:tcBorders>
              <w:top w:val="nil"/>
              <w:left w:val="nil"/>
              <w:bottom w:val="nil"/>
              <w:right w:val="nil"/>
            </w:tcBorders>
            <w:shd w:val="clear" w:color="auto" w:fill="auto"/>
            <w:noWrap/>
            <w:vAlign w:val="bottom"/>
            <w:hideMark/>
          </w:tcPr>
          <w:p w14:paraId="2CD2D28C"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2EE417E2" w14:textId="77777777" w:rsidR="006C1D91" w:rsidRPr="001051DF" w:rsidRDefault="006C1D91" w:rsidP="00B720D8">
            <w:pPr>
              <w:rPr>
                <w:sz w:val="20"/>
                <w:szCs w:val="20"/>
              </w:rPr>
            </w:pPr>
          </w:p>
        </w:tc>
      </w:tr>
      <w:tr w:rsidR="006C1D91" w:rsidRPr="001051DF" w14:paraId="57DBF99B" w14:textId="77777777" w:rsidTr="00B720D8">
        <w:trPr>
          <w:trHeight w:val="315"/>
        </w:trPr>
        <w:tc>
          <w:tcPr>
            <w:tcW w:w="2140" w:type="dxa"/>
            <w:tcBorders>
              <w:top w:val="nil"/>
              <w:left w:val="nil"/>
              <w:bottom w:val="single" w:sz="8" w:space="0" w:color="auto"/>
              <w:right w:val="nil"/>
            </w:tcBorders>
            <w:shd w:val="clear" w:color="auto" w:fill="auto"/>
            <w:noWrap/>
            <w:vAlign w:val="bottom"/>
            <w:hideMark/>
          </w:tcPr>
          <w:p w14:paraId="45202A5E" w14:textId="77777777" w:rsidR="006C1D91" w:rsidRPr="001051DF" w:rsidRDefault="006C1D91" w:rsidP="00B720D8">
            <w:pPr>
              <w:rPr>
                <w:rFonts w:ascii="Calibri" w:hAnsi="Calibri"/>
                <w:color w:val="000000"/>
              </w:rPr>
            </w:pPr>
            <w:r w:rsidRPr="001051DF">
              <w:rPr>
                <w:rFonts w:ascii="Calibri" w:hAnsi="Calibri"/>
                <w:color w:val="000000"/>
              </w:rPr>
              <w:t>Observations</w:t>
            </w:r>
          </w:p>
        </w:tc>
        <w:tc>
          <w:tcPr>
            <w:tcW w:w="1540" w:type="dxa"/>
            <w:tcBorders>
              <w:top w:val="nil"/>
              <w:left w:val="nil"/>
              <w:bottom w:val="single" w:sz="8" w:space="0" w:color="auto"/>
              <w:right w:val="nil"/>
            </w:tcBorders>
            <w:shd w:val="clear" w:color="auto" w:fill="auto"/>
            <w:noWrap/>
            <w:vAlign w:val="bottom"/>
            <w:hideMark/>
          </w:tcPr>
          <w:p w14:paraId="7E062ACA" w14:textId="77777777" w:rsidR="006C1D91" w:rsidRPr="001051DF" w:rsidRDefault="006C1D91" w:rsidP="00B720D8">
            <w:pPr>
              <w:jc w:val="right"/>
              <w:rPr>
                <w:rFonts w:ascii="Calibri" w:hAnsi="Calibri"/>
                <w:color w:val="000000"/>
              </w:rPr>
            </w:pPr>
            <w:r w:rsidRPr="001051DF">
              <w:rPr>
                <w:rFonts w:ascii="Calibri" w:hAnsi="Calibri"/>
                <w:color w:val="000000"/>
              </w:rPr>
              <w:t>72</w:t>
            </w:r>
          </w:p>
        </w:tc>
        <w:tc>
          <w:tcPr>
            <w:tcW w:w="1341" w:type="dxa"/>
            <w:tcBorders>
              <w:top w:val="nil"/>
              <w:left w:val="nil"/>
              <w:bottom w:val="nil"/>
              <w:right w:val="nil"/>
            </w:tcBorders>
            <w:shd w:val="clear" w:color="auto" w:fill="auto"/>
            <w:noWrap/>
            <w:vAlign w:val="bottom"/>
            <w:hideMark/>
          </w:tcPr>
          <w:p w14:paraId="4DA494FF" w14:textId="77777777" w:rsidR="006C1D91" w:rsidRPr="001051DF" w:rsidRDefault="006C1D91" w:rsidP="00B720D8">
            <w:pPr>
              <w:jc w:val="right"/>
              <w:rPr>
                <w:rFonts w:ascii="Calibri" w:hAnsi="Calibri"/>
                <w:color w:val="000000"/>
              </w:rPr>
            </w:pPr>
          </w:p>
        </w:tc>
        <w:tc>
          <w:tcPr>
            <w:tcW w:w="960" w:type="dxa"/>
            <w:tcBorders>
              <w:top w:val="nil"/>
              <w:left w:val="nil"/>
              <w:bottom w:val="nil"/>
              <w:right w:val="nil"/>
            </w:tcBorders>
            <w:shd w:val="clear" w:color="auto" w:fill="auto"/>
            <w:noWrap/>
            <w:vAlign w:val="bottom"/>
            <w:hideMark/>
          </w:tcPr>
          <w:p w14:paraId="3DF4E02A"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764889D0" w14:textId="77777777" w:rsidR="006C1D91" w:rsidRPr="001051DF" w:rsidRDefault="006C1D91" w:rsidP="00B720D8">
            <w:pPr>
              <w:rPr>
                <w:sz w:val="20"/>
                <w:szCs w:val="20"/>
              </w:rPr>
            </w:pPr>
          </w:p>
        </w:tc>
      </w:tr>
      <w:tr w:rsidR="006C1D91" w:rsidRPr="001051DF" w14:paraId="2C00EA48" w14:textId="77777777" w:rsidTr="00B720D8">
        <w:trPr>
          <w:trHeight w:val="315"/>
        </w:trPr>
        <w:tc>
          <w:tcPr>
            <w:tcW w:w="2140" w:type="dxa"/>
            <w:tcBorders>
              <w:top w:val="nil"/>
              <w:left w:val="nil"/>
              <w:bottom w:val="nil"/>
              <w:right w:val="nil"/>
            </w:tcBorders>
            <w:shd w:val="clear" w:color="auto" w:fill="auto"/>
            <w:noWrap/>
            <w:vAlign w:val="bottom"/>
            <w:hideMark/>
          </w:tcPr>
          <w:p w14:paraId="2D0391B1" w14:textId="77777777" w:rsidR="006C1D91" w:rsidRPr="001051DF" w:rsidRDefault="006C1D91" w:rsidP="00B720D8">
            <w:pPr>
              <w:rPr>
                <w:sz w:val="20"/>
                <w:szCs w:val="20"/>
              </w:rPr>
            </w:pPr>
          </w:p>
        </w:tc>
        <w:tc>
          <w:tcPr>
            <w:tcW w:w="1540" w:type="dxa"/>
            <w:tcBorders>
              <w:top w:val="nil"/>
              <w:left w:val="nil"/>
              <w:bottom w:val="nil"/>
              <w:right w:val="nil"/>
            </w:tcBorders>
            <w:shd w:val="clear" w:color="auto" w:fill="auto"/>
            <w:noWrap/>
            <w:vAlign w:val="bottom"/>
            <w:hideMark/>
          </w:tcPr>
          <w:p w14:paraId="7CF8F9BB" w14:textId="77777777" w:rsidR="006C1D91" w:rsidRPr="001051DF" w:rsidRDefault="006C1D91" w:rsidP="00B720D8">
            <w:pPr>
              <w:rPr>
                <w:sz w:val="20"/>
                <w:szCs w:val="20"/>
              </w:rPr>
            </w:pPr>
          </w:p>
        </w:tc>
        <w:tc>
          <w:tcPr>
            <w:tcW w:w="1341" w:type="dxa"/>
            <w:tcBorders>
              <w:top w:val="nil"/>
              <w:left w:val="nil"/>
              <w:bottom w:val="nil"/>
              <w:right w:val="nil"/>
            </w:tcBorders>
            <w:shd w:val="clear" w:color="auto" w:fill="auto"/>
            <w:noWrap/>
            <w:vAlign w:val="bottom"/>
            <w:hideMark/>
          </w:tcPr>
          <w:p w14:paraId="7691713E"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44B25088"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07C858BC" w14:textId="77777777" w:rsidR="006C1D91" w:rsidRPr="001051DF" w:rsidRDefault="006C1D91" w:rsidP="00B720D8">
            <w:pPr>
              <w:rPr>
                <w:sz w:val="20"/>
                <w:szCs w:val="20"/>
              </w:rPr>
            </w:pPr>
          </w:p>
        </w:tc>
      </w:tr>
      <w:tr w:rsidR="006C1D91" w:rsidRPr="001051DF" w14:paraId="4A1C60BB" w14:textId="77777777" w:rsidTr="00B720D8">
        <w:trPr>
          <w:trHeight w:val="315"/>
        </w:trPr>
        <w:tc>
          <w:tcPr>
            <w:tcW w:w="2140" w:type="dxa"/>
            <w:tcBorders>
              <w:top w:val="nil"/>
              <w:left w:val="nil"/>
              <w:bottom w:val="nil"/>
              <w:right w:val="nil"/>
            </w:tcBorders>
            <w:shd w:val="clear" w:color="auto" w:fill="auto"/>
            <w:noWrap/>
            <w:vAlign w:val="bottom"/>
            <w:hideMark/>
          </w:tcPr>
          <w:p w14:paraId="3A2898A9" w14:textId="77777777" w:rsidR="006C1D91" w:rsidRPr="001051DF" w:rsidRDefault="006C1D91" w:rsidP="00B720D8">
            <w:pPr>
              <w:rPr>
                <w:rFonts w:ascii="Calibri" w:hAnsi="Calibri"/>
                <w:color w:val="000000"/>
              </w:rPr>
            </w:pPr>
            <w:r w:rsidRPr="001051DF">
              <w:rPr>
                <w:rFonts w:ascii="Calibri" w:hAnsi="Calibri"/>
                <w:color w:val="000000"/>
              </w:rPr>
              <w:t>ANOVA</w:t>
            </w:r>
          </w:p>
        </w:tc>
        <w:tc>
          <w:tcPr>
            <w:tcW w:w="1540" w:type="dxa"/>
            <w:tcBorders>
              <w:top w:val="nil"/>
              <w:left w:val="nil"/>
              <w:bottom w:val="nil"/>
              <w:right w:val="nil"/>
            </w:tcBorders>
            <w:shd w:val="clear" w:color="auto" w:fill="auto"/>
            <w:noWrap/>
            <w:vAlign w:val="bottom"/>
            <w:hideMark/>
          </w:tcPr>
          <w:p w14:paraId="42755054" w14:textId="77777777" w:rsidR="006C1D91" w:rsidRPr="001051DF" w:rsidRDefault="006C1D91" w:rsidP="00B720D8">
            <w:pPr>
              <w:rPr>
                <w:rFonts w:ascii="Calibri" w:hAnsi="Calibri"/>
                <w:color w:val="000000"/>
              </w:rPr>
            </w:pPr>
          </w:p>
        </w:tc>
        <w:tc>
          <w:tcPr>
            <w:tcW w:w="1341" w:type="dxa"/>
            <w:tcBorders>
              <w:top w:val="nil"/>
              <w:left w:val="nil"/>
              <w:bottom w:val="nil"/>
              <w:right w:val="nil"/>
            </w:tcBorders>
            <w:shd w:val="clear" w:color="auto" w:fill="auto"/>
            <w:noWrap/>
            <w:vAlign w:val="bottom"/>
            <w:hideMark/>
          </w:tcPr>
          <w:p w14:paraId="2997848D"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34C4ED7D"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01D7AD34" w14:textId="77777777" w:rsidR="006C1D91" w:rsidRPr="001051DF" w:rsidRDefault="006C1D91" w:rsidP="00B720D8">
            <w:pPr>
              <w:rPr>
                <w:sz w:val="20"/>
                <w:szCs w:val="20"/>
              </w:rPr>
            </w:pPr>
          </w:p>
        </w:tc>
      </w:tr>
      <w:tr w:rsidR="006C1D91" w:rsidRPr="001051DF" w14:paraId="4770E9F6" w14:textId="77777777" w:rsidTr="00B720D8">
        <w:trPr>
          <w:trHeight w:val="300"/>
        </w:trPr>
        <w:tc>
          <w:tcPr>
            <w:tcW w:w="2140" w:type="dxa"/>
            <w:tcBorders>
              <w:top w:val="single" w:sz="8" w:space="0" w:color="auto"/>
              <w:left w:val="nil"/>
              <w:bottom w:val="single" w:sz="4" w:space="0" w:color="auto"/>
              <w:right w:val="nil"/>
            </w:tcBorders>
            <w:shd w:val="clear" w:color="auto" w:fill="auto"/>
            <w:noWrap/>
            <w:vAlign w:val="bottom"/>
            <w:hideMark/>
          </w:tcPr>
          <w:p w14:paraId="3DB7D2A8" w14:textId="77777777" w:rsidR="006C1D91" w:rsidRPr="001051DF" w:rsidRDefault="006C1D91" w:rsidP="00B720D8">
            <w:pPr>
              <w:jc w:val="center"/>
              <w:rPr>
                <w:rFonts w:ascii="Calibri" w:hAnsi="Calibri"/>
                <w:i/>
                <w:iCs/>
                <w:color w:val="000000"/>
              </w:rPr>
            </w:pPr>
            <w:r w:rsidRPr="001051DF">
              <w:rPr>
                <w:rFonts w:ascii="Calibri" w:hAnsi="Calibri"/>
                <w:i/>
                <w:iCs/>
                <w:color w:val="000000"/>
              </w:rPr>
              <w:t> </w:t>
            </w:r>
          </w:p>
        </w:tc>
        <w:tc>
          <w:tcPr>
            <w:tcW w:w="1540" w:type="dxa"/>
            <w:tcBorders>
              <w:top w:val="single" w:sz="8" w:space="0" w:color="auto"/>
              <w:left w:val="nil"/>
              <w:bottom w:val="single" w:sz="4" w:space="0" w:color="auto"/>
              <w:right w:val="nil"/>
            </w:tcBorders>
            <w:shd w:val="clear" w:color="auto" w:fill="auto"/>
            <w:noWrap/>
            <w:vAlign w:val="bottom"/>
            <w:hideMark/>
          </w:tcPr>
          <w:p w14:paraId="50195704" w14:textId="77777777" w:rsidR="006C1D91" w:rsidRPr="001051DF" w:rsidRDefault="006C1D91" w:rsidP="00B720D8">
            <w:pPr>
              <w:jc w:val="center"/>
              <w:rPr>
                <w:rFonts w:ascii="Calibri" w:hAnsi="Calibri"/>
                <w:i/>
                <w:iCs/>
                <w:color w:val="000000"/>
              </w:rPr>
            </w:pPr>
            <w:r w:rsidRPr="001051DF">
              <w:rPr>
                <w:rFonts w:ascii="Calibri" w:hAnsi="Calibri"/>
                <w:i/>
                <w:iCs/>
                <w:color w:val="000000"/>
              </w:rPr>
              <w:t>df</w:t>
            </w:r>
          </w:p>
        </w:tc>
        <w:tc>
          <w:tcPr>
            <w:tcW w:w="1341" w:type="dxa"/>
            <w:tcBorders>
              <w:top w:val="single" w:sz="8" w:space="0" w:color="auto"/>
              <w:left w:val="nil"/>
              <w:bottom w:val="single" w:sz="4" w:space="0" w:color="auto"/>
              <w:right w:val="nil"/>
            </w:tcBorders>
            <w:shd w:val="clear" w:color="auto" w:fill="auto"/>
            <w:noWrap/>
            <w:vAlign w:val="bottom"/>
            <w:hideMark/>
          </w:tcPr>
          <w:p w14:paraId="772C0213" w14:textId="77777777" w:rsidR="006C1D91" w:rsidRPr="001051DF" w:rsidRDefault="006C1D91" w:rsidP="00B720D8">
            <w:pPr>
              <w:jc w:val="center"/>
              <w:rPr>
                <w:rFonts w:ascii="Calibri" w:hAnsi="Calibri"/>
                <w:i/>
                <w:iCs/>
                <w:color w:val="000000"/>
              </w:rPr>
            </w:pPr>
            <w:r w:rsidRPr="001051DF">
              <w:rPr>
                <w:rFonts w:ascii="Calibri" w:hAnsi="Calibri"/>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14:paraId="6E5899FF" w14:textId="77777777" w:rsidR="006C1D91" w:rsidRPr="001051DF" w:rsidRDefault="006C1D91" w:rsidP="00B720D8">
            <w:pPr>
              <w:jc w:val="center"/>
              <w:rPr>
                <w:rFonts w:ascii="Calibri" w:hAnsi="Calibri"/>
                <w:i/>
                <w:iCs/>
                <w:color w:val="000000"/>
              </w:rPr>
            </w:pPr>
            <w:r w:rsidRPr="001051DF">
              <w:rPr>
                <w:rFonts w:ascii="Calibri" w:hAnsi="Calibri"/>
                <w:i/>
                <w:iCs/>
                <w:color w:val="000000"/>
              </w:rPr>
              <w:t>MS</w:t>
            </w:r>
          </w:p>
        </w:tc>
        <w:tc>
          <w:tcPr>
            <w:tcW w:w="960" w:type="dxa"/>
            <w:tcBorders>
              <w:top w:val="single" w:sz="8" w:space="0" w:color="auto"/>
              <w:left w:val="nil"/>
              <w:bottom w:val="single" w:sz="4" w:space="0" w:color="auto"/>
              <w:right w:val="nil"/>
            </w:tcBorders>
            <w:shd w:val="clear" w:color="auto" w:fill="auto"/>
            <w:noWrap/>
            <w:vAlign w:val="bottom"/>
            <w:hideMark/>
          </w:tcPr>
          <w:p w14:paraId="5818B8A8" w14:textId="77777777" w:rsidR="006C1D91" w:rsidRPr="001051DF" w:rsidRDefault="006C1D91" w:rsidP="00B720D8">
            <w:pPr>
              <w:jc w:val="center"/>
              <w:rPr>
                <w:rFonts w:ascii="Calibri" w:hAnsi="Calibri"/>
                <w:i/>
                <w:iCs/>
                <w:color w:val="000000"/>
              </w:rPr>
            </w:pPr>
            <w:r w:rsidRPr="001051DF">
              <w:rPr>
                <w:rFonts w:ascii="Calibri" w:hAnsi="Calibri"/>
                <w:i/>
                <w:iCs/>
                <w:color w:val="000000"/>
              </w:rPr>
              <w:t>F</w:t>
            </w:r>
          </w:p>
        </w:tc>
      </w:tr>
      <w:tr w:rsidR="006C1D91" w:rsidRPr="001051DF" w14:paraId="00CAF2C2" w14:textId="77777777" w:rsidTr="00B720D8">
        <w:trPr>
          <w:trHeight w:val="300"/>
        </w:trPr>
        <w:tc>
          <w:tcPr>
            <w:tcW w:w="2140" w:type="dxa"/>
            <w:tcBorders>
              <w:top w:val="nil"/>
              <w:left w:val="nil"/>
              <w:bottom w:val="nil"/>
              <w:right w:val="nil"/>
            </w:tcBorders>
            <w:shd w:val="clear" w:color="auto" w:fill="auto"/>
            <w:noWrap/>
            <w:vAlign w:val="bottom"/>
            <w:hideMark/>
          </w:tcPr>
          <w:p w14:paraId="51CC4F8B" w14:textId="77777777" w:rsidR="006C1D91" w:rsidRPr="001051DF" w:rsidRDefault="006C1D91" w:rsidP="00B720D8">
            <w:pPr>
              <w:rPr>
                <w:rFonts w:ascii="Calibri" w:hAnsi="Calibri"/>
                <w:color w:val="000000"/>
              </w:rPr>
            </w:pPr>
            <w:r w:rsidRPr="001051DF">
              <w:rPr>
                <w:rFonts w:ascii="Calibri" w:hAnsi="Calibri"/>
                <w:color w:val="000000"/>
              </w:rPr>
              <w:t>Regression</w:t>
            </w:r>
          </w:p>
        </w:tc>
        <w:tc>
          <w:tcPr>
            <w:tcW w:w="1540" w:type="dxa"/>
            <w:tcBorders>
              <w:top w:val="nil"/>
              <w:left w:val="nil"/>
              <w:bottom w:val="nil"/>
              <w:right w:val="nil"/>
            </w:tcBorders>
            <w:shd w:val="clear" w:color="auto" w:fill="auto"/>
            <w:noWrap/>
            <w:vAlign w:val="bottom"/>
            <w:hideMark/>
          </w:tcPr>
          <w:p w14:paraId="261464C9" w14:textId="77777777" w:rsidR="006C1D91" w:rsidRPr="001051DF" w:rsidRDefault="006C1D91" w:rsidP="00B720D8">
            <w:pPr>
              <w:jc w:val="right"/>
              <w:rPr>
                <w:rFonts w:ascii="Calibri" w:hAnsi="Calibri"/>
                <w:color w:val="000000"/>
              </w:rPr>
            </w:pPr>
            <w:r w:rsidRPr="001051DF">
              <w:rPr>
                <w:rFonts w:ascii="Calibri" w:hAnsi="Calibri"/>
                <w:color w:val="000000"/>
              </w:rPr>
              <w:t>3</w:t>
            </w:r>
          </w:p>
        </w:tc>
        <w:tc>
          <w:tcPr>
            <w:tcW w:w="1341" w:type="dxa"/>
            <w:tcBorders>
              <w:top w:val="nil"/>
              <w:left w:val="nil"/>
              <w:bottom w:val="nil"/>
              <w:right w:val="nil"/>
            </w:tcBorders>
            <w:shd w:val="clear" w:color="auto" w:fill="auto"/>
            <w:noWrap/>
            <w:vAlign w:val="bottom"/>
            <w:hideMark/>
          </w:tcPr>
          <w:p w14:paraId="776B2BF6" w14:textId="77777777" w:rsidR="006C1D91" w:rsidRPr="001051DF" w:rsidRDefault="006C1D91" w:rsidP="00B720D8">
            <w:pPr>
              <w:jc w:val="right"/>
              <w:rPr>
                <w:rFonts w:ascii="Calibri" w:hAnsi="Calibri"/>
                <w:color w:val="000000"/>
              </w:rPr>
            </w:pPr>
            <w:r w:rsidRPr="001051DF">
              <w:rPr>
                <w:rFonts w:ascii="Calibri" w:hAnsi="Calibri"/>
                <w:color w:val="000000"/>
              </w:rPr>
              <w:t>0.071038765</w:t>
            </w:r>
          </w:p>
        </w:tc>
        <w:tc>
          <w:tcPr>
            <w:tcW w:w="960" w:type="dxa"/>
            <w:tcBorders>
              <w:top w:val="nil"/>
              <w:left w:val="nil"/>
              <w:bottom w:val="nil"/>
              <w:right w:val="nil"/>
            </w:tcBorders>
            <w:shd w:val="clear" w:color="auto" w:fill="auto"/>
            <w:noWrap/>
            <w:vAlign w:val="bottom"/>
            <w:hideMark/>
          </w:tcPr>
          <w:p w14:paraId="65827E5E" w14:textId="77777777" w:rsidR="006C1D91" w:rsidRPr="001051DF" w:rsidRDefault="006C1D91" w:rsidP="00B720D8">
            <w:pPr>
              <w:jc w:val="right"/>
              <w:rPr>
                <w:rFonts w:ascii="Calibri" w:hAnsi="Calibri"/>
                <w:color w:val="000000"/>
              </w:rPr>
            </w:pPr>
            <w:r w:rsidRPr="001051DF">
              <w:rPr>
                <w:rFonts w:ascii="Calibri" w:hAnsi="Calibri"/>
                <w:color w:val="000000"/>
              </w:rPr>
              <w:t>0.02368</w:t>
            </w:r>
          </w:p>
        </w:tc>
        <w:tc>
          <w:tcPr>
            <w:tcW w:w="960" w:type="dxa"/>
            <w:tcBorders>
              <w:top w:val="nil"/>
              <w:left w:val="nil"/>
              <w:bottom w:val="nil"/>
              <w:right w:val="nil"/>
            </w:tcBorders>
            <w:shd w:val="clear" w:color="auto" w:fill="auto"/>
            <w:noWrap/>
            <w:vAlign w:val="bottom"/>
            <w:hideMark/>
          </w:tcPr>
          <w:p w14:paraId="5A36BBAE" w14:textId="77777777" w:rsidR="006C1D91" w:rsidRPr="001051DF" w:rsidRDefault="006C1D91" w:rsidP="00B720D8">
            <w:pPr>
              <w:jc w:val="right"/>
              <w:rPr>
                <w:rFonts w:ascii="Calibri" w:hAnsi="Calibri"/>
                <w:color w:val="000000"/>
              </w:rPr>
            </w:pPr>
            <w:r w:rsidRPr="001051DF">
              <w:rPr>
                <w:rFonts w:ascii="Calibri" w:hAnsi="Calibri"/>
                <w:color w:val="000000"/>
              </w:rPr>
              <w:t>9.895811</w:t>
            </w:r>
          </w:p>
        </w:tc>
      </w:tr>
      <w:tr w:rsidR="006C1D91" w:rsidRPr="001051DF" w14:paraId="2C1C32A4" w14:textId="77777777" w:rsidTr="00B720D8">
        <w:trPr>
          <w:trHeight w:val="315"/>
        </w:trPr>
        <w:tc>
          <w:tcPr>
            <w:tcW w:w="2140" w:type="dxa"/>
            <w:tcBorders>
              <w:top w:val="nil"/>
              <w:left w:val="nil"/>
              <w:bottom w:val="nil"/>
              <w:right w:val="nil"/>
            </w:tcBorders>
            <w:shd w:val="clear" w:color="auto" w:fill="auto"/>
            <w:noWrap/>
            <w:vAlign w:val="bottom"/>
            <w:hideMark/>
          </w:tcPr>
          <w:p w14:paraId="04CFA936" w14:textId="77777777" w:rsidR="006C1D91" w:rsidRPr="001051DF" w:rsidRDefault="006C1D91" w:rsidP="00B720D8">
            <w:pPr>
              <w:rPr>
                <w:rFonts w:ascii="Calibri" w:hAnsi="Calibri"/>
                <w:color w:val="000000"/>
              </w:rPr>
            </w:pPr>
            <w:r w:rsidRPr="001051DF">
              <w:rPr>
                <w:rFonts w:ascii="Calibri" w:hAnsi="Calibri"/>
                <w:color w:val="000000"/>
              </w:rPr>
              <w:t>Residual</w:t>
            </w:r>
          </w:p>
        </w:tc>
        <w:tc>
          <w:tcPr>
            <w:tcW w:w="1540" w:type="dxa"/>
            <w:tcBorders>
              <w:top w:val="nil"/>
              <w:left w:val="nil"/>
              <w:bottom w:val="nil"/>
              <w:right w:val="nil"/>
            </w:tcBorders>
            <w:shd w:val="clear" w:color="auto" w:fill="auto"/>
            <w:noWrap/>
            <w:vAlign w:val="bottom"/>
            <w:hideMark/>
          </w:tcPr>
          <w:p w14:paraId="2D9B40F4" w14:textId="77777777" w:rsidR="006C1D91" w:rsidRPr="001051DF" w:rsidRDefault="006C1D91" w:rsidP="00B720D8">
            <w:pPr>
              <w:jc w:val="right"/>
              <w:rPr>
                <w:rFonts w:ascii="Calibri" w:hAnsi="Calibri"/>
                <w:color w:val="000000"/>
              </w:rPr>
            </w:pPr>
            <w:r w:rsidRPr="001051DF">
              <w:rPr>
                <w:rFonts w:ascii="Calibri" w:hAnsi="Calibri"/>
                <w:color w:val="000000"/>
              </w:rPr>
              <w:t>68</w:t>
            </w:r>
          </w:p>
        </w:tc>
        <w:tc>
          <w:tcPr>
            <w:tcW w:w="1341" w:type="dxa"/>
            <w:tcBorders>
              <w:top w:val="nil"/>
              <w:left w:val="nil"/>
              <w:bottom w:val="nil"/>
              <w:right w:val="nil"/>
            </w:tcBorders>
            <w:shd w:val="clear" w:color="auto" w:fill="auto"/>
            <w:noWrap/>
            <w:vAlign w:val="bottom"/>
            <w:hideMark/>
          </w:tcPr>
          <w:p w14:paraId="3817A8CA" w14:textId="77777777" w:rsidR="006C1D91" w:rsidRPr="001051DF" w:rsidRDefault="006C1D91" w:rsidP="00B720D8">
            <w:pPr>
              <w:jc w:val="right"/>
              <w:rPr>
                <w:rFonts w:ascii="Calibri" w:hAnsi="Calibri"/>
                <w:color w:val="000000"/>
              </w:rPr>
            </w:pPr>
            <w:r w:rsidRPr="001051DF">
              <w:rPr>
                <w:rFonts w:ascii="Calibri" w:hAnsi="Calibri"/>
                <w:color w:val="000000"/>
              </w:rPr>
              <w:t>0.162716533</w:t>
            </w:r>
          </w:p>
        </w:tc>
        <w:tc>
          <w:tcPr>
            <w:tcW w:w="960" w:type="dxa"/>
            <w:tcBorders>
              <w:top w:val="nil"/>
              <w:left w:val="nil"/>
              <w:bottom w:val="nil"/>
              <w:right w:val="nil"/>
            </w:tcBorders>
            <w:shd w:val="clear" w:color="auto" w:fill="auto"/>
            <w:noWrap/>
            <w:vAlign w:val="bottom"/>
            <w:hideMark/>
          </w:tcPr>
          <w:p w14:paraId="7EB32741" w14:textId="77777777" w:rsidR="006C1D91" w:rsidRPr="001051DF" w:rsidRDefault="006C1D91" w:rsidP="00B720D8">
            <w:pPr>
              <w:jc w:val="right"/>
              <w:rPr>
                <w:rFonts w:ascii="Calibri" w:hAnsi="Calibri"/>
                <w:color w:val="000000"/>
              </w:rPr>
            </w:pPr>
            <w:r w:rsidRPr="001051DF">
              <w:rPr>
                <w:rFonts w:ascii="Calibri" w:hAnsi="Calibri"/>
                <w:color w:val="000000"/>
              </w:rPr>
              <w:t>0.002393</w:t>
            </w:r>
          </w:p>
        </w:tc>
        <w:tc>
          <w:tcPr>
            <w:tcW w:w="960" w:type="dxa"/>
            <w:tcBorders>
              <w:top w:val="nil"/>
              <w:left w:val="nil"/>
              <w:bottom w:val="nil"/>
              <w:right w:val="nil"/>
            </w:tcBorders>
            <w:shd w:val="clear" w:color="auto" w:fill="auto"/>
            <w:noWrap/>
            <w:vAlign w:val="bottom"/>
            <w:hideMark/>
          </w:tcPr>
          <w:p w14:paraId="39F5F747" w14:textId="77777777" w:rsidR="006C1D91" w:rsidRPr="001051DF" w:rsidRDefault="006C1D91" w:rsidP="00B720D8">
            <w:pPr>
              <w:jc w:val="right"/>
              <w:rPr>
                <w:rFonts w:ascii="Calibri" w:hAnsi="Calibri"/>
                <w:color w:val="000000"/>
              </w:rPr>
            </w:pPr>
          </w:p>
        </w:tc>
      </w:tr>
      <w:tr w:rsidR="006C1D91" w:rsidRPr="001051DF" w14:paraId="76490394" w14:textId="77777777" w:rsidTr="00B720D8">
        <w:trPr>
          <w:trHeight w:val="315"/>
        </w:trPr>
        <w:tc>
          <w:tcPr>
            <w:tcW w:w="2140" w:type="dxa"/>
            <w:tcBorders>
              <w:top w:val="nil"/>
              <w:left w:val="nil"/>
              <w:bottom w:val="single" w:sz="8" w:space="0" w:color="auto"/>
              <w:right w:val="nil"/>
            </w:tcBorders>
            <w:shd w:val="clear" w:color="auto" w:fill="auto"/>
            <w:noWrap/>
            <w:vAlign w:val="bottom"/>
            <w:hideMark/>
          </w:tcPr>
          <w:p w14:paraId="50CF7ADE" w14:textId="77777777" w:rsidR="006C1D91" w:rsidRPr="001051DF" w:rsidRDefault="006C1D91" w:rsidP="00B720D8">
            <w:pPr>
              <w:rPr>
                <w:rFonts w:ascii="Calibri" w:hAnsi="Calibri"/>
                <w:color w:val="000000"/>
              </w:rPr>
            </w:pPr>
            <w:r w:rsidRPr="001051DF">
              <w:rPr>
                <w:rFonts w:ascii="Calibri" w:hAnsi="Calibri"/>
                <w:color w:val="000000"/>
              </w:rPr>
              <w:t>Total</w:t>
            </w:r>
          </w:p>
        </w:tc>
        <w:tc>
          <w:tcPr>
            <w:tcW w:w="1540" w:type="dxa"/>
            <w:tcBorders>
              <w:top w:val="nil"/>
              <w:left w:val="nil"/>
              <w:bottom w:val="single" w:sz="8" w:space="0" w:color="auto"/>
              <w:right w:val="nil"/>
            </w:tcBorders>
            <w:shd w:val="clear" w:color="auto" w:fill="auto"/>
            <w:noWrap/>
            <w:vAlign w:val="bottom"/>
            <w:hideMark/>
          </w:tcPr>
          <w:p w14:paraId="42A986D1" w14:textId="77777777" w:rsidR="006C1D91" w:rsidRPr="001051DF" w:rsidRDefault="006C1D91" w:rsidP="00B720D8">
            <w:pPr>
              <w:jc w:val="right"/>
              <w:rPr>
                <w:rFonts w:ascii="Calibri" w:hAnsi="Calibri"/>
                <w:color w:val="000000"/>
              </w:rPr>
            </w:pPr>
            <w:r w:rsidRPr="001051DF">
              <w:rPr>
                <w:rFonts w:ascii="Calibri" w:hAnsi="Calibri"/>
                <w:color w:val="000000"/>
              </w:rPr>
              <w:t>71</w:t>
            </w:r>
          </w:p>
        </w:tc>
        <w:tc>
          <w:tcPr>
            <w:tcW w:w="1341" w:type="dxa"/>
            <w:tcBorders>
              <w:top w:val="nil"/>
              <w:left w:val="nil"/>
              <w:bottom w:val="single" w:sz="8" w:space="0" w:color="auto"/>
              <w:right w:val="nil"/>
            </w:tcBorders>
            <w:shd w:val="clear" w:color="auto" w:fill="auto"/>
            <w:noWrap/>
            <w:vAlign w:val="bottom"/>
            <w:hideMark/>
          </w:tcPr>
          <w:p w14:paraId="7CA5D68A" w14:textId="77777777" w:rsidR="006C1D91" w:rsidRPr="001051DF" w:rsidRDefault="006C1D91" w:rsidP="00B720D8">
            <w:pPr>
              <w:jc w:val="right"/>
              <w:rPr>
                <w:rFonts w:ascii="Calibri" w:hAnsi="Calibri"/>
                <w:color w:val="000000"/>
              </w:rPr>
            </w:pPr>
            <w:r w:rsidRPr="001051DF">
              <w:rPr>
                <w:rFonts w:ascii="Calibri" w:hAnsi="Calibri"/>
                <w:color w:val="000000"/>
              </w:rPr>
              <w:t>0.233755298</w:t>
            </w:r>
          </w:p>
        </w:tc>
        <w:tc>
          <w:tcPr>
            <w:tcW w:w="960" w:type="dxa"/>
            <w:tcBorders>
              <w:top w:val="nil"/>
              <w:left w:val="nil"/>
              <w:bottom w:val="single" w:sz="8" w:space="0" w:color="auto"/>
              <w:right w:val="nil"/>
            </w:tcBorders>
            <w:shd w:val="clear" w:color="auto" w:fill="auto"/>
            <w:noWrap/>
            <w:vAlign w:val="bottom"/>
            <w:hideMark/>
          </w:tcPr>
          <w:p w14:paraId="01246B71" w14:textId="77777777" w:rsidR="006C1D91" w:rsidRPr="001051DF" w:rsidRDefault="006C1D91" w:rsidP="00B720D8">
            <w:pPr>
              <w:rPr>
                <w:rFonts w:ascii="Calibri" w:hAnsi="Calibri"/>
                <w:color w:val="000000"/>
              </w:rPr>
            </w:pPr>
            <w:r w:rsidRPr="001051DF">
              <w:rPr>
                <w:rFonts w:ascii="Calibri" w:hAnsi="Calibri"/>
                <w:color w:val="000000"/>
              </w:rPr>
              <w:t> </w:t>
            </w:r>
          </w:p>
        </w:tc>
        <w:tc>
          <w:tcPr>
            <w:tcW w:w="960" w:type="dxa"/>
            <w:tcBorders>
              <w:top w:val="nil"/>
              <w:left w:val="nil"/>
              <w:bottom w:val="single" w:sz="8" w:space="0" w:color="auto"/>
              <w:right w:val="nil"/>
            </w:tcBorders>
            <w:shd w:val="clear" w:color="auto" w:fill="auto"/>
            <w:noWrap/>
            <w:vAlign w:val="bottom"/>
            <w:hideMark/>
          </w:tcPr>
          <w:p w14:paraId="6D3A728A" w14:textId="77777777" w:rsidR="006C1D91" w:rsidRPr="001051DF" w:rsidRDefault="006C1D91" w:rsidP="00B720D8">
            <w:pPr>
              <w:rPr>
                <w:rFonts w:ascii="Calibri" w:hAnsi="Calibri"/>
                <w:color w:val="000000"/>
              </w:rPr>
            </w:pPr>
            <w:r w:rsidRPr="001051DF">
              <w:rPr>
                <w:rFonts w:ascii="Calibri" w:hAnsi="Calibri"/>
                <w:color w:val="000000"/>
              </w:rPr>
              <w:t> </w:t>
            </w:r>
          </w:p>
        </w:tc>
      </w:tr>
      <w:tr w:rsidR="006C1D91" w:rsidRPr="001051DF" w14:paraId="301B74D2" w14:textId="77777777" w:rsidTr="00B720D8">
        <w:trPr>
          <w:trHeight w:val="315"/>
        </w:trPr>
        <w:tc>
          <w:tcPr>
            <w:tcW w:w="2140" w:type="dxa"/>
            <w:tcBorders>
              <w:top w:val="nil"/>
              <w:left w:val="nil"/>
              <w:bottom w:val="nil"/>
              <w:right w:val="nil"/>
            </w:tcBorders>
            <w:shd w:val="clear" w:color="auto" w:fill="auto"/>
            <w:noWrap/>
            <w:vAlign w:val="bottom"/>
            <w:hideMark/>
          </w:tcPr>
          <w:p w14:paraId="6A1B3C46" w14:textId="77777777" w:rsidR="006C1D91" w:rsidRPr="001051DF" w:rsidRDefault="006C1D91" w:rsidP="00B720D8">
            <w:pPr>
              <w:rPr>
                <w:rFonts w:ascii="Calibri" w:hAnsi="Calibri"/>
                <w:color w:val="000000"/>
              </w:rPr>
            </w:pPr>
          </w:p>
        </w:tc>
        <w:tc>
          <w:tcPr>
            <w:tcW w:w="1540" w:type="dxa"/>
            <w:tcBorders>
              <w:top w:val="nil"/>
              <w:left w:val="nil"/>
              <w:bottom w:val="nil"/>
              <w:right w:val="nil"/>
            </w:tcBorders>
            <w:shd w:val="clear" w:color="auto" w:fill="auto"/>
            <w:noWrap/>
            <w:vAlign w:val="bottom"/>
            <w:hideMark/>
          </w:tcPr>
          <w:p w14:paraId="31E43ED8" w14:textId="77777777" w:rsidR="006C1D91" w:rsidRPr="001051DF" w:rsidRDefault="006C1D91" w:rsidP="00B720D8">
            <w:pPr>
              <w:rPr>
                <w:sz w:val="20"/>
                <w:szCs w:val="20"/>
              </w:rPr>
            </w:pPr>
          </w:p>
        </w:tc>
        <w:tc>
          <w:tcPr>
            <w:tcW w:w="1341" w:type="dxa"/>
            <w:tcBorders>
              <w:top w:val="nil"/>
              <w:left w:val="nil"/>
              <w:bottom w:val="nil"/>
              <w:right w:val="nil"/>
            </w:tcBorders>
            <w:shd w:val="clear" w:color="auto" w:fill="auto"/>
            <w:noWrap/>
            <w:vAlign w:val="bottom"/>
            <w:hideMark/>
          </w:tcPr>
          <w:p w14:paraId="1C4BB026"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1EB166D1" w14:textId="77777777" w:rsidR="006C1D91" w:rsidRPr="001051DF" w:rsidRDefault="006C1D91" w:rsidP="00B720D8">
            <w:pPr>
              <w:rPr>
                <w:sz w:val="20"/>
                <w:szCs w:val="20"/>
              </w:rPr>
            </w:pPr>
          </w:p>
        </w:tc>
        <w:tc>
          <w:tcPr>
            <w:tcW w:w="960" w:type="dxa"/>
            <w:tcBorders>
              <w:top w:val="nil"/>
              <w:left w:val="nil"/>
              <w:bottom w:val="nil"/>
              <w:right w:val="nil"/>
            </w:tcBorders>
            <w:shd w:val="clear" w:color="auto" w:fill="auto"/>
            <w:noWrap/>
            <w:vAlign w:val="bottom"/>
            <w:hideMark/>
          </w:tcPr>
          <w:p w14:paraId="16C21E92" w14:textId="77777777" w:rsidR="006C1D91" w:rsidRPr="001051DF" w:rsidRDefault="006C1D91" w:rsidP="00B720D8">
            <w:pPr>
              <w:rPr>
                <w:sz w:val="20"/>
                <w:szCs w:val="20"/>
              </w:rPr>
            </w:pPr>
          </w:p>
        </w:tc>
      </w:tr>
      <w:tr w:rsidR="006C1D91" w:rsidRPr="001051DF" w14:paraId="7E7B1357" w14:textId="77777777" w:rsidTr="00B720D8">
        <w:trPr>
          <w:trHeight w:val="300"/>
        </w:trPr>
        <w:tc>
          <w:tcPr>
            <w:tcW w:w="2140" w:type="dxa"/>
            <w:tcBorders>
              <w:top w:val="single" w:sz="8" w:space="0" w:color="auto"/>
              <w:left w:val="nil"/>
              <w:bottom w:val="single" w:sz="4" w:space="0" w:color="auto"/>
              <w:right w:val="nil"/>
            </w:tcBorders>
            <w:shd w:val="clear" w:color="auto" w:fill="auto"/>
            <w:noWrap/>
            <w:vAlign w:val="bottom"/>
            <w:hideMark/>
          </w:tcPr>
          <w:p w14:paraId="285D7575" w14:textId="77777777" w:rsidR="006C1D91" w:rsidRPr="001051DF" w:rsidRDefault="006C1D91" w:rsidP="00B720D8">
            <w:pPr>
              <w:jc w:val="center"/>
              <w:rPr>
                <w:rFonts w:ascii="Calibri" w:hAnsi="Calibri"/>
                <w:i/>
                <w:iCs/>
                <w:color w:val="000000"/>
              </w:rPr>
            </w:pPr>
            <w:r w:rsidRPr="001051DF">
              <w:rPr>
                <w:rFonts w:ascii="Calibri" w:hAnsi="Calibri"/>
                <w:i/>
                <w:iCs/>
                <w:color w:val="000000"/>
              </w:rPr>
              <w:t> </w:t>
            </w:r>
          </w:p>
        </w:tc>
        <w:tc>
          <w:tcPr>
            <w:tcW w:w="1540" w:type="dxa"/>
            <w:tcBorders>
              <w:top w:val="single" w:sz="8" w:space="0" w:color="auto"/>
              <w:left w:val="nil"/>
              <w:bottom w:val="single" w:sz="4" w:space="0" w:color="auto"/>
              <w:right w:val="nil"/>
            </w:tcBorders>
            <w:shd w:val="clear" w:color="auto" w:fill="auto"/>
            <w:noWrap/>
            <w:vAlign w:val="bottom"/>
            <w:hideMark/>
          </w:tcPr>
          <w:p w14:paraId="246FC2D3" w14:textId="77777777" w:rsidR="006C1D91" w:rsidRPr="001051DF" w:rsidRDefault="006C1D91" w:rsidP="00B720D8">
            <w:pPr>
              <w:jc w:val="center"/>
              <w:rPr>
                <w:rFonts w:ascii="Calibri" w:hAnsi="Calibri"/>
                <w:i/>
                <w:iCs/>
                <w:color w:val="000000"/>
              </w:rPr>
            </w:pPr>
            <w:r w:rsidRPr="001051DF">
              <w:rPr>
                <w:rFonts w:ascii="Calibri" w:hAnsi="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6E91F0C4" w14:textId="77777777" w:rsidR="006C1D91" w:rsidRPr="001051DF" w:rsidRDefault="006C1D91" w:rsidP="00B720D8">
            <w:pPr>
              <w:jc w:val="center"/>
              <w:rPr>
                <w:rFonts w:ascii="Calibri" w:hAnsi="Calibri"/>
                <w:i/>
                <w:iCs/>
                <w:color w:val="000000"/>
              </w:rPr>
            </w:pPr>
            <w:r w:rsidRPr="001051DF">
              <w:rPr>
                <w:rFonts w:ascii="Calibri" w:hAnsi="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6FCE806B" w14:textId="77777777" w:rsidR="006C1D91" w:rsidRPr="001051DF" w:rsidRDefault="006C1D91" w:rsidP="00B720D8">
            <w:pPr>
              <w:jc w:val="center"/>
              <w:rPr>
                <w:rFonts w:ascii="Calibri" w:hAnsi="Calibri"/>
                <w:i/>
                <w:iCs/>
                <w:color w:val="000000"/>
              </w:rPr>
            </w:pPr>
            <w:r w:rsidRPr="001051DF">
              <w:rPr>
                <w:rFonts w:ascii="Calibri" w:hAnsi="Calibri"/>
                <w:i/>
                <w:iCs/>
                <w:color w:val="000000"/>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60217464" w14:textId="77777777" w:rsidR="006C1D91" w:rsidRPr="001051DF" w:rsidRDefault="006C1D91" w:rsidP="00B720D8">
            <w:pPr>
              <w:jc w:val="center"/>
              <w:rPr>
                <w:rFonts w:ascii="Calibri" w:hAnsi="Calibri"/>
                <w:i/>
                <w:iCs/>
                <w:color w:val="000000"/>
              </w:rPr>
            </w:pPr>
            <w:r w:rsidRPr="001051DF">
              <w:rPr>
                <w:rFonts w:ascii="Calibri" w:hAnsi="Calibri"/>
                <w:i/>
                <w:iCs/>
                <w:color w:val="000000"/>
              </w:rPr>
              <w:t>P-value</w:t>
            </w:r>
          </w:p>
        </w:tc>
      </w:tr>
      <w:tr w:rsidR="006C1D91" w:rsidRPr="001051DF" w14:paraId="45F028F3" w14:textId="77777777" w:rsidTr="00B720D8">
        <w:trPr>
          <w:trHeight w:val="315"/>
        </w:trPr>
        <w:tc>
          <w:tcPr>
            <w:tcW w:w="2140" w:type="dxa"/>
            <w:tcBorders>
              <w:top w:val="nil"/>
              <w:left w:val="nil"/>
              <w:bottom w:val="nil"/>
              <w:right w:val="nil"/>
            </w:tcBorders>
            <w:shd w:val="clear" w:color="auto" w:fill="auto"/>
            <w:noWrap/>
            <w:vAlign w:val="bottom"/>
            <w:hideMark/>
          </w:tcPr>
          <w:p w14:paraId="52A1E9D7" w14:textId="77777777" w:rsidR="006C1D91" w:rsidRPr="001051DF" w:rsidRDefault="006C1D91" w:rsidP="00B720D8">
            <w:pPr>
              <w:rPr>
                <w:rFonts w:ascii="Calibri" w:hAnsi="Calibri"/>
                <w:color w:val="000000"/>
              </w:rPr>
            </w:pPr>
            <w:r w:rsidRPr="001051DF">
              <w:rPr>
                <w:rFonts w:ascii="Calibri" w:hAnsi="Calibri"/>
                <w:color w:val="000000"/>
              </w:rPr>
              <w:t>Intercept</w:t>
            </w:r>
          </w:p>
        </w:tc>
        <w:tc>
          <w:tcPr>
            <w:tcW w:w="1540" w:type="dxa"/>
            <w:tcBorders>
              <w:top w:val="nil"/>
              <w:left w:val="nil"/>
              <w:bottom w:val="nil"/>
              <w:right w:val="nil"/>
            </w:tcBorders>
            <w:shd w:val="clear" w:color="auto" w:fill="auto"/>
            <w:noWrap/>
            <w:vAlign w:val="bottom"/>
            <w:hideMark/>
          </w:tcPr>
          <w:p w14:paraId="2894B30D" w14:textId="77777777" w:rsidR="006C1D91" w:rsidRPr="001051DF" w:rsidRDefault="006C1D91" w:rsidP="00B720D8">
            <w:pPr>
              <w:jc w:val="right"/>
              <w:rPr>
                <w:rFonts w:ascii="Calibri" w:hAnsi="Calibri"/>
                <w:color w:val="000000"/>
              </w:rPr>
            </w:pPr>
            <w:r w:rsidRPr="001051DF">
              <w:rPr>
                <w:rFonts w:ascii="Calibri" w:hAnsi="Calibri"/>
                <w:color w:val="000000"/>
              </w:rPr>
              <w:t>-0.001637692</w:t>
            </w:r>
          </w:p>
        </w:tc>
        <w:tc>
          <w:tcPr>
            <w:tcW w:w="1341" w:type="dxa"/>
            <w:tcBorders>
              <w:top w:val="nil"/>
              <w:left w:val="nil"/>
              <w:bottom w:val="nil"/>
              <w:right w:val="nil"/>
            </w:tcBorders>
            <w:shd w:val="clear" w:color="auto" w:fill="auto"/>
            <w:noWrap/>
            <w:vAlign w:val="bottom"/>
            <w:hideMark/>
          </w:tcPr>
          <w:p w14:paraId="6BA5BA4F" w14:textId="77777777" w:rsidR="006C1D91" w:rsidRPr="001051DF" w:rsidRDefault="006C1D91" w:rsidP="00B720D8">
            <w:pPr>
              <w:jc w:val="right"/>
              <w:rPr>
                <w:rFonts w:ascii="Calibri" w:hAnsi="Calibri"/>
                <w:color w:val="000000"/>
              </w:rPr>
            </w:pPr>
            <w:r w:rsidRPr="001051DF">
              <w:rPr>
                <w:rFonts w:ascii="Calibri" w:hAnsi="Calibri"/>
                <w:color w:val="000000"/>
              </w:rPr>
              <w:t>0.006075652</w:t>
            </w:r>
          </w:p>
        </w:tc>
        <w:tc>
          <w:tcPr>
            <w:tcW w:w="960" w:type="dxa"/>
            <w:tcBorders>
              <w:top w:val="nil"/>
              <w:left w:val="nil"/>
              <w:bottom w:val="nil"/>
              <w:right w:val="nil"/>
            </w:tcBorders>
            <w:shd w:val="clear" w:color="auto" w:fill="auto"/>
            <w:noWrap/>
            <w:vAlign w:val="bottom"/>
            <w:hideMark/>
          </w:tcPr>
          <w:p w14:paraId="4FE95891" w14:textId="77777777" w:rsidR="006C1D91" w:rsidRPr="001051DF" w:rsidRDefault="006C1D91" w:rsidP="00B720D8">
            <w:pPr>
              <w:jc w:val="right"/>
              <w:rPr>
                <w:rFonts w:ascii="Calibri" w:hAnsi="Calibri"/>
                <w:color w:val="000000"/>
              </w:rPr>
            </w:pPr>
            <w:r w:rsidRPr="001051DF">
              <w:rPr>
                <w:rFonts w:ascii="Calibri" w:hAnsi="Calibri"/>
                <w:color w:val="000000"/>
              </w:rPr>
              <w:t>-0.26955</w:t>
            </w:r>
          </w:p>
        </w:tc>
        <w:tc>
          <w:tcPr>
            <w:tcW w:w="960" w:type="dxa"/>
            <w:tcBorders>
              <w:top w:val="nil"/>
              <w:left w:val="nil"/>
              <w:bottom w:val="nil"/>
              <w:right w:val="nil"/>
            </w:tcBorders>
            <w:shd w:val="clear" w:color="auto" w:fill="auto"/>
            <w:noWrap/>
            <w:vAlign w:val="bottom"/>
            <w:hideMark/>
          </w:tcPr>
          <w:p w14:paraId="45F793DC" w14:textId="77777777" w:rsidR="006C1D91" w:rsidRPr="001051DF" w:rsidRDefault="006C1D91" w:rsidP="00B720D8">
            <w:pPr>
              <w:jc w:val="right"/>
              <w:rPr>
                <w:rFonts w:ascii="Calibri" w:hAnsi="Calibri"/>
                <w:color w:val="000000"/>
              </w:rPr>
            </w:pPr>
            <w:r w:rsidRPr="001051DF">
              <w:rPr>
                <w:rFonts w:ascii="Calibri" w:hAnsi="Calibri"/>
                <w:color w:val="000000"/>
              </w:rPr>
              <w:t>0.788323</w:t>
            </w:r>
          </w:p>
        </w:tc>
      </w:tr>
      <w:tr w:rsidR="006C1D91" w:rsidRPr="001051DF" w14:paraId="1D9BA2B3" w14:textId="77777777" w:rsidTr="00B720D8">
        <w:trPr>
          <w:trHeight w:val="300"/>
        </w:trPr>
        <w:tc>
          <w:tcPr>
            <w:tcW w:w="2140" w:type="dxa"/>
            <w:tcBorders>
              <w:top w:val="nil"/>
              <w:left w:val="nil"/>
              <w:bottom w:val="nil"/>
              <w:right w:val="nil"/>
            </w:tcBorders>
            <w:shd w:val="clear" w:color="auto" w:fill="auto"/>
            <w:noWrap/>
            <w:vAlign w:val="bottom"/>
            <w:hideMark/>
          </w:tcPr>
          <w:p w14:paraId="295FDDCD" w14:textId="77777777" w:rsidR="006C1D91" w:rsidRPr="001051DF" w:rsidRDefault="006C1D91" w:rsidP="00B720D8">
            <w:pPr>
              <w:rPr>
                <w:rFonts w:ascii="Calibri" w:hAnsi="Calibri"/>
                <w:color w:val="000000"/>
              </w:rPr>
            </w:pPr>
            <w:r w:rsidRPr="001051DF">
              <w:rPr>
                <w:rFonts w:ascii="Calibri" w:hAnsi="Calibri"/>
                <w:color w:val="000000"/>
              </w:rPr>
              <w:t>RM-RF</w:t>
            </w:r>
          </w:p>
        </w:tc>
        <w:tc>
          <w:tcPr>
            <w:tcW w:w="1540" w:type="dxa"/>
            <w:tcBorders>
              <w:top w:val="nil"/>
              <w:left w:val="nil"/>
              <w:bottom w:val="nil"/>
              <w:right w:val="nil"/>
            </w:tcBorders>
            <w:shd w:val="clear" w:color="auto" w:fill="auto"/>
            <w:noWrap/>
            <w:vAlign w:val="bottom"/>
            <w:hideMark/>
          </w:tcPr>
          <w:p w14:paraId="5DCCCE0C" w14:textId="77777777" w:rsidR="006C1D91" w:rsidRPr="001051DF" w:rsidRDefault="006C1D91" w:rsidP="00B720D8">
            <w:pPr>
              <w:jc w:val="right"/>
              <w:rPr>
                <w:rFonts w:ascii="Calibri" w:hAnsi="Calibri"/>
                <w:color w:val="000000"/>
              </w:rPr>
            </w:pPr>
            <w:r w:rsidRPr="001051DF">
              <w:rPr>
                <w:rFonts w:ascii="Calibri" w:hAnsi="Calibri"/>
                <w:color w:val="000000"/>
              </w:rPr>
              <w:t>0.674135712</w:t>
            </w:r>
          </w:p>
        </w:tc>
        <w:tc>
          <w:tcPr>
            <w:tcW w:w="1341" w:type="dxa"/>
            <w:tcBorders>
              <w:top w:val="nil"/>
              <w:left w:val="nil"/>
              <w:bottom w:val="nil"/>
              <w:right w:val="nil"/>
            </w:tcBorders>
            <w:shd w:val="clear" w:color="auto" w:fill="auto"/>
            <w:noWrap/>
            <w:vAlign w:val="bottom"/>
            <w:hideMark/>
          </w:tcPr>
          <w:p w14:paraId="150994A1" w14:textId="77777777" w:rsidR="006C1D91" w:rsidRPr="001051DF" w:rsidRDefault="006C1D91" w:rsidP="00B720D8">
            <w:pPr>
              <w:jc w:val="right"/>
              <w:rPr>
                <w:rFonts w:ascii="Calibri" w:hAnsi="Calibri"/>
                <w:color w:val="000000"/>
              </w:rPr>
            </w:pPr>
            <w:r w:rsidRPr="001051DF">
              <w:rPr>
                <w:rFonts w:ascii="Calibri" w:hAnsi="Calibri"/>
                <w:color w:val="000000"/>
              </w:rPr>
              <w:t>0.183870884</w:t>
            </w:r>
          </w:p>
        </w:tc>
        <w:tc>
          <w:tcPr>
            <w:tcW w:w="960" w:type="dxa"/>
            <w:tcBorders>
              <w:top w:val="nil"/>
              <w:left w:val="nil"/>
              <w:bottom w:val="nil"/>
              <w:right w:val="nil"/>
            </w:tcBorders>
            <w:shd w:val="clear" w:color="auto" w:fill="auto"/>
            <w:noWrap/>
            <w:vAlign w:val="bottom"/>
            <w:hideMark/>
          </w:tcPr>
          <w:p w14:paraId="2B97980A" w14:textId="77777777" w:rsidR="006C1D91" w:rsidRPr="001051DF" w:rsidRDefault="006C1D91" w:rsidP="00B720D8">
            <w:pPr>
              <w:jc w:val="right"/>
              <w:rPr>
                <w:rFonts w:ascii="Calibri" w:hAnsi="Calibri"/>
                <w:color w:val="000000"/>
              </w:rPr>
            </w:pPr>
            <w:r w:rsidRPr="001051DF">
              <w:rPr>
                <w:rFonts w:ascii="Calibri" w:hAnsi="Calibri"/>
                <w:color w:val="000000"/>
              </w:rPr>
              <w:t>3.666354</w:t>
            </w:r>
          </w:p>
        </w:tc>
        <w:tc>
          <w:tcPr>
            <w:tcW w:w="960" w:type="dxa"/>
            <w:tcBorders>
              <w:top w:val="nil"/>
              <w:left w:val="nil"/>
              <w:bottom w:val="nil"/>
              <w:right w:val="nil"/>
            </w:tcBorders>
            <w:shd w:val="clear" w:color="auto" w:fill="auto"/>
            <w:noWrap/>
            <w:vAlign w:val="bottom"/>
            <w:hideMark/>
          </w:tcPr>
          <w:p w14:paraId="71B09045" w14:textId="77777777" w:rsidR="006C1D91" w:rsidRPr="001051DF" w:rsidRDefault="006C1D91" w:rsidP="00B720D8">
            <w:pPr>
              <w:jc w:val="right"/>
              <w:rPr>
                <w:rFonts w:ascii="Calibri" w:hAnsi="Calibri"/>
                <w:color w:val="000000"/>
              </w:rPr>
            </w:pPr>
            <w:r w:rsidRPr="001051DF">
              <w:rPr>
                <w:rFonts w:ascii="Calibri" w:hAnsi="Calibri"/>
                <w:color w:val="000000"/>
              </w:rPr>
              <w:t>0.000484</w:t>
            </w:r>
          </w:p>
        </w:tc>
      </w:tr>
      <w:tr w:rsidR="006C1D91" w:rsidRPr="001051DF" w14:paraId="2E3ACAC8" w14:textId="77777777" w:rsidTr="00B720D8">
        <w:trPr>
          <w:trHeight w:val="300"/>
        </w:trPr>
        <w:tc>
          <w:tcPr>
            <w:tcW w:w="2140" w:type="dxa"/>
            <w:tcBorders>
              <w:top w:val="nil"/>
              <w:left w:val="nil"/>
              <w:bottom w:val="nil"/>
              <w:right w:val="nil"/>
            </w:tcBorders>
            <w:shd w:val="clear" w:color="auto" w:fill="auto"/>
            <w:noWrap/>
            <w:vAlign w:val="bottom"/>
            <w:hideMark/>
          </w:tcPr>
          <w:p w14:paraId="76BD7BC6" w14:textId="77777777" w:rsidR="006C1D91" w:rsidRPr="001051DF" w:rsidRDefault="006C1D91" w:rsidP="00B720D8">
            <w:pPr>
              <w:rPr>
                <w:rFonts w:ascii="Calibri" w:hAnsi="Calibri"/>
                <w:color w:val="000000"/>
              </w:rPr>
            </w:pPr>
            <w:r w:rsidRPr="001051DF">
              <w:rPr>
                <w:rFonts w:ascii="Calibri" w:hAnsi="Calibri"/>
                <w:color w:val="000000"/>
              </w:rPr>
              <w:t>SMB</w:t>
            </w:r>
          </w:p>
        </w:tc>
        <w:tc>
          <w:tcPr>
            <w:tcW w:w="1540" w:type="dxa"/>
            <w:tcBorders>
              <w:top w:val="nil"/>
              <w:left w:val="nil"/>
              <w:bottom w:val="nil"/>
              <w:right w:val="nil"/>
            </w:tcBorders>
            <w:shd w:val="clear" w:color="auto" w:fill="auto"/>
            <w:noWrap/>
            <w:vAlign w:val="bottom"/>
            <w:hideMark/>
          </w:tcPr>
          <w:p w14:paraId="5E425776" w14:textId="77777777" w:rsidR="006C1D91" w:rsidRPr="001051DF" w:rsidRDefault="006C1D91" w:rsidP="00B720D8">
            <w:pPr>
              <w:jc w:val="right"/>
              <w:rPr>
                <w:rFonts w:ascii="Calibri" w:hAnsi="Calibri"/>
                <w:color w:val="000000"/>
              </w:rPr>
            </w:pPr>
            <w:r w:rsidRPr="001051DF">
              <w:rPr>
                <w:rFonts w:ascii="Calibri" w:hAnsi="Calibri"/>
                <w:color w:val="000000"/>
              </w:rPr>
              <w:t>-0.388962337</w:t>
            </w:r>
          </w:p>
        </w:tc>
        <w:tc>
          <w:tcPr>
            <w:tcW w:w="1341" w:type="dxa"/>
            <w:tcBorders>
              <w:top w:val="nil"/>
              <w:left w:val="nil"/>
              <w:bottom w:val="nil"/>
              <w:right w:val="nil"/>
            </w:tcBorders>
            <w:shd w:val="clear" w:color="auto" w:fill="auto"/>
            <w:noWrap/>
            <w:vAlign w:val="bottom"/>
            <w:hideMark/>
          </w:tcPr>
          <w:p w14:paraId="32221F83" w14:textId="77777777" w:rsidR="006C1D91" w:rsidRPr="001051DF" w:rsidRDefault="006C1D91" w:rsidP="00B720D8">
            <w:pPr>
              <w:jc w:val="right"/>
              <w:rPr>
                <w:rFonts w:ascii="Calibri" w:hAnsi="Calibri"/>
                <w:color w:val="000000"/>
              </w:rPr>
            </w:pPr>
            <w:r w:rsidRPr="001051DF">
              <w:rPr>
                <w:rFonts w:ascii="Calibri" w:hAnsi="Calibri"/>
                <w:color w:val="000000"/>
              </w:rPr>
              <w:t>0.288115566</w:t>
            </w:r>
          </w:p>
        </w:tc>
        <w:tc>
          <w:tcPr>
            <w:tcW w:w="960" w:type="dxa"/>
            <w:tcBorders>
              <w:top w:val="nil"/>
              <w:left w:val="nil"/>
              <w:bottom w:val="nil"/>
              <w:right w:val="nil"/>
            </w:tcBorders>
            <w:shd w:val="clear" w:color="auto" w:fill="auto"/>
            <w:noWrap/>
            <w:vAlign w:val="bottom"/>
            <w:hideMark/>
          </w:tcPr>
          <w:p w14:paraId="621FAFAB" w14:textId="77777777" w:rsidR="006C1D91" w:rsidRPr="001051DF" w:rsidRDefault="006C1D91" w:rsidP="00B720D8">
            <w:pPr>
              <w:jc w:val="right"/>
              <w:rPr>
                <w:rFonts w:ascii="Calibri" w:hAnsi="Calibri"/>
                <w:color w:val="000000"/>
              </w:rPr>
            </w:pPr>
            <w:r w:rsidRPr="001051DF">
              <w:rPr>
                <w:rFonts w:ascii="Calibri" w:hAnsi="Calibri"/>
                <w:color w:val="000000"/>
              </w:rPr>
              <w:t>-1.35002</w:t>
            </w:r>
          </w:p>
        </w:tc>
        <w:tc>
          <w:tcPr>
            <w:tcW w:w="960" w:type="dxa"/>
            <w:tcBorders>
              <w:top w:val="nil"/>
              <w:left w:val="nil"/>
              <w:bottom w:val="nil"/>
              <w:right w:val="nil"/>
            </w:tcBorders>
            <w:shd w:val="clear" w:color="auto" w:fill="auto"/>
            <w:noWrap/>
            <w:vAlign w:val="bottom"/>
            <w:hideMark/>
          </w:tcPr>
          <w:p w14:paraId="74A30D1B" w14:textId="77777777" w:rsidR="006C1D91" w:rsidRPr="001051DF" w:rsidRDefault="006C1D91" w:rsidP="00B720D8">
            <w:pPr>
              <w:jc w:val="right"/>
              <w:rPr>
                <w:rFonts w:ascii="Calibri" w:hAnsi="Calibri"/>
                <w:color w:val="000000"/>
              </w:rPr>
            </w:pPr>
            <w:r w:rsidRPr="001051DF">
              <w:rPr>
                <w:rFonts w:ascii="Calibri" w:hAnsi="Calibri"/>
                <w:color w:val="000000"/>
              </w:rPr>
              <w:t>0.181486</w:t>
            </w:r>
          </w:p>
        </w:tc>
      </w:tr>
      <w:tr w:rsidR="006C1D91" w:rsidRPr="001051DF" w14:paraId="336F8182" w14:textId="77777777" w:rsidTr="00B720D8">
        <w:trPr>
          <w:trHeight w:val="315"/>
        </w:trPr>
        <w:tc>
          <w:tcPr>
            <w:tcW w:w="2140" w:type="dxa"/>
            <w:tcBorders>
              <w:top w:val="nil"/>
              <w:left w:val="nil"/>
              <w:bottom w:val="single" w:sz="8" w:space="0" w:color="auto"/>
              <w:right w:val="nil"/>
            </w:tcBorders>
            <w:shd w:val="clear" w:color="auto" w:fill="auto"/>
            <w:noWrap/>
            <w:vAlign w:val="bottom"/>
            <w:hideMark/>
          </w:tcPr>
          <w:p w14:paraId="20822BCE" w14:textId="77777777" w:rsidR="006C1D91" w:rsidRPr="001051DF" w:rsidRDefault="006C1D91" w:rsidP="00B720D8">
            <w:pPr>
              <w:rPr>
                <w:rFonts w:ascii="Calibri" w:hAnsi="Calibri"/>
                <w:color w:val="000000"/>
              </w:rPr>
            </w:pPr>
            <w:r w:rsidRPr="001051DF">
              <w:rPr>
                <w:rFonts w:ascii="Calibri" w:hAnsi="Calibri"/>
                <w:color w:val="000000"/>
              </w:rPr>
              <w:t>HML</w:t>
            </w:r>
          </w:p>
        </w:tc>
        <w:tc>
          <w:tcPr>
            <w:tcW w:w="1540" w:type="dxa"/>
            <w:tcBorders>
              <w:top w:val="nil"/>
              <w:left w:val="nil"/>
              <w:bottom w:val="single" w:sz="8" w:space="0" w:color="auto"/>
              <w:right w:val="nil"/>
            </w:tcBorders>
            <w:shd w:val="clear" w:color="auto" w:fill="auto"/>
            <w:noWrap/>
            <w:vAlign w:val="bottom"/>
            <w:hideMark/>
          </w:tcPr>
          <w:p w14:paraId="3CD74CD0" w14:textId="77777777" w:rsidR="006C1D91" w:rsidRPr="001051DF" w:rsidRDefault="006C1D91" w:rsidP="00B720D8">
            <w:pPr>
              <w:jc w:val="right"/>
              <w:rPr>
                <w:rFonts w:ascii="Calibri" w:hAnsi="Calibri"/>
                <w:color w:val="000000"/>
              </w:rPr>
            </w:pPr>
            <w:r w:rsidRPr="001051DF">
              <w:rPr>
                <w:rFonts w:ascii="Calibri" w:hAnsi="Calibri"/>
                <w:color w:val="000000"/>
              </w:rPr>
              <w:t>1.039278299</w:t>
            </w:r>
          </w:p>
        </w:tc>
        <w:tc>
          <w:tcPr>
            <w:tcW w:w="1341" w:type="dxa"/>
            <w:tcBorders>
              <w:top w:val="nil"/>
              <w:left w:val="nil"/>
              <w:bottom w:val="single" w:sz="8" w:space="0" w:color="auto"/>
              <w:right w:val="nil"/>
            </w:tcBorders>
            <w:shd w:val="clear" w:color="auto" w:fill="auto"/>
            <w:noWrap/>
            <w:vAlign w:val="bottom"/>
            <w:hideMark/>
          </w:tcPr>
          <w:p w14:paraId="2AAA8C46" w14:textId="77777777" w:rsidR="006C1D91" w:rsidRPr="001051DF" w:rsidRDefault="006C1D91" w:rsidP="00B720D8">
            <w:pPr>
              <w:jc w:val="right"/>
              <w:rPr>
                <w:rFonts w:ascii="Calibri" w:hAnsi="Calibri"/>
                <w:color w:val="000000"/>
              </w:rPr>
            </w:pPr>
            <w:r w:rsidRPr="001051DF">
              <w:rPr>
                <w:rFonts w:ascii="Calibri" w:hAnsi="Calibri"/>
                <w:color w:val="000000"/>
              </w:rPr>
              <w:t>0.274113121</w:t>
            </w:r>
          </w:p>
        </w:tc>
        <w:tc>
          <w:tcPr>
            <w:tcW w:w="960" w:type="dxa"/>
            <w:tcBorders>
              <w:top w:val="nil"/>
              <w:left w:val="nil"/>
              <w:bottom w:val="single" w:sz="8" w:space="0" w:color="auto"/>
              <w:right w:val="nil"/>
            </w:tcBorders>
            <w:shd w:val="clear" w:color="auto" w:fill="auto"/>
            <w:noWrap/>
            <w:vAlign w:val="bottom"/>
            <w:hideMark/>
          </w:tcPr>
          <w:p w14:paraId="6BD4228F" w14:textId="77777777" w:rsidR="006C1D91" w:rsidRPr="001051DF" w:rsidRDefault="006C1D91" w:rsidP="00B720D8">
            <w:pPr>
              <w:jc w:val="right"/>
              <w:rPr>
                <w:rFonts w:ascii="Calibri" w:hAnsi="Calibri"/>
                <w:color w:val="000000"/>
              </w:rPr>
            </w:pPr>
            <w:r w:rsidRPr="001051DF">
              <w:rPr>
                <w:rFonts w:ascii="Calibri" w:hAnsi="Calibri"/>
                <w:color w:val="000000"/>
              </w:rPr>
              <w:t>3.791421</w:t>
            </w:r>
          </w:p>
        </w:tc>
        <w:tc>
          <w:tcPr>
            <w:tcW w:w="960" w:type="dxa"/>
            <w:tcBorders>
              <w:top w:val="nil"/>
              <w:left w:val="nil"/>
              <w:bottom w:val="single" w:sz="8" w:space="0" w:color="auto"/>
              <w:right w:val="nil"/>
            </w:tcBorders>
            <w:shd w:val="clear" w:color="auto" w:fill="auto"/>
            <w:noWrap/>
            <w:vAlign w:val="bottom"/>
            <w:hideMark/>
          </w:tcPr>
          <w:p w14:paraId="443EAC94" w14:textId="77777777" w:rsidR="006C1D91" w:rsidRPr="001051DF" w:rsidRDefault="006C1D91" w:rsidP="00B720D8">
            <w:pPr>
              <w:jc w:val="right"/>
              <w:rPr>
                <w:rFonts w:ascii="Calibri" w:hAnsi="Calibri"/>
                <w:color w:val="000000"/>
              </w:rPr>
            </w:pPr>
            <w:r w:rsidRPr="001051DF">
              <w:rPr>
                <w:rFonts w:ascii="Calibri" w:hAnsi="Calibri"/>
                <w:color w:val="000000"/>
              </w:rPr>
              <w:t>0.000321</w:t>
            </w:r>
          </w:p>
        </w:tc>
      </w:tr>
    </w:tbl>
    <w:p w14:paraId="57C8269A" w14:textId="77777777" w:rsidR="006C1D91" w:rsidRDefault="006C1D91" w:rsidP="00913F64">
      <w:pPr>
        <w:pStyle w:val="ListParagraph"/>
        <w:widowControl w:val="0"/>
        <w:numPr>
          <w:ilvl w:val="0"/>
          <w:numId w:val="20"/>
        </w:numPr>
        <w:autoSpaceDE w:val="0"/>
        <w:autoSpaceDN w:val="0"/>
        <w:adjustRightInd w:val="0"/>
        <w:rPr>
          <w:color w:val="000000"/>
        </w:rPr>
      </w:pPr>
      <w:r>
        <w:rPr>
          <w:color w:val="000000"/>
        </w:rPr>
        <w:t xml:space="preserve"> (30) Consider the following table immediately above.  The data are the results of the following regression: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exxon,t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ft</m:t>
            </m:r>
          </m:sub>
        </m:sSub>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α</m:t>
            </m:r>
          </m:e>
        </m:ac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β</m:t>
            </m:r>
          </m:e>
        </m:acc>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mt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ft</m:t>
                </m:r>
              </m:sub>
            </m:sSub>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γ</m:t>
            </m:r>
          </m:e>
        </m:acc>
        <m:r>
          <w:rPr>
            <w:rFonts w:ascii="Cambria Math" w:hAnsi="Cambria Math"/>
            <w:color w:val="000000"/>
          </w:rPr>
          <m:t>SM</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t</m:t>
            </m:r>
          </m:sub>
        </m:sSub>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δ</m:t>
            </m:r>
          </m:e>
        </m:acc>
        <m:r>
          <w:rPr>
            <w:rFonts w:ascii="Cambria Math" w:hAnsi="Cambria Math"/>
            <w:color w:val="000000"/>
          </w:rPr>
          <m:t>HML</m:t>
        </m:r>
      </m:oMath>
      <w:r>
        <w:rPr>
          <w:color w:val="000000"/>
        </w:rPr>
        <w:t>.  The risk-free rate in the regression and in the Fama French data in general is a very short-term t-bill return. The time period is 72 monthly observations 2-1-2011 to 1-3-2017.  The data are scaled so that a return of 1% is entered as 0.01.</w:t>
      </w:r>
    </w:p>
    <w:p w14:paraId="347DBBA3" w14:textId="77777777" w:rsidR="006C1D91" w:rsidRDefault="006C1D91" w:rsidP="00913F64">
      <w:pPr>
        <w:pStyle w:val="ListParagraph"/>
        <w:widowControl w:val="0"/>
        <w:numPr>
          <w:ilvl w:val="1"/>
          <w:numId w:val="20"/>
        </w:numPr>
        <w:autoSpaceDE w:val="0"/>
        <w:autoSpaceDN w:val="0"/>
        <w:adjustRightInd w:val="0"/>
        <w:rPr>
          <w:color w:val="000000"/>
        </w:rPr>
      </w:pPr>
      <w:r>
        <w:rPr>
          <w:color w:val="000000"/>
        </w:rPr>
        <w:t>(5) How much risk is idiosyncratic, and how much risk is systematic?</w:t>
      </w:r>
    </w:p>
    <w:p w14:paraId="56941FF3" w14:textId="77777777" w:rsidR="006C1D91" w:rsidRDefault="006C1D91" w:rsidP="00913F64">
      <w:pPr>
        <w:pStyle w:val="ListParagraph"/>
        <w:widowControl w:val="0"/>
        <w:numPr>
          <w:ilvl w:val="1"/>
          <w:numId w:val="20"/>
        </w:numPr>
        <w:autoSpaceDE w:val="0"/>
        <w:autoSpaceDN w:val="0"/>
        <w:adjustRightInd w:val="0"/>
        <w:rPr>
          <w:color w:val="000000"/>
        </w:rPr>
      </w:pPr>
      <w:r>
        <w:rPr>
          <w:color w:val="000000"/>
        </w:rPr>
        <w:t>(5) Is Exxon a value stock or a growth stock or neither? How do you know?</w:t>
      </w:r>
    </w:p>
    <w:p w14:paraId="0B9A8EEA" w14:textId="77777777" w:rsidR="006C1D91" w:rsidRDefault="006C1D91" w:rsidP="00913F64">
      <w:pPr>
        <w:pStyle w:val="ListParagraph"/>
        <w:widowControl w:val="0"/>
        <w:numPr>
          <w:ilvl w:val="1"/>
          <w:numId w:val="20"/>
        </w:numPr>
        <w:autoSpaceDE w:val="0"/>
        <w:autoSpaceDN w:val="0"/>
        <w:adjustRightInd w:val="0"/>
        <w:rPr>
          <w:color w:val="000000"/>
        </w:rPr>
      </w:pPr>
      <w:r>
        <w:rPr>
          <w:color w:val="000000"/>
        </w:rPr>
        <w:t xml:space="preserve">(20) Suppose you want to compute a cost of equity capital for Exxon and you want to use the Fama French 3-factor model.  For your data, you have that the monthly average returns on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m</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r>
          <w:rPr>
            <w:rFonts w:ascii="Cambria Math" w:hAnsi="Cambria Math"/>
            <w:color w:val="000000"/>
          </w:rPr>
          <m:t xml:space="preserve">, SMB </m:t>
        </m:r>
      </m:oMath>
      <w:r>
        <w:rPr>
          <w:color w:val="000000"/>
        </w:rPr>
        <w:t xml:space="preserve">and </w:t>
      </w:r>
      <m:oMath>
        <m:r>
          <w:rPr>
            <w:rFonts w:ascii="Cambria Math" w:hAnsi="Cambria Math"/>
            <w:color w:val="000000"/>
          </w:rPr>
          <m:t>HML</m:t>
        </m:r>
      </m:oMath>
      <w:r>
        <w:rPr>
          <w:color w:val="000000"/>
        </w:rPr>
        <w:t xml:space="preserve"> are .61%, .08% and -.13% respectively.  You also know that the current t-bill return is 0.03%  per month and the current t-bond return is 0.2% per month. You also know that the long-term (90 year) monthly averages in the Fama French data for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m</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r>
          <w:rPr>
            <w:rFonts w:ascii="Cambria Math" w:hAnsi="Cambria Math"/>
            <w:color w:val="000000"/>
          </w:rPr>
          <m:t xml:space="preserve">, SMB, HML and </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oMath>
      <w:r>
        <w:rPr>
          <w:color w:val="000000"/>
        </w:rPr>
        <w:t xml:space="preserve"> are 0.64%, 0.21%, 0.39% and 0.27% respectively.</w:t>
      </w:r>
    </w:p>
    <w:p w14:paraId="43694E1F" w14:textId="77777777" w:rsidR="006C1D91" w:rsidRDefault="006C1D91" w:rsidP="006C1D91">
      <w:pPr>
        <w:pStyle w:val="ListParagraph"/>
        <w:widowControl w:val="0"/>
        <w:autoSpaceDE w:val="0"/>
        <w:autoSpaceDN w:val="0"/>
        <w:adjustRightInd w:val="0"/>
        <w:ind w:left="1440"/>
        <w:rPr>
          <w:color w:val="000000"/>
        </w:rPr>
      </w:pPr>
    </w:p>
    <w:p w14:paraId="230408AC" w14:textId="2345145A" w:rsidR="00887FB7" w:rsidRPr="00023DF4" w:rsidRDefault="006C1D91" w:rsidP="006C1D91">
      <w:pPr>
        <w:pStyle w:val="ListParagraph"/>
        <w:widowControl w:val="0"/>
        <w:autoSpaceDE w:val="0"/>
        <w:autoSpaceDN w:val="0"/>
        <w:adjustRightInd w:val="0"/>
        <w:ind w:left="1440"/>
        <w:rPr>
          <w:color w:val="000000"/>
        </w:rPr>
      </w:pPr>
      <w:r>
        <w:rPr>
          <w:color w:val="000000"/>
        </w:rPr>
        <w:t>What would you use to compute the cost of equity capital for Exxon?  Explain how you computed that number and why you made the choices you did.</w:t>
      </w:r>
    </w:p>
    <w:sectPr w:rsidR="00887FB7" w:rsidRPr="00023DF4">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44567" w14:textId="77777777" w:rsidR="008D1E8E" w:rsidRDefault="008D1E8E">
      <w:r>
        <w:separator/>
      </w:r>
    </w:p>
  </w:endnote>
  <w:endnote w:type="continuationSeparator" w:id="0">
    <w:p w14:paraId="593D8FFF" w14:textId="77777777" w:rsidR="008D1E8E" w:rsidRDefault="008D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408B6" w14:textId="77777777" w:rsidR="00800604" w:rsidRDefault="00800604" w:rsidP="009275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408B7" w14:textId="77777777" w:rsidR="00800604" w:rsidRDefault="00800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408B8" w14:textId="36EA50D1" w:rsidR="00800604" w:rsidRDefault="00800604" w:rsidP="009275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1BCF">
      <w:rPr>
        <w:rStyle w:val="PageNumber"/>
        <w:noProof/>
      </w:rPr>
      <w:t>1</w:t>
    </w:r>
    <w:r>
      <w:rPr>
        <w:rStyle w:val="PageNumber"/>
      </w:rPr>
      <w:fldChar w:fldCharType="end"/>
    </w:r>
  </w:p>
  <w:p w14:paraId="230408B9" w14:textId="77777777" w:rsidR="00800604" w:rsidRDefault="00800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8D9D0" w14:textId="77777777" w:rsidR="008D1E8E" w:rsidRDefault="008D1E8E">
      <w:r>
        <w:separator/>
      </w:r>
    </w:p>
  </w:footnote>
  <w:footnote w:type="continuationSeparator" w:id="0">
    <w:p w14:paraId="0492EA4D" w14:textId="77777777" w:rsidR="008D1E8E" w:rsidRDefault="008D1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F40"/>
    <w:multiLevelType w:val="hybridMultilevel"/>
    <w:tmpl w:val="32BCB59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E532BDC"/>
    <w:multiLevelType w:val="hybridMultilevel"/>
    <w:tmpl w:val="89701A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1B635F6"/>
    <w:multiLevelType w:val="hybridMultilevel"/>
    <w:tmpl w:val="DE366F1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1ECF2B20"/>
    <w:multiLevelType w:val="hybridMultilevel"/>
    <w:tmpl w:val="4D3EBB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7900BB8"/>
    <w:multiLevelType w:val="hybridMultilevel"/>
    <w:tmpl w:val="1550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555BB"/>
    <w:multiLevelType w:val="hybridMultilevel"/>
    <w:tmpl w:val="521EA9F6"/>
    <w:lvl w:ilvl="0" w:tplc="9AD43FB4">
      <w:start w:val="1"/>
      <w:numFmt w:val="lowerLetter"/>
      <w:lvlText w:val="%1."/>
      <w:lvlJc w:val="left"/>
      <w:pPr>
        <w:tabs>
          <w:tab w:val="num" w:pos="1080"/>
        </w:tabs>
        <w:ind w:left="1080" w:hanging="360"/>
      </w:pPr>
      <w:rPr>
        <w:rFonts w:ascii="Times New Roman" w:hAnsi="Times New Roman"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B7A2F8E"/>
    <w:multiLevelType w:val="hybridMultilevel"/>
    <w:tmpl w:val="61B86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A0CBC"/>
    <w:multiLevelType w:val="hybridMultilevel"/>
    <w:tmpl w:val="154EB9F4"/>
    <w:lvl w:ilvl="0" w:tplc="097E6E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1626BF"/>
    <w:multiLevelType w:val="hybridMultilevel"/>
    <w:tmpl w:val="169A8A76"/>
    <w:lvl w:ilvl="0" w:tplc="B238C070">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9" w15:restartNumberingAfterBreak="0">
    <w:nsid w:val="34101A7F"/>
    <w:multiLevelType w:val="hybridMultilevel"/>
    <w:tmpl w:val="C10A5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03EB6"/>
    <w:multiLevelType w:val="hybridMultilevel"/>
    <w:tmpl w:val="1AB6084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8BF44D2"/>
    <w:multiLevelType w:val="hybridMultilevel"/>
    <w:tmpl w:val="9140A9B4"/>
    <w:lvl w:ilvl="0" w:tplc="AA74B2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6253007"/>
    <w:multiLevelType w:val="hybridMultilevel"/>
    <w:tmpl w:val="82DEF39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3773B5"/>
    <w:multiLevelType w:val="hybridMultilevel"/>
    <w:tmpl w:val="C2D27BC4"/>
    <w:lvl w:ilvl="0" w:tplc="1582942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69A4332"/>
    <w:multiLevelType w:val="hybridMultilevel"/>
    <w:tmpl w:val="DF845D78"/>
    <w:lvl w:ilvl="0" w:tplc="7B528E3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1B4F36"/>
    <w:multiLevelType w:val="hybridMultilevel"/>
    <w:tmpl w:val="8BD29656"/>
    <w:lvl w:ilvl="0" w:tplc="9F2035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F5C73"/>
    <w:multiLevelType w:val="hybridMultilevel"/>
    <w:tmpl w:val="083419BE"/>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15:restartNumberingAfterBreak="0">
    <w:nsid w:val="4F0701F0"/>
    <w:multiLevelType w:val="hybridMultilevel"/>
    <w:tmpl w:val="C10A58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4A57FC"/>
    <w:multiLevelType w:val="hybridMultilevel"/>
    <w:tmpl w:val="3E2207B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5ADE4BEA"/>
    <w:multiLevelType w:val="hybridMultilevel"/>
    <w:tmpl w:val="D1A2B0BC"/>
    <w:lvl w:ilvl="0" w:tplc="15B66A7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CA03446"/>
    <w:multiLevelType w:val="hybridMultilevel"/>
    <w:tmpl w:val="F176DE50"/>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CD7319"/>
    <w:multiLevelType w:val="hybridMultilevel"/>
    <w:tmpl w:val="A32A11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D5553EF"/>
    <w:multiLevelType w:val="hybridMultilevel"/>
    <w:tmpl w:val="2FB24C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2A2136"/>
    <w:multiLevelType w:val="hybridMultilevel"/>
    <w:tmpl w:val="AF1AF882"/>
    <w:lvl w:ilvl="0" w:tplc="3C4EF7C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260"/>
        </w:tabs>
        <w:ind w:left="12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265897"/>
    <w:multiLevelType w:val="hybridMultilevel"/>
    <w:tmpl w:val="46B4D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5048B"/>
    <w:multiLevelType w:val="hybridMultilevel"/>
    <w:tmpl w:val="55BA2360"/>
    <w:lvl w:ilvl="0" w:tplc="9C2E3F3C">
      <w:start w:val="1"/>
      <w:numFmt w:val="decimal"/>
      <w:lvlText w:val="%1."/>
      <w:lvlJc w:val="left"/>
      <w:pPr>
        <w:ind w:left="81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0A5CE4"/>
    <w:multiLevelType w:val="hybridMultilevel"/>
    <w:tmpl w:val="16725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F78CA"/>
    <w:multiLevelType w:val="hybridMultilevel"/>
    <w:tmpl w:val="B93CA6FA"/>
    <w:lvl w:ilvl="0" w:tplc="E13C3D5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3"/>
  </w:num>
  <w:num w:numId="4">
    <w:abstractNumId w:val="20"/>
  </w:num>
  <w:num w:numId="5">
    <w:abstractNumId w:val="10"/>
  </w:num>
  <w:num w:numId="6">
    <w:abstractNumId w:val="0"/>
  </w:num>
  <w:num w:numId="7">
    <w:abstractNumId w:val="16"/>
  </w:num>
  <w:num w:numId="8">
    <w:abstractNumId w:val="27"/>
  </w:num>
  <w:num w:numId="9">
    <w:abstractNumId w:val="19"/>
  </w:num>
  <w:num w:numId="10">
    <w:abstractNumId w:val="13"/>
  </w:num>
  <w:num w:numId="11">
    <w:abstractNumId w:val="1"/>
  </w:num>
  <w:num w:numId="12">
    <w:abstractNumId w:val="21"/>
  </w:num>
  <w:num w:numId="13">
    <w:abstractNumId w:val="18"/>
  </w:num>
  <w:num w:numId="14">
    <w:abstractNumId w:val="22"/>
  </w:num>
  <w:num w:numId="15">
    <w:abstractNumId w:val="24"/>
  </w:num>
  <w:num w:numId="16">
    <w:abstractNumId w:val="14"/>
  </w:num>
  <w:num w:numId="17">
    <w:abstractNumId w:val="7"/>
  </w:num>
  <w:num w:numId="18">
    <w:abstractNumId w:val="2"/>
  </w:num>
  <w:num w:numId="19">
    <w:abstractNumId w:val="26"/>
  </w:num>
  <w:num w:numId="20">
    <w:abstractNumId w:val="23"/>
  </w:num>
  <w:num w:numId="21">
    <w:abstractNumId w:val="8"/>
  </w:num>
  <w:num w:numId="22">
    <w:abstractNumId w:val="15"/>
  </w:num>
  <w:num w:numId="23">
    <w:abstractNumId w:val="25"/>
  </w:num>
  <w:num w:numId="24">
    <w:abstractNumId w:val="12"/>
  </w:num>
  <w:num w:numId="25">
    <w:abstractNumId w:val="4"/>
  </w:num>
  <w:num w:numId="26">
    <w:abstractNumId w:val="6"/>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43"/>
    <w:rsid w:val="0000480B"/>
    <w:rsid w:val="00023DF4"/>
    <w:rsid w:val="00024FBA"/>
    <w:rsid w:val="00027CD5"/>
    <w:rsid w:val="00036358"/>
    <w:rsid w:val="00062A21"/>
    <w:rsid w:val="00084043"/>
    <w:rsid w:val="000D021B"/>
    <w:rsid w:val="000F235A"/>
    <w:rsid w:val="000F436A"/>
    <w:rsid w:val="00106F65"/>
    <w:rsid w:val="001268D1"/>
    <w:rsid w:val="001272DF"/>
    <w:rsid w:val="0016171B"/>
    <w:rsid w:val="00161B3C"/>
    <w:rsid w:val="001B6C71"/>
    <w:rsid w:val="001C0250"/>
    <w:rsid w:val="001E6513"/>
    <w:rsid w:val="001F44BD"/>
    <w:rsid w:val="0021522C"/>
    <w:rsid w:val="002D685C"/>
    <w:rsid w:val="003148AC"/>
    <w:rsid w:val="003170E5"/>
    <w:rsid w:val="003430F0"/>
    <w:rsid w:val="003859D9"/>
    <w:rsid w:val="00393902"/>
    <w:rsid w:val="00397A12"/>
    <w:rsid w:val="003C2D12"/>
    <w:rsid w:val="003C4C40"/>
    <w:rsid w:val="00423B75"/>
    <w:rsid w:val="004337E1"/>
    <w:rsid w:val="0045733B"/>
    <w:rsid w:val="00457C15"/>
    <w:rsid w:val="00461257"/>
    <w:rsid w:val="004613C7"/>
    <w:rsid w:val="00467886"/>
    <w:rsid w:val="004721B2"/>
    <w:rsid w:val="004855E7"/>
    <w:rsid w:val="0048739F"/>
    <w:rsid w:val="0049360C"/>
    <w:rsid w:val="004B786E"/>
    <w:rsid w:val="0050570A"/>
    <w:rsid w:val="0053245A"/>
    <w:rsid w:val="00536231"/>
    <w:rsid w:val="00577B7D"/>
    <w:rsid w:val="00584E76"/>
    <w:rsid w:val="00597B69"/>
    <w:rsid w:val="005E7D0B"/>
    <w:rsid w:val="00631BCF"/>
    <w:rsid w:val="006A18FE"/>
    <w:rsid w:val="006C1554"/>
    <w:rsid w:val="006C1D91"/>
    <w:rsid w:val="006F21B2"/>
    <w:rsid w:val="00744EAF"/>
    <w:rsid w:val="00777DA3"/>
    <w:rsid w:val="007916E3"/>
    <w:rsid w:val="00800604"/>
    <w:rsid w:val="00863B03"/>
    <w:rsid w:val="00866957"/>
    <w:rsid w:val="00872E01"/>
    <w:rsid w:val="00887FB7"/>
    <w:rsid w:val="008A0219"/>
    <w:rsid w:val="008D1E8E"/>
    <w:rsid w:val="008E1D6A"/>
    <w:rsid w:val="008F6B8E"/>
    <w:rsid w:val="009117EE"/>
    <w:rsid w:val="00913F64"/>
    <w:rsid w:val="009275A2"/>
    <w:rsid w:val="00927770"/>
    <w:rsid w:val="00951C88"/>
    <w:rsid w:val="009A1D6D"/>
    <w:rsid w:val="009D1E25"/>
    <w:rsid w:val="009E14CA"/>
    <w:rsid w:val="009E2302"/>
    <w:rsid w:val="009E75C2"/>
    <w:rsid w:val="009F1D24"/>
    <w:rsid w:val="00A10905"/>
    <w:rsid w:val="00A23DDB"/>
    <w:rsid w:val="00AA4C53"/>
    <w:rsid w:val="00AD5C10"/>
    <w:rsid w:val="00B007FE"/>
    <w:rsid w:val="00B13781"/>
    <w:rsid w:val="00B24942"/>
    <w:rsid w:val="00B8258A"/>
    <w:rsid w:val="00B91382"/>
    <w:rsid w:val="00B92602"/>
    <w:rsid w:val="00BB7199"/>
    <w:rsid w:val="00C062F4"/>
    <w:rsid w:val="00C27011"/>
    <w:rsid w:val="00C50C64"/>
    <w:rsid w:val="00C578E7"/>
    <w:rsid w:val="00C621DE"/>
    <w:rsid w:val="00C86E41"/>
    <w:rsid w:val="00CC3829"/>
    <w:rsid w:val="00CE1FC1"/>
    <w:rsid w:val="00CF095B"/>
    <w:rsid w:val="00D1750A"/>
    <w:rsid w:val="00D61130"/>
    <w:rsid w:val="00D63738"/>
    <w:rsid w:val="00D8538B"/>
    <w:rsid w:val="00D869E2"/>
    <w:rsid w:val="00DE35B4"/>
    <w:rsid w:val="00DF2E66"/>
    <w:rsid w:val="00E14244"/>
    <w:rsid w:val="00E6325E"/>
    <w:rsid w:val="00EF518B"/>
    <w:rsid w:val="00F1560F"/>
    <w:rsid w:val="00F24995"/>
    <w:rsid w:val="00F929BF"/>
    <w:rsid w:val="00F960C7"/>
    <w:rsid w:val="00FC3D69"/>
    <w:rsid w:val="00FD222F"/>
    <w:rsid w:val="00FF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40782"/>
  <w15:docId w15:val="{9B5E2785-D636-4875-9D32-443F75C0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0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84043"/>
    <w:pPr>
      <w:tabs>
        <w:tab w:val="center" w:pos="4320"/>
        <w:tab w:val="right" w:pos="8640"/>
      </w:tabs>
    </w:pPr>
  </w:style>
  <w:style w:type="character" w:styleId="PageNumber">
    <w:name w:val="page number"/>
    <w:basedOn w:val="DefaultParagraphFont"/>
    <w:rsid w:val="00084043"/>
  </w:style>
  <w:style w:type="paragraph" w:styleId="ListParagraph">
    <w:name w:val="List Paragraph"/>
    <w:basedOn w:val="Normal"/>
    <w:uiPriority w:val="34"/>
    <w:qFormat/>
    <w:rsid w:val="003430F0"/>
    <w:pPr>
      <w:ind w:left="720"/>
      <w:contextualSpacing/>
    </w:pPr>
  </w:style>
  <w:style w:type="character" w:styleId="PlaceholderText">
    <w:name w:val="Placeholder Text"/>
    <w:basedOn w:val="DefaultParagraphFont"/>
    <w:uiPriority w:val="99"/>
    <w:semiHidden/>
    <w:rsid w:val="009A1D6D"/>
    <w:rPr>
      <w:color w:val="808080"/>
    </w:rPr>
  </w:style>
  <w:style w:type="paragraph" w:styleId="BalloonText">
    <w:name w:val="Balloon Text"/>
    <w:basedOn w:val="Normal"/>
    <w:link w:val="BalloonTextChar"/>
    <w:rsid w:val="009A1D6D"/>
    <w:rPr>
      <w:rFonts w:ascii="Tahoma" w:hAnsi="Tahoma" w:cs="Tahoma"/>
      <w:sz w:val="16"/>
      <w:szCs w:val="16"/>
    </w:rPr>
  </w:style>
  <w:style w:type="character" w:customStyle="1" w:styleId="BalloonTextChar">
    <w:name w:val="Balloon Text Char"/>
    <w:basedOn w:val="DefaultParagraphFont"/>
    <w:link w:val="BalloonText"/>
    <w:rsid w:val="009A1D6D"/>
    <w:rPr>
      <w:rFonts w:ascii="Tahoma" w:hAnsi="Tahoma" w:cs="Tahoma"/>
      <w:sz w:val="16"/>
      <w:szCs w:val="16"/>
    </w:rPr>
  </w:style>
  <w:style w:type="table" w:styleId="TableGrid">
    <w:name w:val="Table Grid"/>
    <w:basedOn w:val="TableNormal"/>
    <w:rsid w:val="00AA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1D91"/>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66235">
      <w:bodyDiv w:val="1"/>
      <w:marLeft w:val="0"/>
      <w:marRight w:val="0"/>
      <w:marTop w:val="0"/>
      <w:marBottom w:val="0"/>
      <w:divBdr>
        <w:top w:val="none" w:sz="0" w:space="0" w:color="auto"/>
        <w:left w:val="none" w:sz="0" w:space="0" w:color="auto"/>
        <w:bottom w:val="none" w:sz="0" w:space="0" w:color="auto"/>
        <w:right w:val="none" w:sz="0" w:space="0" w:color="auto"/>
      </w:divBdr>
    </w:div>
    <w:div w:id="1375538921">
      <w:bodyDiv w:val="1"/>
      <w:marLeft w:val="0"/>
      <w:marRight w:val="0"/>
      <w:marTop w:val="0"/>
      <w:marBottom w:val="0"/>
      <w:divBdr>
        <w:top w:val="none" w:sz="0" w:space="0" w:color="auto"/>
        <w:left w:val="none" w:sz="0" w:space="0" w:color="auto"/>
        <w:bottom w:val="none" w:sz="0" w:space="0" w:color="auto"/>
        <w:right w:val="none" w:sz="0" w:space="0" w:color="auto"/>
      </w:divBdr>
    </w:div>
    <w:div w:id="17575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1EBB5-88F8-4F33-AA16-C307A61A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You can invest $100 in a risky asset with an expected rate of return of 0</vt:lpstr>
    </vt:vector>
  </TitlesOfParts>
  <Company>University of Colorado</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can invest $100 in a risky asset with an expected rate of return of 0</dc:title>
  <dc:creator>hughsone</dc:creator>
  <cp:lastModifiedBy>Hughson, Eric</cp:lastModifiedBy>
  <cp:revision>7</cp:revision>
  <cp:lastPrinted>2013-11-20T17:25:00Z</cp:lastPrinted>
  <dcterms:created xsi:type="dcterms:W3CDTF">2017-11-28T20:38:00Z</dcterms:created>
  <dcterms:modified xsi:type="dcterms:W3CDTF">2018-12-05T16:42:00Z</dcterms:modified>
</cp:coreProperties>
</file>