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01" w:rsidRDefault="00F60501" w:rsidP="00F60501">
      <w:r>
        <w:t xml:space="preserve">A few weeks ago, I compared the performance of leading Energy Sector exchange-traded-funds (ETFs) to the performance of the leading ETFs in other sectors such as healthcare, consumer staples, utilities, etc. The funds I looked at were all comprised of companies that primarily operated in </w:t>
      </w:r>
      <w:r w:rsidRPr="00F60501">
        <w:t>the following Sub-Industry Allocations: Oil &amp; Gas Exploration &amp; Production, Oil &amp; Gas Refining &amp; Marketing, and Integrated Oil &amp; Gas.</w:t>
      </w:r>
    </w:p>
    <w:p w:rsidR="00F60501" w:rsidRPr="000F0D67" w:rsidRDefault="00F60501" w:rsidP="00F60501"/>
    <w:p w:rsidR="000F0D67" w:rsidRPr="000F0D67" w:rsidRDefault="00F60501" w:rsidP="000F0D67">
      <w:r w:rsidRPr="000F0D67">
        <w:t xml:space="preserve">This time around, I will be analyzing the funds that focus on the Sub-Industry Allocation: </w:t>
      </w:r>
      <w:r w:rsidR="000F0D67" w:rsidRPr="000F0D67">
        <w:t>Global Oil &amp; Gas Equipment &amp; Services</w:t>
      </w:r>
    </w:p>
    <w:p w:rsidR="00F60501" w:rsidRPr="000F0D67" w:rsidRDefault="00F60501" w:rsidP="00F60501"/>
    <w:p w:rsidR="003D3D03" w:rsidRDefault="000F0D67">
      <w:bookmarkStart w:id="0" w:name="_GoBack"/>
      <w:bookmarkEnd w:id="0"/>
    </w:p>
    <w:sectPr w:rsidR="003D3D03" w:rsidSect="00C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01"/>
    <w:rsid w:val="000A34BC"/>
    <w:rsid w:val="000F0D67"/>
    <w:rsid w:val="00A363FC"/>
    <w:rsid w:val="00CD1AF4"/>
    <w:rsid w:val="00F24E26"/>
    <w:rsid w:val="00F6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28ADD"/>
  <w14:defaultImageDpi w14:val="32767"/>
  <w15:chartTrackingRefBased/>
  <w15:docId w15:val="{5F5412AD-0649-354D-B9B3-D202F64B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Caudill</dc:creator>
  <cp:keywords/>
  <dc:description/>
  <cp:lastModifiedBy>Austin Caudill</cp:lastModifiedBy>
  <cp:revision>1</cp:revision>
  <dcterms:created xsi:type="dcterms:W3CDTF">2020-12-01T16:02:00Z</dcterms:created>
  <dcterms:modified xsi:type="dcterms:W3CDTF">2020-12-01T16:47:00Z</dcterms:modified>
</cp:coreProperties>
</file>