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B7F3B"/>
          <w:sz w:val="56"/>
          <w:szCs w:val="56"/>
        </w:rPr>
        <w:t xml:space="preserve">Shigo</w:t>
      </w:r>
    </w:p>
    <w:p>
      <w:pPr>
        <w:spacing w:after="60"/>
      </w:pPr>
      <w:r>
        <w:rPr>
          <w:rFonts w:ascii="Calibri" w:cs="Calibri" w:eastAsia="Calibri" w:hAnsi="Calibri"/>
          <w:color w:val="666666"/>
          <w:sz w:val="22"/>
          <w:szCs w:val="22"/>
        </w:rPr>
        <w:t xml:space="preserve">InnovateX 2026 build brief  ·  Track A, Inclusive Finance  ·  check CAC and app stores before printing the name</w:t>
      </w:r>
    </w:p>
    <w:p>
      <w:pPr>
        <w:pBdr>
          <w:bottom w:val="single" w:color="1B7F3B" w:sz="6" w:space="4"/>
        </w:pBdr>
        <w:spacing w:after="240"/>
      </w:pPr>
      <w:r>
        <w:rPr>
          <w:rFonts w:ascii="Calibri" w:cs="Calibri" w:eastAsia="Calibri" w:hAnsi="Calibri"/>
          <w:i/>
          <w:iCs/>
          <w:color w:val="666666"/>
          <w:sz w:val="20"/>
          <w:szCs w:val="20"/>
        </w:rPr>
        <w:t xml:space="preserve">Prepared 25 September 2026. Finale 30 October 2026. Written so that anyone on the team, technical or not, can read it end to end.</w:t>
      </w:r>
    </w:p>
    <w:p>
      <w:pPr>
        <w:pStyle w:val="Heading1"/>
        <w:spacing w:after="140" w:before="320"/>
      </w:pPr>
      <w:r>
        <w:rPr>
          <w:rFonts w:ascii="Calibri" w:cs="Calibri" w:eastAsia="Calibri" w:hAnsi="Calibri"/>
          <w:b/>
          <w:bCs/>
          <w:color w:val="1B7F3B"/>
          <w:sz w:val="30"/>
          <w:szCs w:val="30"/>
        </w:rPr>
        <w:t xml:space="preserve">1. What we are building, in one paragraph</w:t>
      </w:r>
    </w:p>
    <w:p>
      <w:pPr>
        <w:spacing w:after="120" w:line="300"/>
      </w:pPr>
      <w:r>
        <w:rPr>
          <w:rFonts w:ascii="Calibri" w:cs="Calibri" w:eastAsia="Calibri" w:hAnsi="Calibri"/>
          <w:sz w:val="22"/>
          <w:szCs w:val="22"/>
        </w:rPr>
        <w:t xml:space="preserve">We are building one thing: a small app that tells a student seller, with certainty, that the money for an order has actually arrived in their Ecobank Blaze account, and that turns every confirmed payment into a line in a record the student can later show Ecobank when applying for a loan. The demo is one screen turning green because a real bank callback arrived, not because a customer showed a screenshot.</w:t>
      </w:r>
    </w:p>
    <w:p>
      <w:pPr>
        <w:spacing w:after="120" w:line="300"/>
      </w:pPr>
      <w:r>
        <w:rPr>
          <w:rFonts w:ascii="Calibri" w:cs="Calibri" w:eastAsia="Calibri" w:hAnsi="Calibri"/>
          <w:sz w:val="22"/>
          <w:szCs w:val="22"/>
        </w:rPr>
        <w:t xml:space="preserve">Why this can win: it attacks a fraud that was in the national news on 20 September 2026 (fake transfer receipts), it uses the bank's own rails, and it answers the two things listed first on Track A: credit solutions for youths, and fraud detection. It does both with the same data, so we build one product, not two.</w:t>
      </w:r>
    </w:p>
    <w:p>
      <w:pPr>
        <w:spacing w:after="120" w:line="300"/>
      </w:pPr>
      <w:r>
        <w:rPr>
          <w:rFonts w:ascii="Calibri" w:cs="Calibri" w:eastAsia="Calibri" w:hAnsi="Calibri"/>
          <w:b/>
          <w:bCs/>
          <w:sz w:val="22"/>
          <w:szCs w:val="22"/>
        </w:rPr>
        <w:t xml:space="preserve">The name.</w:t>
      </w:r>
      <w:r>
        <w:rPr>
          <w:rFonts w:ascii="Calibri" w:cs="Calibri" w:eastAsia="Calibri" w:hAnsi="Calibri"/>
          <w:sz w:val="22"/>
          <w:szCs w:val="22"/>
        </w:rPr>
        <w:t xml:space="preserve"> Shigo is the Hausa verb for "enter", so the name is the question every seller already asks: has it entered? Two syllables. You say it once on the title slide, "Shigo. It has entered." After that the word is the green state: an order is shigo, or it is not. No translation slide, no slogan to memorise. Search the CAC register and both app stores before printing it.</w:t>
      </w:r>
    </w:p>
    <w:p>
      <w:pPr>
        <w:pStyle w:val="Heading1"/>
        <w:spacing w:after="140" w:before="320"/>
      </w:pPr>
      <w:r>
        <w:rPr>
          <w:rFonts w:ascii="Calibri" w:cs="Calibri" w:eastAsia="Calibri" w:hAnsi="Calibri"/>
          <w:b/>
          <w:bCs/>
          <w:color w:val="1B7F3B"/>
          <w:sz w:val="30"/>
          <w:szCs w:val="30"/>
        </w:rPr>
        <w:t xml:space="preserve">2. The problem, in simple words</w:t>
      </w:r>
    </w:p>
    <w:p>
      <w:pPr>
        <w:spacing w:after="120" w:line="300"/>
      </w:pPr>
      <w:r>
        <w:rPr>
          <w:rFonts w:ascii="Calibri" w:cs="Calibri" w:eastAsia="Calibri" w:hAnsi="Calibri"/>
          <w:sz w:val="22"/>
          <w:szCs w:val="22"/>
        </w:rPr>
        <w:t xml:space="preserve">When someone pays a seller by bank transfer, the seller has to decide: has the money really come in? Today most sellers decide by looking at the </w:t>
      </w:r>
      <w:r>
        <w:rPr>
          <w:rFonts w:ascii="Calibri" w:cs="Calibri" w:eastAsia="Calibri" w:hAnsi="Calibri"/>
          <w:b/>
          <w:bCs/>
          <w:sz w:val="22"/>
          <w:szCs w:val="22"/>
        </w:rPr>
        <w:t xml:space="preserve">buyer's</w:t>
      </w:r>
      <w:r>
        <w:rPr>
          <w:rFonts w:ascii="Calibri" w:cs="Calibri" w:eastAsia="Calibri" w:hAnsi="Calibri"/>
          <w:sz w:val="22"/>
          <w:szCs w:val="22"/>
        </w:rPr>
        <w:t xml:space="preserve"> phone. That is the hole.</w:t>
      </w:r>
    </w:p>
    <w:p>
      <w:pPr>
        <w:spacing w:after="120" w:line="300"/>
      </w:pPr>
      <w:r>
        <w:rPr>
          <w:rFonts w:ascii="Calibri" w:cs="Calibri" w:eastAsia="Calibri" w:hAnsi="Calibri"/>
          <w:sz w:val="22"/>
          <w:szCs w:val="22"/>
        </w:rPr>
        <w:t xml:space="preserve">Three things make the hole dangerous:</w:t>
      </w:r>
    </w:p>
    <w:p>
      <w:pPr>
        <w:pStyle w:val="ListParagraph"/>
        <w:numPr>
          <w:ilvl w:val="0"/>
          <w:numId w:val="2"/>
        </w:numPr>
        <w:spacing w:after="80" w:line="290"/>
      </w:pPr>
      <w:r>
        <w:rPr>
          <w:rFonts w:ascii="Calibri" w:cs="Calibri" w:eastAsia="Calibri" w:hAnsi="Calibri"/>
          <w:b/>
          <w:bCs/>
          <w:sz w:val="22"/>
          <w:szCs w:val="22"/>
        </w:rPr>
        <w:t xml:space="preserve">Fake receipts are cheap and easy.</w:t>
      </w:r>
      <w:r>
        <w:rPr>
          <w:rFonts w:ascii="Calibri" w:cs="Calibri" w:eastAsia="Calibri" w:hAnsi="Calibri"/>
          <w:sz w:val="22"/>
          <w:szCs w:val="22"/>
        </w:rPr>
        <w:t xml:space="preserve"> On 20 September 2026, Sahara Reporters showed a website called Slipcraft that makes fake OPay, Kuda and PalmPay transfer screens and receipts. Its Telegram group has over 61,000 members. A fake ₦10,000 transfer screen costs 475 points; the receipt costs 650 points. Kuda confirmed the site impersonates its brand.</w:t>
      </w:r>
    </w:p>
    <w:p>
      <w:pPr>
        <w:pStyle w:val="ListParagraph"/>
        <w:numPr>
          <w:ilvl w:val="0"/>
          <w:numId w:val="2"/>
        </w:numPr>
        <w:spacing w:after="80" w:line="290"/>
      </w:pPr>
      <w:r>
        <w:rPr>
          <w:rFonts w:ascii="Calibri" w:cs="Calibri" w:eastAsia="Calibri" w:hAnsi="Calibri"/>
          <w:b/>
          <w:bCs/>
          <w:sz w:val="22"/>
          <w:szCs w:val="22"/>
        </w:rPr>
        <w:t xml:space="preserve">Real credits are slow.</w:t>
      </w:r>
      <w:r>
        <w:rPr>
          <w:rFonts w:ascii="Calibri" w:cs="Calibri" w:eastAsia="Calibri" w:hAnsi="Calibri"/>
          <w:sz w:val="22"/>
          <w:szCs w:val="22"/>
        </w:rPr>
        <w:t xml:space="preserve"> Punch (Godfrey George, 15 February 2025) surveyed 330 traders at Balogun, Mile 12, Oyingbo and Tejuosho. 64% had waited more than 30 minutes for a real credit to show. In that gap, the fake receipt looks true.</w:t>
      </w:r>
    </w:p>
    <w:p>
      <w:pPr>
        <w:pStyle w:val="ListParagraph"/>
        <w:numPr>
          <w:ilvl w:val="0"/>
          <w:numId w:val="2"/>
        </w:numPr>
        <w:spacing w:after="80" w:line="290"/>
      </w:pPr>
      <w:r>
        <w:rPr>
          <w:rFonts w:ascii="Calibri" w:cs="Calibri" w:eastAsia="Calibri" w:hAnsi="Calibri"/>
          <w:b/>
          <w:bCs/>
          <w:sz w:val="22"/>
          <w:szCs w:val="22"/>
        </w:rPr>
        <w:t xml:space="preserve">Sellers are giving up on transfers.</w:t>
      </w:r>
      <w:r>
        <w:rPr>
          <w:rFonts w:ascii="Calibri" w:cs="Calibri" w:eastAsia="Calibri" w:hAnsi="Calibri"/>
          <w:sz w:val="22"/>
          <w:szCs w:val="22"/>
        </w:rPr>
        <w:t xml:space="preserve"> Same survey: 52% had seen a fake alert at least once, 27% had lost money, 15% had stopped accepting transfers, and 71% preferred cash. Nigeria's cashless push is losing its smallest sellers.</w:t>
      </w:r>
    </w:p>
    <w:p>
      <w:pPr>
        <w:spacing w:after="120" w:line="300"/>
      </w:pPr>
      <w:r>
        <w:rPr>
          <w:rFonts w:ascii="Calibri" w:cs="Calibri" w:eastAsia="Calibri" w:hAnsi="Calibri"/>
          <w:sz w:val="22"/>
          <w:szCs w:val="22"/>
        </w:rPr>
        <w:t xml:space="preserve">This is not the same as the big fraud numbers in the news. NIBSS reported ₦25.85 billion lost to digital fraud in 2025, but that is mostly social engineering and insider abuse inside banks. Our problem is smaller, more everyday, and unsolved for anyone without a POS device: </w:t>
      </w:r>
      <w:r>
        <w:rPr>
          <w:rFonts w:ascii="Calibri" w:cs="Calibri" w:eastAsia="Calibri" w:hAnsi="Calibri"/>
          <w:b/>
          <w:bCs/>
          <w:sz w:val="22"/>
          <w:szCs w:val="22"/>
        </w:rPr>
        <w:t xml:space="preserve">a seller with a plain bank account cannot prove, in the moment, that they were paid.</w:t>
      </w:r>
    </w:p>
    <w:p>
      <w:pPr>
        <w:spacing w:after="120" w:line="300"/>
      </w:pPr>
      <w:r>
        <w:rPr>
          <w:rFonts w:ascii="Calibri" w:cs="Calibri" w:eastAsia="Calibri" w:hAnsi="Calibri"/>
          <w:sz w:val="22"/>
          <w:szCs w:val="22"/>
        </w:rPr>
        <w:t xml:space="preserve">A second, quieter problem: those same student sellers earn real money every month, but none of it is visible to a bank as evidence they can repay a loan. The income exists; the record does not.</w:t>
      </w:r>
    </w:p>
    <w:p>
      <w:pPr>
        <w:spacing w:after="120" w:line="300"/>
      </w:pPr>
      <w:r>
        <w:rPr>
          <w:rFonts w:ascii="Calibri" w:cs="Calibri" w:eastAsia="Calibri" w:hAnsi="Calibri"/>
          <w:b/>
          <w:bCs/>
          <w:sz w:val="22"/>
          <w:szCs w:val="22"/>
        </w:rPr>
        <w:t xml:space="preserve">One sentence to say on stage, because the 64% will be used against us:</w:t>
      </w:r>
      <w:r>
        <w:rPr>
          <w:rFonts w:ascii="Calibri" w:cs="Calibri" w:eastAsia="Calibri" w:hAnsi="Calibri"/>
          <w:sz w:val="22"/>
          <w:szCs w:val="22"/>
        </w:rPr>
        <w:t xml:space="preserve"> we are not making bank transfers faster. Amber means the goods stay on the table. Green means the bank has posted the credit, which is often sooner than the SMS the seller was waiting for. The fake receipt stops working in that gap.</w:t>
      </w:r>
    </w:p>
    <w:p>
      <w:pPr>
        <w:pStyle w:val="Heading1"/>
        <w:spacing w:after="140" w:before="320"/>
      </w:pPr>
      <w:r>
        <w:rPr>
          <w:rFonts w:ascii="Calibri" w:cs="Calibri" w:eastAsia="Calibri" w:hAnsi="Calibri"/>
          <w:b/>
          <w:bCs/>
          <w:color w:val="1B7F3B"/>
          <w:sz w:val="30"/>
          <w:szCs w:val="30"/>
        </w:rPr>
        <w:t xml:space="preserve">3. Who it is for</w:t>
      </w:r>
    </w:p>
    <w:p>
      <w:pPr>
        <w:spacing w:after="120" w:line="300"/>
      </w:pPr>
      <w:r>
        <w:rPr>
          <w:rFonts w:ascii="Calibri" w:cs="Calibri" w:eastAsia="Calibri" w:hAnsi="Calibri"/>
          <w:b/>
          <w:bCs/>
          <w:sz w:val="22"/>
          <w:szCs w:val="22"/>
        </w:rPr>
        <w:t xml:space="preserve">Student sellers aged 18 to 25 who run a business on WhatsApp and can hold an Ecobank Blaze account.</w:t>
      </w:r>
      <w:r>
        <w:rPr>
          <w:rFonts w:ascii="Calibri" w:cs="Calibri" w:eastAsia="Calibri" w:hAnsi="Calibri"/>
          <w:sz w:val="22"/>
          <w:szCs w:val="22"/>
        </w:rPr>
        <w:t xml:space="preserve"> Hair, thrift clothes, food, phone accessories, skincare, printing, data bundles. They receive payments into a personal account and hand over goods before the credit shows.</w:t>
      </w:r>
    </w:p>
    <w:p>
      <w:pPr>
        <w:spacing w:after="120" w:line="300"/>
      </w:pPr>
      <w:r>
        <w:rPr>
          <w:rFonts w:ascii="Calibri" w:cs="Calibri" w:eastAsia="Calibri" w:hAnsi="Calibri"/>
          <w:sz w:val="22"/>
          <w:szCs w:val="22"/>
        </w:rPr>
        <w:t xml:space="preserve">Why this exact person and not a market trader:</w:t>
      </w:r>
    </w:p>
    <w:p>
      <w:pPr>
        <w:pStyle w:val="ListParagraph"/>
        <w:numPr>
          <w:ilvl w:val="0"/>
          <w:numId w:val="3"/>
        </w:numPr>
        <w:spacing w:after="80" w:line="290"/>
      </w:pPr>
      <w:r>
        <w:rPr>
          <w:rFonts w:ascii="Calibri" w:cs="Calibri" w:eastAsia="Calibri" w:hAnsi="Calibri"/>
          <w:sz w:val="22"/>
          <w:szCs w:val="22"/>
        </w:rPr>
        <w:t xml:space="preserve">The market is real and large. The Garage surveyed more than 4,000 students in 55 institutions across 29 states (TechCabal, 16 March 2026): two-thirds already earn money, one in four runs a business, and 53% of those businesses sell mainly through WhatsApp.</w:t>
      </w:r>
    </w:p>
    <w:p>
      <w:pPr>
        <w:pStyle w:val="ListParagraph"/>
        <w:numPr>
          <w:ilvl w:val="0"/>
          <w:numId w:val="3"/>
        </w:numPr>
        <w:spacing w:after="80" w:line="290"/>
      </w:pPr>
      <w:r>
        <w:rPr>
          <w:rFonts w:ascii="Calibri" w:cs="Calibri" w:eastAsia="Calibri" w:hAnsi="Calibri"/>
          <w:sz w:val="22"/>
          <w:szCs w:val="22"/>
        </w:rPr>
        <w:t xml:space="preserve">They are the exact people who can open Blaze (16 to 25), the account this product depends on.</w:t>
      </w:r>
    </w:p>
    <w:p>
      <w:pPr>
        <w:pStyle w:val="ListParagraph"/>
        <w:numPr>
          <w:ilvl w:val="0"/>
          <w:numId w:val="3"/>
        </w:numPr>
        <w:spacing w:after="80" w:line="290"/>
      </w:pPr>
      <w:r>
        <w:rPr>
          <w:rFonts w:ascii="Calibri" w:cs="Calibri" w:eastAsia="Calibri" w:hAnsi="Calibri"/>
          <w:sz w:val="22"/>
          <w:szCs w:val="22"/>
        </w:rPr>
        <w:t xml:space="preserve">Market women have already chosen cash or bought a soundbox. We will not move them in five weeks. Students on campus we can reach in a day.</w:t>
      </w:r>
    </w:p>
    <w:p>
      <w:pPr>
        <w:pStyle w:val="ListParagraph"/>
        <w:numPr>
          <w:ilvl w:val="0"/>
          <w:numId w:val="3"/>
        </w:numPr>
        <w:spacing w:after="80" w:line="290"/>
      </w:pPr>
      <w:r>
        <w:rPr>
          <w:rFonts w:ascii="Calibri" w:cs="Calibri" w:eastAsia="Calibri" w:hAnsi="Calibri"/>
          <w:sz w:val="22"/>
          <w:szCs w:val="22"/>
        </w:rPr>
        <w:t xml:space="preserve">They will be corps members in one to three years, which is who Ecobank's Blaze page says its CrediCorp loans are for. Their payment history now is their loan file later.</w:t>
      </w:r>
    </w:p>
    <w:p>
      <w:pPr>
        <w:spacing w:after="120" w:line="300"/>
      </w:pPr>
      <w:r>
        <w:rPr>
          <w:rFonts w:ascii="Calibri" w:cs="Calibri" w:eastAsia="Calibri" w:hAnsi="Calibri"/>
          <w:b/>
          <w:bCs/>
          <w:sz w:val="22"/>
          <w:szCs w:val="22"/>
        </w:rPr>
        <w:t xml:space="preserve">What changes for the seller, honestly:</w:t>
      </w:r>
      <w:r>
        <w:rPr>
          <w:rFonts w:ascii="Calibri" w:cs="Calibri" w:eastAsia="Calibri" w:hAnsi="Calibri"/>
          <w:sz w:val="22"/>
          <w:szCs w:val="22"/>
        </w:rPr>
        <w:t xml:space="preserve"> payments for orders made through the app land in their Blaze account. Their OPay or PalmPay account can stay for everything else. Do not say "they change nothing"; a judge will hear the demo contradict it.</w:t>
      </w:r>
    </w:p>
    <w:p>
      <w:pPr>
        <w:spacing w:after="120" w:line="300"/>
      </w:pPr>
      <w:r>
        <w:rPr>
          <w:rFonts w:ascii="Calibri" w:cs="Calibri" w:eastAsia="Calibri" w:hAnsi="Calibri"/>
          <w:sz w:val="22"/>
          <w:szCs w:val="22"/>
        </w:rPr>
        <w:t xml:space="preserve">Who it is </w:t>
      </w:r>
      <w:r>
        <w:rPr>
          <w:rFonts w:ascii="Calibri" w:cs="Calibri" w:eastAsia="Calibri" w:hAnsi="Calibri"/>
          <w:b/>
          <w:bCs/>
          <w:sz w:val="22"/>
          <w:szCs w:val="22"/>
        </w:rPr>
        <w:t xml:space="preserve">not</w:t>
      </w:r>
      <w:r>
        <w:rPr>
          <w:rFonts w:ascii="Calibri" w:cs="Calibri" w:eastAsia="Calibri" w:hAnsi="Calibri"/>
          <w:sz w:val="22"/>
          <w:szCs w:val="22"/>
        </w:rPr>
        <w:t xml:space="preserve"> for in this version: shops with a POS terminal, OPay or Moniepoint merchants with a soundbox, and anyone under 18 (BVN enrolment has been 18+ since 1 May 2026, so they cannot open the account).</w:t>
      </w:r>
    </w:p>
    <w:p>
      <w:pPr>
        <w:pStyle w:val="Heading1"/>
        <w:spacing w:after="140" w:before="320"/>
      </w:pPr>
      <w:r>
        <w:rPr>
          <w:rFonts w:ascii="Calibri" w:cs="Calibri" w:eastAsia="Calibri" w:hAnsi="Calibri"/>
          <w:b/>
          <w:bCs/>
          <w:color w:val="1B7F3B"/>
          <w:sz w:val="30"/>
          <w:szCs w:val="30"/>
        </w:rPr>
        <w:t xml:space="preserve">4. How it works, step by step</w:t>
      </w:r>
    </w:p>
    <w:p>
      <w:pPr>
        <w:spacing w:after="120" w:line="300"/>
      </w:pPr>
      <w:r>
        <w:rPr>
          <w:rFonts w:ascii="Calibri" w:cs="Calibri" w:eastAsia="Calibri" w:hAnsi="Calibri"/>
          <w:sz w:val="22"/>
          <w:szCs w:val="22"/>
        </w:rPr>
        <w:t xml:space="preserve">One loop. Every order goes through it.</w:t>
      </w:r>
    </w:p>
    <w:p>
      <w:pPr>
        <w:pStyle w:val="ListParagraph"/>
        <w:numPr>
          <w:ilvl w:val="0"/>
          <w:numId w:val="4"/>
        </w:numPr>
        <w:spacing w:after="80" w:line="290"/>
      </w:pPr>
      <w:r>
        <w:rPr>
          <w:rFonts w:ascii="Calibri" w:cs="Calibri" w:eastAsia="Calibri" w:hAnsi="Calibri"/>
          <w:b/>
          <w:bCs/>
          <w:sz w:val="22"/>
          <w:szCs w:val="22"/>
        </w:rPr>
        <w:t xml:space="preserve">Seller creates an order.</w:t>
      </w:r>
      <w:r>
        <w:rPr>
          <w:rFonts w:ascii="Calibri" w:cs="Calibri" w:eastAsia="Calibri" w:hAnsi="Calibri"/>
          <w:sz w:val="22"/>
          <w:szCs w:val="22"/>
        </w:rPr>
        <w:t xml:space="preserve"> They type the amount (say ₦4,500) and an optional note ("2 wigs, Ada"). The app creates a unique payment reference for that order only.</w:t>
      </w:r>
    </w:p>
    <w:p>
      <w:pPr>
        <w:pStyle w:val="ListParagraph"/>
        <w:numPr>
          <w:ilvl w:val="0"/>
          <w:numId w:val="4"/>
        </w:numPr>
        <w:spacing w:after="80" w:line="290"/>
      </w:pPr>
      <w:r>
        <w:rPr>
          <w:rFonts w:ascii="Calibri" w:cs="Calibri" w:eastAsia="Calibri" w:hAnsi="Calibri"/>
          <w:b/>
          <w:bCs/>
          <w:sz w:val="22"/>
          <w:szCs w:val="22"/>
        </w:rPr>
        <w:t xml:space="preserve">Buyer pays from any bank.</w:t>
      </w:r>
      <w:r>
        <w:rPr>
          <w:rFonts w:ascii="Calibri" w:cs="Calibri" w:eastAsia="Calibri" w:hAnsi="Calibri"/>
          <w:sz w:val="22"/>
          <w:szCs w:val="22"/>
        </w:rPr>
        <w:t xml:space="preserve"> The seller sends the buyer the payment details on WhatsApp. The buyer transfers the normal way, from any bank or wallet. They do not install anything. Receiving money does not use up any of the seller's three free monthly transfers; those are outbound.</w:t>
      </w:r>
    </w:p>
    <w:p>
      <w:pPr>
        <w:pStyle w:val="ListParagraph"/>
        <w:numPr>
          <w:ilvl w:val="0"/>
          <w:numId w:val="4"/>
        </w:numPr>
        <w:spacing w:after="80" w:line="290"/>
      </w:pPr>
      <w:r>
        <w:rPr>
          <w:rFonts w:ascii="Calibri" w:cs="Calibri" w:eastAsia="Calibri" w:hAnsi="Calibri"/>
          <w:b/>
          <w:bCs/>
          <w:sz w:val="22"/>
          <w:szCs w:val="22"/>
        </w:rPr>
        <w:t xml:space="preserve">The bank tells us, not the buyer.</w:t>
      </w:r>
      <w:r>
        <w:rPr>
          <w:rFonts w:ascii="Calibri" w:cs="Calibri" w:eastAsia="Calibri" w:hAnsi="Calibri"/>
          <w:sz w:val="22"/>
          <w:szCs w:val="22"/>
        </w:rPr>
        <w:t xml:space="preserve"> When the money lands in the seller's Ecobank account, Ecobank's system sends our server a message (a webhook). Our server matches that message to the order.</w:t>
      </w:r>
    </w:p>
    <w:p>
      <w:pPr>
        <w:pStyle w:val="ListParagraph"/>
        <w:numPr>
          <w:ilvl w:val="0"/>
          <w:numId w:val="4"/>
        </w:numPr>
        <w:spacing w:after="80" w:line="290"/>
      </w:pPr>
      <w:r>
        <w:rPr>
          <w:rFonts w:ascii="Calibri" w:cs="Calibri" w:eastAsia="Calibri" w:hAnsi="Calibri"/>
          <w:b/>
          <w:bCs/>
          <w:sz w:val="22"/>
          <w:szCs w:val="22"/>
        </w:rPr>
        <w:t xml:space="preserve">The screen goes green: Shigo.</w:t>
      </w:r>
      <w:r>
        <w:rPr>
          <w:rFonts w:ascii="Calibri" w:cs="Calibri" w:eastAsia="Calibri" w:hAnsi="Calibri"/>
          <w:sz w:val="22"/>
          <w:szCs w:val="22"/>
        </w:rPr>
        <w:t xml:space="preserve"> The seller's phone shows the order as paid with a sound, within seconds of the real credit. If nothing arrives, the order stays amber. There is no red state based on a screenshot; there is only "the bank has confirmed" or "not yet".</w:t>
      </w:r>
    </w:p>
    <w:p>
      <w:pPr>
        <w:pStyle w:val="ListParagraph"/>
        <w:numPr>
          <w:ilvl w:val="0"/>
          <w:numId w:val="4"/>
        </w:numPr>
        <w:spacing w:after="80" w:line="290"/>
      </w:pPr>
      <w:r>
        <w:rPr>
          <w:rFonts w:ascii="Calibri" w:cs="Calibri" w:eastAsia="Calibri" w:hAnsi="Calibri"/>
          <w:b/>
          <w:bCs/>
          <w:sz w:val="22"/>
          <w:szCs w:val="22"/>
        </w:rPr>
        <w:t xml:space="preserve">The ledger grows by one row.</w:t>
      </w:r>
      <w:r>
        <w:rPr>
          <w:rFonts w:ascii="Calibri" w:cs="Calibri" w:eastAsia="Calibri" w:hAnsi="Calibri"/>
          <w:sz w:val="22"/>
          <w:szCs w:val="22"/>
        </w:rPr>
        <w:t xml:space="preserve"> Date, amount, payer reference, order note. Totals by week and month.</w:t>
      </w:r>
    </w:p>
    <w:p>
      <w:pPr>
        <w:pStyle w:val="ListParagraph"/>
        <w:numPr>
          <w:ilvl w:val="0"/>
          <w:numId w:val="4"/>
        </w:numPr>
        <w:spacing w:after="80" w:line="290"/>
      </w:pPr>
      <w:r>
        <w:rPr>
          <w:rFonts w:ascii="Calibri" w:cs="Calibri" w:eastAsia="Calibri" w:hAnsi="Calibri"/>
          <w:b/>
          <w:bCs/>
          <w:sz w:val="22"/>
          <w:szCs w:val="22"/>
        </w:rPr>
        <w:t xml:space="preserve">The seller can export the record.</w:t>
      </w:r>
      <w:r>
        <w:rPr>
          <w:rFonts w:ascii="Calibri" w:cs="Calibri" w:eastAsia="Calibri" w:hAnsi="Calibri"/>
          <w:sz w:val="22"/>
          <w:szCs w:val="22"/>
        </w:rPr>
        <w:t xml:space="preserve"> One page: months of verified inflows, number of paid orders, average order size. This is what they attach to a loan application.</w:t>
      </w:r>
    </w:p>
    <w:p>
      <w:pPr>
        <w:pStyle w:val="ListParagraph"/>
        <w:numPr>
          <w:ilvl w:val="0"/>
          <w:numId w:val="4"/>
        </w:numPr>
        <w:spacing w:after="80" w:line="290"/>
      </w:pPr>
      <w:r>
        <w:rPr>
          <w:rFonts w:ascii="Calibri" w:cs="Calibri" w:eastAsia="Calibri" w:hAnsi="Calibri"/>
          <w:b/>
          <w:bCs/>
          <w:sz w:val="22"/>
          <w:szCs w:val="22"/>
        </w:rPr>
        <w:t xml:space="preserve">If someone shows a fake receipt</w:t>
      </w:r>
      <w:r>
        <w:rPr>
          <w:rFonts w:ascii="Calibri" w:cs="Calibri" w:eastAsia="Calibri" w:hAnsi="Calibri"/>
          <w:sz w:val="22"/>
          <w:szCs w:val="22"/>
        </w:rPr>
        <w:t xml:space="preserve">, the seller taps "report attempt". The app packages the order, amount, time and the image the seller was shown, and lets the seller send it to their own bank's fraud desk. That is where the app stops. We never build a shared blacklist.</w:t>
      </w:r>
    </w:p>
    <w:p>
      <w:pPr>
        <w:pStyle w:val="Heading2"/>
        <w:spacing w:after="100" w:before="200"/>
      </w:pPr>
      <w:r>
        <w:rPr>
          <w:rFonts w:ascii="Calibri" w:cs="Calibri" w:eastAsia="Calibri" w:hAnsi="Calibri"/>
          <w:b/>
          <w:bCs/>
          <w:sz w:val="25"/>
          <w:szCs w:val="25"/>
        </w:rPr>
        <w:t xml:space="preserve">Matching rules, which are code, not preference</w:t>
      </w:r>
    </w:p>
    <w:p>
      <w:pPr>
        <w:pStyle w:val="ListParagraph"/>
        <w:numPr>
          <w:ilvl w:val="0"/>
          <w:numId w:val="3"/>
        </w:numPr>
        <w:spacing w:after="80" w:line="290"/>
      </w:pPr>
      <w:r>
        <w:rPr>
          <w:rFonts w:ascii="Calibri" w:cs="Calibri" w:eastAsia="Calibri" w:hAnsi="Calibri"/>
          <w:sz w:val="22"/>
          <w:szCs w:val="22"/>
        </w:rPr>
        <w:t xml:space="preserve">Best key: a per-order virtual account number, if Ecobank's sandbox provides one. Then nothing can be mistyped.</w:t>
      </w:r>
    </w:p>
    <w:p>
      <w:pPr>
        <w:pStyle w:val="ListParagraph"/>
        <w:numPr>
          <w:ilvl w:val="0"/>
          <w:numId w:val="3"/>
        </w:numPr>
        <w:spacing w:after="80" w:line="290"/>
      </w:pPr>
      <w:r>
        <w:rPr>
          <w:rFonts w:ascii="Calibri" w:cs="Calibri" w:eastAsia="Calibri" w:hAnsi="Calibri"/>
          <w:sz w:val="22"/>
          <w:szCs w:val="22"/>
        </w:rPr>
        <w:t xml:space="preserve">Otherwise: exact amount plus the order reference in narration.</w:t>
      </w:r>
    </w:p>
    <w:p>
      <w:pPr>
        <w:pStyle w:val="ListParagraph"/>
        <w:numPr>
          <w:ilvl w:val="0"/>
          <w:numId w:val="3"/>
        </w:numPr>
        <w:spacing w:after="80" w:line="290"/>
      </w:pPr>
      <w:r>
        <w:rPr>
          <w:rFonts w:ascii="Calibri" w:cs="Calibri" w:eastAsia="Calibri" w:hAnsi="Calibri"/>
          <w:sz w:val="22"/>
          <w:szCs w:val="22"/>
        </w:rPr>
        <w:t xml:space="preserve">If narration is missing or truncated: match by exact amount and time </w:t>
      </w:r>
      <w:r>
        <w:rPr>
          <w:rFonts w:ascii="Calibri" w:cs="Calibri" w:eastAsia="Calibri" w:hAnsi="Calibri"/>
          <w:b/>
          <w:bCs/>
          <w:sz w:val="22"/>
          <w:szCs w:val="22"/>
        </w:rPr>
        <w:t xml:space="preserve">only when that seller has exactly one open order at that amount</w:t>
      </w:r>
      <w:r>
        <w:rPr>
          <w:rFonts w:ascii="Calibri" w:cs="Calibri" w:eastAsia="Calibri" w:hAnsi="Calibri"/>
          <w:sz w:val="22"/>
          <w:szCs w:val="22"/>
        </w:rPr>
        <w:t xml:space="preserve">. Two wigs at ₦4,500 on the same afternoon is a normal day. If two open orders fit the credit, the app holds and asks the seller to pick. It never auto-greens.</w:t>
      </w:r>
    </w:p>
    <w:p>
      <w:pPr>
        <w:pStyle w:val="ListParagraph"/>
        <w:numPr>
          <w:ilvl w:val="0"/>
          <w:numId w:val="3"/>
        </w:numPr>
        <w:spacing w:after="80" w:line="290"/>
      </w:pPr>
      <w:r>
        <w:rPr>
          <w:rFonts w:ascii="Calibri" w:cs="Calibri" w:eastAsia="Calibri" w:hAnsi="Calibri"/>
          <w:sz w:val="22"/>
          <w:szCs w:val="22"/>
        </w:rPr>
        <w:t xml:space="preserve">A real payment is never marked unpaid because narration was cut short. A missed match shows as "unmatched credit, ₦4,500, 14:02" for the seller to assign.</w:t>
      </w:r>
    </w:p>
    <w:p>
      <w:pPr>
        <w:spacing w:after="120" w:line="300"/>
      </w:pPr>
      <w:r>
        <w:rPr>
          <w:rFonts w:ascii="Calibri" w:cs="Calibri" w:eastAsia="Calibri" w:hAnsi="Calibri"/>
          <w:sz w:val="22"/>
          <w:szCs w:val="22"/>
        </w:rPr>
        <w:t xml:space="preserve">What the seller never has to do: buy a device, ask the buyer for a screenshot, or open the Ecobank app to check.</w:t>
      </w:r>
    </w:p>
    <w:p>
      <w:pPr>
        <w:pStyle w:val="Heading1"/>
        <w:spacing w:after="140" w:before="320"/>
      </w:pPr>
      <w:r>
        <w:rPr>
          <w:rFonts w:ascii="Calibri" w:cs="Calibri" w:eastAsia="Calibri" w:hAnsi="Calibri"/>
          <w:b/>
          <w:bCs/>
          <w:color w:val="1B7F3B"/>
          <w:sz w:val="30"/>
          <w:szCs w:val="30"/>
        </w:rPr>
        <w:t xml:space="preserve">5. What we are deliberately not building, and why</w:t>
      </w:r>
    </w:p>
    <w:p>
      <w:pPr>
        <w:spacing w:after="120" w:line="300"/>
      </w:pPr>
      <w:r>
        <w:rPr>
          <w:rFonts w:ascii="Calibri" w:cs="Calibri" w:eastAsia="Calibri" w:hAnsi="Calibri"/>
          <w:sz w:val="22"/>
          <w:szCs w:val="22"/>
        </w:rPr>
        <w:t xml:space="preserve">Each item was in an earlier version of one of the two ideas we compared. Each was cut for a reason a judge would raise.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F2F2F2" w:color="auto" w:val="clear"/>
            <w:tcMar>
              <w:top w:type="dxa" w:w="60"/>
              <w:left w:type="dxa" w:w="100"/>
              <w:bottom w:type="dxa" w:w="60"/>
              <w:right w:type="dxa" w:w="100"/>
            </w:tcMar>
          </w:tcPr>
          <w:p>
            <w:pPr>
              <w:spacing w:after="0" w:line="270"/>
            </w:pPr>
            <w:r>
              <w:rPr>
                <w:rFonts w:ascii="Calibri" w:cs="Calibri" w:eastAsia="Calibri" w:hAnsi="Calibri"/>
                <w:b/>
                <w:bCs/>
                <w:sz w:val="20"/>
                <w:szCs w:val="20"/>
              </w:rPr>
              <w:t xml:space="preserve">Cut feature</w:t>
            </w:r>
          </w:p>
        </w:tc>
        <w:tc>
          <w:tcPr>
            <w:tcW w:type="dxa" w:w="6360"/>
            <w:shd w:fill="F2F2F2" w:color="auto" w:val="clear"/>
            <w:tcMar>
              <w:top w:type="dxa" w:w="60"/>
              <w:left w:type="dxa" w:w="100"/>
              <w:bottom w:type="dxa" w:w="60"/>
              <w:right w:type="dxa" w:w="100"/>
            </w:tcMar>
          </w:tcPr>
          <w:p>
            <w:pPr>
              <w:spacing w:after="0" w:line="270"/>
            </w:pPr>
            <w:r>
              <w:rPr>
                <w:rFonts w:ascii="Calibri" w:cs="Calibri" w:eastAsia="Calibri" w:hAnsi="Calibri"/>
                <w:b/>
                <w:bCs/>
                <w:sz w:val="20"/>
                <w:szCs w:val="20"/>
              </w:rPr>
              <w:t xml:space="preserve">Why it is out</w:t>
            </w:r>
          </w:p>
        </w:tc>
      </w:tr>
      <w:tr>
        <w:tc>
          <w:tcPr>
            <w:tcW w:type="dxa" w:w="30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Shared blacklist of payers across sellers</w:t>
            </w:r>
          </w:p>
        </w:tc>
        <w:tc>
          <w:tcPr>
            <w:tcW w:type="dxa" w:w="63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Storing strangers' names, account numbers and photos and showing them to other sellers has no lawful basis under the Nigeria Data Protection Act 2023 for four students. A bank can do it; we cannot.</w:t>
            </w:r>
          </w:p>
        </w:tc>
      </w:tr>
      <w:tr>
        <w:tc>
          <w:tcPr>
            <w:tcW w:type="dxa" w:w="30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Fake-receipt image detector</w:t>
            </w:r>
          </w:p>
        </w:tc>
        <w:tc>
          <w:tcPr>
            <w:tcW w:type="dxa" w:w="63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Slipcraft shipped a new "reversed" receipt style in August 2026. Any detector is stale the week they change the design. The green screen makes the receipt irrelevant anyway.</w:t>
            </w:r>
          </w:p>
        </w:tc>
      </w:tr>
      <w:tr>
        <w:tc>
          <w:tcPr>
            <w:tcW w:type="dxa" w:w="30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Feeding the CBN 24-hour BVN watchlist</w:t>
            </w:r>
          </w:p>
        </w:tc>
        <w:tc>
          <w:tcPr>
            <w:tcW w:type="dxa" w:w="63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Only CBN-licensed institutions can touch BVN data. Claiming we write to that list ends the pitch in front of the Ecobank CIO.</w:t>
            </w:r>
          </w:p>
        </w:tc>
      </w:tr>
      <w:tr>
        <w:tc>
          <w:tcPr>
            <w:tcW w:type="dxa" w:w="30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Matching by narration alone</w:t>
            </w:r>
          </w:p>
        </w:tc>
        <w:tc>
          <w:tcPr>
            <w:tcW w:type="dxa" w:w="63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USSD and several bank apps cut narration short. See the matching rules above.</w:t>
            </w:r>
          </w:p>
        </w:tc>
      </w:tr>
      <w:tr>
        <w:tc>
          <w:tcPr>
            <w:tcW w:type="dxa" w:w="30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Class dues ledger (three-signature group wallet)</w:t>
            </w:r>
          </w:p>
        </w:tc>
        <w:tc>
          <w:tcPr>
            <w:tcW w:type="dxa" w:w="63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A good distribution idea, but a third product. One "what's next" slide, not code.</w:t>
            </w:r>
          </w:p>
        </w:tc>
      </w:tr>
      <w:tr>
        <w:tc>
          <w:tcPr>
            <w:tcW w:type="dxa" w:w="30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Locked savings "camp pot"</w:t>
            </w:r>
          </w:p>
        </w:tc>
        <w:tc>
          <w:tcPr>
            <w:tcW w:type="dxa" w:w="63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Ecobank already sells locked savings. Rebuilding it costs a week we need for the bank callback.</w:t>
            </w:r>
          </w:p>
        </w:tc>
      </w:tr>
      <w:tr>
        <w:tc>
          <w:tcPr>
            <w:tcW w:type="dxa" w:w="30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Quoting ₦25.85 billion as our market</w:t>
            </w:r>
          </w:p>
        </w:tc>
        <w:tc>
          <w:tcPr>
            <w:tcW w:type="dxa" w:w="63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That is bank-side fraud led by social engineering and insiders. Our product does not reduce it.</w:t>
            </w:r>
          </w:p>
        </w:tc>
      </w:tr>
      <w:tr>
        <w:tc>
          <w:tcPr>
            <w:tcW w:type="dxa" w:w="30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Claiming the ledger changes a loan limit today</w:t>
            </w:r>
          </w:p>
        </w:tc>
        <w:tc>
          <w:tcPr>
            <w:tcW w:type="dxa" w:w="63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Nobody on the team controls YouthCred or Ecobank underwriting. We say "this is the evidence file"; a licensed lender says yes or no.</w:t>
            </w:r>
          </w:p>
        </w:tc>
      </w:tr>
    </w:tbl>
    <w:p>
      <w:pPr>
        <w:pStyle w:val="Heading1"/>
        <w:spacing w:after="140" w:before="320"/>
      </w:pPr>
      <w:r>
        <w:rPr>
          <w:rFonts w:ascii="Calibri" w:cs="Calibri" w:eastAsia="Calibri" w:hAnsi="Calibri"/>
          <w:b/>
          <w:bCs/>
          <w:color w:val="1B7F3B"/>
          <w:sz w:val="30"/>
          <w:szCs w:val="30"/>
        </w:rPr>
        <w:t xml:space="preserve">6. The evidence we will cite</w:t>
      </w:r>
    </w:p>
    <w:p>
      <w:pPr>
        <w:spacing w:after="120" w:line="300"/>
      </w:pPr>
      <w:r>
        <w:rPr>
          <w:rFonts w:ascii="Calibri" w:cs="Calibri" w:eastAsia="Calibri" w:hAnsi="Calibri"/>
          <w:sz w:val="22"/>
          <w:szCs w:val="22"/>
        </w:rPr>
        <w:t xml:space="preserve">Rule: nothing goes on a slide unless a team member has opened the source page and screenshotted the figure. Every row below still needs that screenshot, whatever its status says.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160"/>
      </w:tblGrid>
      <w:tr>
        <w:trPr>
          <w:tblHeader/>
        </w:trPr>
        <w:tc>
          <w:tcPr>
            <w:tcW w:type="dxa" w:w="3600"/>
            <w:shd w:fill="F2F2F2" w:color="auto" w:val="clear"/>
            <w:tcMar>
              <w:top w:type="dxa" w:w="60"/>
              <w:left w:type="dxa" w:w="100"/>
              <w:bottom w:type="dxa" w:w="60"/>
              <w:right w:type="dxa" w:w="100"/>
            </w:tcMar>
          </w:tcPr>
          <w:p>
            <w:pPr>
              <w:spacing w:after="0" w:line="270"/>
            </w:pPr>
            <w:r>
              <w:rPr>
                <w:rFonts w:ascii="Calibri" w:cs="Calibri" w:eastAsia="Calibri" w:hAnsi="Calibri"/>
                <w:b/>
                <w:bCs/>
                <w:sz w:val="20"/>
                <w:szCs w:val="20"/>
              </w:rPr>
              <w:t xml:space="preserve">Figure</w:t>
            </w:r>
          </w:p>
        </w:tc>
        <w:tc>
          <w:tcPr>
            <w:tcW w:type="dxa" w:w="2600"/>
            <w:shd w:fill="F2F2F2" w:color="auto" w:val="clear"/>
            <w:tcMar>
              <w:top w:type="dxa" w:w="60"/>
              <w:left w:type="dxa" w:w="100"/>
              <w:bottom w:type="dxa" w:w="60"/>
              <w:right w:type="dxa" w:w="100"/>
            </w:tcMar>
          </w:tcPr>
          <w:p>
            <w:pPr>
              <w:spacing w:after="0" w:line="270"/>
            </w:pPr>
            <w:r>
              <w:rPr>
                <w:rFonts w:ascii="Calibri" w:cs="Calibri" w:eastAsia="Calibri" w:hAnsi="Calibri"/>
                <w:b/>
                <w:bCs/>
                <w:sz w:val="20"/>
                <w:szCs w:val="20"/>
              </w:rPr>
              <w:t xml:space="preserve">Source</w:t>
            </w:r>
          </w:p>
        </w:tc>
        <w:tc>
          <w:tcPr>
            <w:tcW w:type="dxa" w:w="3160"/>
            <w:shd w:fill="F2F2F2" w:color="auto" w:val="clear"/>
            <w:tcMar>
              <w:top w:type="dxa" w:w="60"/>
              <w:left w:type="dxa" w:w="100"/>
              <w:bottom w:type="dxa" w:w="60"/>
              <w:right w:type="dxa" w:w="100"/>
            </w:tcMar>
          </w:tcPr>
          <w:p>
            <w:pPr>
              <w:spacing w:after="0" w:line="270"/>
            </w:pPr>
            <w:r>
              <w:rPr>
                <w:rFonts w:ascii="Calibri" w:cs="Calibri" w:eastAsia="Calibri" w:hAnsi="Calibri"/>
                <w:b/>
                <w:bCs/>
                <w:sz w:val="20"/>
                <w:szCs w:val="20"/>
              </w:rPr>
              <w:t xml:space="preserve">Status</w:t>
            </w:r>
          </w:p>
        </w:tc>
      </w:tr>
      <w:tr>
        <w:tc>
          <w:tcPr>
            <w:tcW w:type="dxa" w:w="36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Slipcraft: 61,000+ Telegram subscribers; 475 points per fake ₦10,000 transfer; 650 points per receipt; fakes OPay, Kuda, PalmPay; Kuda confirmed impersonation</w:t>
            </w:r>
          </w:p>
        </w:tc>
        <w:tc>
          <w:tcPr>
            <w:tcW w:type="dxa" w:w="26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Sahara Reporters, 20 Sep 2026</w:t>
            </w:r>
          </w:p>
        </w:tc>
        <w:tc>
          <w:tcPr>
            <w:tcW w:type="dxa" w:w="31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Verified. Quote points, not naira; a naira price per point is disputed and stays off the slide.</w:t>
            </w:r>
          </w:p>
        </w:tc>
      </w:tr>
      <w:tr>
        <w:tc>
          <w:tcPr>
            <w:tcW w:type="dxa" w:w="36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330 traders at Balogun, Mile 12, Oyingbo, Tejuosho: 71% prefer cash, 52% saw a fake alert, 27% lost money, 15% stopped taking transfers, 64% waited over 30 minutes</w:t>
            </w:r>
          </w:p>
        </w:tc>
        <w:tc>
          <w:tcPr>
            <w:tcW w:type="dxa" w:w="26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Punch, Godfrey George, 15 Feb 2025 (linked from the Sahara piece)</w:t>
            </w:r>
          </w:p>
        </w:tc>
        <w:tc>
          <w:tcPr>
            <w:tcW w:type="dxa" w:w="31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52/27/15/71 verified via Sahara; open the Punch article and screenshot the 64% and the market names.</w:t>
            </w:r>
          </w:p>
        </w:tc>
      </w:tr>
      <w:tr>
        <w:tc>
          <w:tcPr>
            <w:tcW w:type="dxa" w:w="36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Student economy: 4,000+ students, 55 institutions, 29 states; two-thirds earn; 1 in 4 runs a business; 53% sell via WhatsApp; 61% earn under ₦100k/month</w:t>
            </w:r>
          </w:p>
        </w:tc>
        <w:tc>
          <w:tcPr>
            <w:tcW w:type="dxa" w:w="26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TechCabal, 16 Mar 2026 (The Garage study)</w:t>
            </w:r>
          </w:p>
        </w:tc>
        <w:tc>
          <w:tcPr>
            <w:tcW w:type="dxa" w:w="31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Verified. The ₦400bn headline is TechCabal's arithmetic; show the multiplication if used.</w:t>
            </w:r>
          </w:p>
        </w:tc>
      </w:tr>
      <w:tr>
        <w:tc>
          <w:tcPr>
            <w:tcW w:type="dxa" w:w="36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Blaze: three free NIP transfers a month (outbound), free debit card, ages 16 to 25</w:t>
            </w:r>
          </w:p>
        </w:tc>
        <w:tc>
          <w:tcPr>
            <w:tcW w:type="dxa" w:w="26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ecobank.com/blazers-hub; Leadership (earlier launch story) as second source</w:t>
            </w:r>
          </w:p>
        </w:tc>
        <w:tc>
          <w:tcPr>
            <w:tcW w:type="dxa" w:w="31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Verified (Leadership). Screenshot the Blaze page.</w:t>
            </w:r>
          </w:p>
        </w:tc>
      </w:tr>
      <w:tr>
        <w:tc>
          <w:tcPr>
            <w:tcW w:type="dxa" w:w="36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Blaze: 7.95% base savings rate; CrediCorp loans up to ₦500,000 for NYSC members</w:t>
            </w:r>
          </w:p>
        </w:tc>
        <w:tc>
          <w:tcPr>
            <w:tcW w:type="dxa" w:w="26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ecobank.com/blazers-hub</w:t>
            </w:r>
          </w:p>
        </w:tc>
        <w:tc>
          <w:tcPr>
            <w:tcW w:type="dxa" w:w="31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Screenshot the live page. Call them published Blaze benefits, not loan terms we have read.</w:t>
            </w:r>
          </w:p>
        </w:tc>
      </w:tr>
      <w:tr>
        <w:tc>
          <w:tcPr>
            <w:tcW w:type="dxa" w:w="36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CBN: BVN enrolment 18+ from 1 May 2026; 24-hour temporary watchlist; BVN database only for licensed institutions</w:t>
            </w:r>
          </w:p>
        </w:tc>
        <w:tc>
          <w:tcPr>
            <w:tcW w:type="dxa" w:w="26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BusinessDay; Legit</w:t>
            </w:r>
          </w:p>
        </w:tc>
        <w:tc>
          <w:tcPr>
            <w:tcW w:type="dxa" w:w="31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Verified</w:t>
            </w:r>
          </w:p>
        </w:tc>
      </w:tr>
      <w:tr>
        <w:tc>
          <w:tcPr>
            <w:tcW w:type="dxa" w:w="36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NIBSS 2025: ₦25.85bn lost, 67,518 cases, Lagos 63%; social engineering the top method</w:t>
            </w:r>
          </w:p>
        </w:tc>
        <w:tc>
          <w:tcPr>
            <w:tcW w:type="dxa" w:w="26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NIBSS</w:t>
            </w:r>
          </w:p>
        </w:tc>
        <w:tc>
          <w:tcPr>
            <w:tcW w:type="dxa" w:w="31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Verified. Use only to say "this is a different fraud from ours".</w:t>
            </w:r>
          </w:p>
        </w:tc>
      </w:tr>
      <w:tr>
        <w:tc>
          <w:tcPr>
            <w:tcW w:type="dxa" w:w="36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Ecobank sandbox: Notification Service with "instant transaction webhook notifications"; Account Enquiry; Local Bank Payment; Account Opening</w:t>
            </w:r>
          </w:p>
        </w:tc>
        <w:tc>
          <w:tcPr>
            <w:tcW w:type="dxa" w:w="26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Ecobank developer documentation</w:t>
            </w:r>
          </w:p>
        </w:tc>
        <w:tc>
          <w:tcPr>
            <w:tcW w:type="dxa" w:w="31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Verified. Unknown whether it fires on a personal Blaze account.</w:t>
            </w:r>
          </w:p>
        </w:tc>
      </w:tr>
      <w:tr>
        <w:tc>
          <w:tcPr>
            <w:tcW w:type="dxa" w:w="36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InnovateX: judges; 16 to 25 with school ID at application; Track A lists credit first, then fraud; regional activations at YABATECH, UNIPORT, UNIABUJA</w:t>
            </w:r>
          </w:p>
        </w:tc>
        <w:tc>
          <w:tcPr>
            <w:tcW w:type="dxa" w:w="26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innovatex.africa</w:t>
            </w:r>
          </w:p>
        </w:tc>
        <w:tc>
          <w:tcPr>
            <w:tcW w:type="dxa" w:w="31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Verified. Regional dates are not published.</w:t>
            </w:r>
          </w:p>
        </w:tc>
      </w:tr>
      <w:tr>
        <w:tc>
          <w:tcPr>
            <w:tcW w:type="dxa" w:w="36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Verve partnership</w:t>
            </w:r>
          </w:p>
        </w:tc>
        <w:tc>
          <w:tcPr>
            <w:tcW w:type="dxa" w:w="26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Press coverage, Sep 2026</w:t>
            </w:r>
          </w:p>
        </w:tc>
        <w:tc>
          <w:tcPr>
            <w:tcW w:type="dxa" w:w="31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Not on the official site. Use only with the clipping shown.</w:t>
            </w:r>
          </w:p>
        </w:tc>
      </w:tr>
    </w:tbl>
    <w:p>
      <w:pPr>
        <w:spacing w:after="60"/>
      </w:pPr>
    </w:p>
    <w:p>
      <w:pPr>
        <w:spacing w:after="120" w:line="300"/>
      </w:pPr>
      <w:r>
        <w:rPr>
          <w:rFonts w:ascii="Calibri" w:cs="Calibri" w:eastAsia="Calibri" w:hAnsi="Calibri"/>
          <w:sz w:val="22"/>
          <w:szCs w:val="22"/>
        </w:rPr>
        <w:t xml:space="preserve">The most important number is not in this table yet: </w:t>
      </w:r>
      <w:r>
        <w:rPr>
          <w:rFonts w:ascii="Calibri" w:cs="Calibri" w:eastAsia="Calibri" w:hAnsi="Calibri"/>
          <w:b/>
          <w:bCs/>
          <w:sz w:val="22"/>
          <w:szCs w:val="22"/>
        </w:rPr>
        <w:t xml:space="preserve">our own log from ten real student sellers in week 4.</w:t>
      </w:r>
      <w:r>
        <w:rPr>
          <w:rFonts w:ascii="Calibri" w:cs="Calibri" w:eastAsia="Calibri" w:hAnsi="Calibri"/>
          <w:sz w:val="22"/>
          <w:szCs w:val="22"/>
        </w:rPr>
        <w:t xml:space="preserve"> Every green, amber and mistaken match, written down. Twenty well-logged orders beat a padded fifty.</w:t>
      </w:r>
    </w:p>
    <w:p>
      <w:pPr>
        <w:pStyle w:val="Heading1"/>
        <w:spacing w:after="140" w:before="320"/>
      </w:pPr>
      <w:r>
        <w:rPr>
          <w:rFonts w:ascii="Calibri" w:cs="Calibri" w:eastAsia="Calibri" w:hAnsi="Calibri"/>
          <w:b/>
          <w:bCs/>
          <w:color w:val="1B7F3B"/>
          <w:sz w:val="30"/>
          <w:szCs w:val="30"/>
        </w:rPr>
        <w:t xml:space="preserve">7. The judges, and the one sentence for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shd w:fill="F2F2F2" w:color="auto" w:val="clear"/>
            <w:tcMar>
              <w:top w:type="dxa" w:w="60"/>
              <w:left w:type="dxa" w:w="100"/>
              <w:bottom w:type="dxa" w:w="60"/>
              <w:right w:type="dxa" w:w="100"/>
            </w:tcMar>
          </w:tcPr>
          <w:p>
            <w:pPr>
              <w:spacing w:after="0" w:line="270"/>
            </w:pPr>
            <w:r>
              <w:rPr>
                <w:rFonts w:ascii="Calibri" w:cs="Calibri" w:eastAsia="Calibri" w:hAnsi="Calibri"/>
                <w:b/>
                <w:bCs/>
                <w:sz w:val="20"/>
                <w:szCs w:val="20"/>
              </w:rPr>
              <w:t xml:space="preserve">Judge</w:t>
            </w:r>
          </w:p>
        </w:tc>
        <w:tc>
          <w:tcPr>
            <w:tcW w:type="dxa" w:w="3000"/>
            <w:shd w:fill="F2F2F2" w:color="auto" w:val="clear"/>
            <w:tcMar>
              <w:top w:type="dxa" w:w="60"/>
              <w:left w:type="dxa" w:w="100"/>
              <w:bottom w:type="dxa" w:w="60"/>
              <w:right w:type="dxa" w:w="100"/>
            </w:tcMar>
          </w:tcPr>
          <w:p>
            <w:pPr>
              <w:spacing w:after="0" w:line="270"/>
            </w:pPr>
            <w:r>
              <w:rPr>
                <w:rFonts w:ascii="Calibri" w:cs="Calibri" w:eastAsia="Calibri" w:hAnsi="Calibri"/>
                <w:b/>
                <w:bCs/>
                <w:sz w:val="20"/>
                <w:szCs w:val="20"/>
              </w:rPr>
              <w:t xml:space="preserve">What they will test</w:t>
            </w:r>
          </w:p>
        </w:tc>
        <w:tc>
          <w:tcPr>
            <w:tcW w:type="dxa" w:w="3760"/>
            <w:shd w:fill="F2F2F2" w:color="auto" w:val="clear"/>
            <w:tcMar>
              <w:top w:type="dxa" w:w="60"/>
              <w:left w:type="dxa" w:w="100"/>
              <w:bottom w:type="dxa" w:w="60"/>
              <w:right w:type="dxa" w:w="100"/>
            </w:tcMar>
          </w:tcPr>
          <w:p>
            <w:pPr>
              <w:spacing w:after="0" w:line="270"/>
            </w:pPr>
            <w:r>
              <w:rPr>
                <w:rFonts w:ascii="Calibri" w:cs="Calibri" w:eastAsia="Calibri" w:hAnsi="Calibri"/>
                <w:b/>
                <w:bCs/>
                <w:sz w:val="20"/>
                <w:szCs w:val="20"/>
              </w:rPr>
              <w:t xml:space="preserve">The sentence for them</w:t>
            </w:r>
          </w:p>
        </w:tc>
      </w:tr>
      <w:tr>
        <w:tc>
          <w:tcPr>
            <w:tcW w:type="dxa" w:w="26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Adebanke Oladejo, Chief Information Officer, Ecobank Nigeria</w:t>
            </w:r>
          </w:p>
        </w:tc>
        <w:tc>
          <w:tcPr>
            <w:tcW w:type="dxa" w:w="30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Does this run on Ecobank's real APIs, and does it claim anything the bank cannot back?</w:t>
            </w:r>
          </w:p>
        </w:tc>
        <w:tc>
          <w:tcPr>
            <w:tcW w:type="dxa" w:w="37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"Everything you see is the public sandbox: the Notification webhook and Account Enquiry. No BVN access, no watchlist claims."</w:t>
            </w:r>
          </w:p>
        </w:tc>
      </w:tr>
      <w:tr>
        <w:tc>
          <w:tcPr>
            <w:tcW w:type="dxa" w:w="26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Victor Yalokwu, Head, Products &amp; Analytics, Ecobank Nigeria</w:t>
            </w:r>
          </w:p>
        </w:tc>
        <w:tc>
          <w:tcPr>
            <w:tcW w:type="dxa" w:w="30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Does this bring Blaze a new kind of customer and deposits?</w:t>
            </w:r>
          </w:p>
        </w:tc>
        <w:tc>
          <w:tcPr>
            <w:tcW w:type="dxa" w:w="37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"An OPay alert never becomes an Ecobank lending record. Ours does. We are asking for a Blaze seller tier on payouts, because once the money is in Blaze, paying a supplier runs into three free outbound transfers a month."</w:t>
            </w:r>
          </w:p>
        </w:tc>
      </w:tr>
      <w:tr>
        <w:tc>
          <w:tcPr>
            <w:tcW w:type="dxa" w:w="26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Babawale John, CTO, Paystack MFB</w:t>
            </w:r>
          </w:p>
        </w:tc>
        <w:tc>
          <w:tcPr>
            <w:tcW w:type="dxa" w:w="30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Is the confirmation genuinely from the rails, and is the team honest about which rail is live?</w:t>
            </w:r>
          </w:p>
        </w:tc>
        <w:tc>
          <w:tcPr>
            <w:tcW w:type="dxa" w:w="37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"Confirmation comes from the receiving bank's callback. If this is Paystack test mode today, we say so, and we do not call it an Ecobank deposit."</w:t>
            </w:r>
          </w:p>
        </w:tc>
      </w:tr>
      <w:tr>
        <w:tc>
          <w:tcPr>
            <w:tcW w:type="dxa" w:w="26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Augustine Rapheal, Lead Engineer, NSIA</w:t>
            </w:r>
          </w:p>
        </w:tc>
        <w:tc>
          <w:tcPr>
            <w:tcW w:type="dxa" w:w="30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Is the engineering sound: idempotent webhooks, no double-marking, no false positives?</w:t>
            </w:r>
          </w:p>
        </w:tc>
        <w:tc>
          <w:tcPr>
            <w:tcW w:type="dxa" w:w="37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"Each callback is processed once, logged, and replayable. An ambiguous amount holds for the seller; it never auto-greens."</w:t>
            </w:r>
          </w:p>
        </w:tc>
      </w:tr>
      <w:tr>
        <w:tc>
          <w:tcPr>
            <w:tcW w:type="dxa" w:w="26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Emelia Sunday-Edet, Products and Quality Engineering</w:t>
            </w:r>
          </w:p>
        </w:tc>
        <w:tc>
          <w:tcPr>
            <w:tcW w:type="dxa" w:w="30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Can it be tested end to end, pass or fail?</w:t>
            </w:r>
          </w:p>
        </w:tc>
        <w:tc>
          <w:tcPr>
            <w:tcW w:type="dxa" w:w="37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"Here is the test script: create order, send test credit, watch it go green, export the ledger. Five steps, pass or fail."</w:t>
            </w:r>
          </w:p>
        </w:tc>
      </w:tr>
    </w:tbl>
    <w:p>
      <w:pPr>
        <w:spacing w:after="60"/>
      </w:pPr>
    </w:p>
    <w:p>
      <w:pPr>
        <w:spacing w:after="120" w:line="300"/>
      </w:pPr>
      <w:r>
        <w:rPr>
          <w:rFonts w:ascii="Calibri" w:cs="Calibri" w:eastAsia="Calibri" w:hAnsi="Calibri"/>
          <w:sz w:val="22"/>
          <w:szCs w:val="22"/>
        </w:rPr>
        <w:t xml:space="preserve">What this panel is not: a room of AI enthusiasts. No accuracy slide, no model, no "AI-powered". The moat is a confirmed credit tied to an order, and a record that lives in an Ecobank account.</w:t>
      </w:r>
    </w:p>
    <w:p>
      <w:pPr>
        <w:pStyle w:val="Heading1"/>
        <w:spacing w:after="140" w:before="320"/>
      </w:pPr>
      <w:r>
        <w:rPr>
          <w:rFonts w:ascii="Calibri" w:cs="Calibri" w:eastAsia="Calibri" w:hAnsi="Calibri"/>
          <w:b/>
          <w:bCs/>
          <w:color w:val="1B7F3B"/>
          <w:sz w:val="30"/>
          <w:szCs w:val="30"/>
        </w:rPr>
        <w:t xml:space="preserve">8. Technical plan</w:t>
      </w:r>
    </w:p>
    <w:p>
      <w:pPr>
        <w:pStyle w:val="Heading2"/>
        <w:spacing w:after="100" w:before="200"/>
      </w:pPr>
      <w:r>
        <w:rPr>
          <w:rFonts w:ascii="Calibri" w:cs="Calibri" w:eastAsia="Calibri" w:hAnsi="Calibri"/>
          <w:b/>
          <w:bCs/>
          <w:sz w:val="25"/>
          <w:szCs w:val="25"/>
        </w:rPr>
        <w:t xml:space="preserve">Rails, in order of preference</w:t>
      </w:r>
    </w:p>
    <w:p>
      <w:pPr>
        <w:pStyle w:val="ListParagraph"/>
        <w:numPr>
          <w:ilvl w:val="0"/>
          <w:numId w:val="5"/>
        </w:numPr>
        <w:spacing w:after="80" w:line="290"/>
      </w:pPr>
      <w:r>
        <w:rPr>
          <w:rFonts w:ascii="Calibri" w:cs="Calibri" w:eastAsia="Calibri" w:hAnsi="Calibri"/>
          <w:b/>
          <w:bCs/>
          <w:sz w:val="22"/>
          <w:szCs w:val="22"/>
        </w:rPr>
        <w:t xml:space="preserve">Ecobank Notification Service (primary).</w:t>
      </w:r>
      <w:r>
        <w:rPr>
          <w:rFonts w:ascii="Calibri" w:cs="Calibri" w:eastAsia="Calibri" w:hAnsi="Calibri"/>
          <w:sz w:val="22"/>
          <w:szCs w:val="22"/>
        </w:rPr>
        <w:t xml:space="preserve"> The sandbox docs promise "instant transaction webhook notifications on the specified bank account" registered with our webhook URL. Week 1 job: get sandbox access and confirm it fires for a personal Blaze-type account. Only on this rail is the sentence "the money landed in their Blaze account" true.</w:t>
      </w:r>
    </w:p>
    <w:p>
      <w:pPr>
        <w:pStyle w:val="ListParagraph"/>
        <w:numPr>
          <w:ilvl w:val="0"/>
          <w:numId w:val="5"/>
        </w:numPr>
        <w:spacing w:after="80" w:line="290"/>
      </w:pPr>
      <w:r>
        <w:rPr>
          <w:rFonts w:ascii="Calibri" w:cs="Calibri" w:eastAsia="Calibri" w:hAnsi="Calibri"/>
          <w:b/>
          <w:bCs/>
          <w:sz w:val="22"/>
          <w:szCs w:val="22"/>
        </w:rPr>
        <w:t xml:space="preserve">Ecobank per-order collection or virtual account (if it exists).</w:t>
      </w:r>
      <w:r>
        <w:rPr>
          <w:rFonts w:ascii="Calibri" w:cs="Calibri" w:eastAsia="Calibri" w:hAnsi="Calibri"/>
          <w:sz w:val="22"/>
          <w:szCs w:val="22"/>
        </w:rPr>
        <w:t xml:space="preserve"> If Ecobank offers a per-customer virtual account product, the account number becomes the order reference and matching is exact.</w:t>
      </w:r>
    </w:p>
    <w:p>
      <w:pPr>
        <w:pStyle w:val="ListParagraph"/>
        <w:numPr>
          <w:ilvl w:val="0"/>
          <w:numId w:val="5"/>
        </w:numPr>
        <w:spacing w:after="80" w:line="290"/>
      </w:pPr>
      <w:r>
        <w:rPr>
          <w:rFonts w:ascii="Calibri" w:cs="Calibri" w:eastAsia="Calibri" w:hAnsi="Calibri"/>
          <w:b/>
          <w:bCs/>
          <w:sz w:val="22"/>
          <w:szCs w:val="22"/>
        </w:rPr>
        <w:t xml:space="preserve">Paystack Dedicated Virtual Accounts, test mode (declared fallback).</w:t>
      </w:r>
      <w:r>
        <w:rPr>
          <w:rFonts w:ascii="Calibri" w:cs="Calibri" w:eastAsia="Calibri" w:hAnsi="Calibri"/>
          <w:sz w:val="22"/>
          <w:szCs w:val="22"/>
        </w:rPr>
        <w:t xml:space="preserve"> Paystack creates a virtual account per customer and sends a charge.success webhook on credit. Works today with no approval. This is a screen test, not an Ecobank deposit: on stage we say "Paystack test mode" and we do not say "Ecobank lending record". The code path is the same; the claim is not. Re-read the Paystack docs before building; they were not re-read for this brief.</w:t>
      </w:r>
    </w:p>
    <w:p>
      <w:pPr>
        <w:pStyle w:val="Heading2"/>
        <w:spacing w:after="100" w:before="200"/>
      </w:pPr>
      <w:r>
        <w:rPr>
          <w:rFonts w:ascii="Calibri" w:cs="Calibri" w:eastAsia="Calibri" w:hAnsi="Calibri"/>
          <w:b/>
          <w:bCs/>
          <w:sz w:val="25"/>
          <w:szCs w:val="25"/>
        </w:rPr>
        <w:t xml:space="preserve">Architecture, plain words</w:t>
      </w:r>
    </w:p>
    <w:p>
      <w:pPr>
        <w:spacing w:after="120" w:line="300"/>
      </w:pPr>
      <w:r>
        <w:rPr>
          <w:rFonts w:ascii="Calibri" w:cs="Calibri" w:eastAsia="Calibri" w:hAnsi="Calibri"/>
          <w:sz w:val="22"/>
          <w:szCs w:val="22"/>
        </w:rPr>
        <w:t xml:space="preserve">Three pieces: a phone-sized web app for the seller (built with Next.js, installable as a PWA), a small server that receives bank callbacks and keeps the ledger, and the bank's sandbox.</w:t>
      </w:r>
    </w:p>
    <w:p>
      <w:pPr>
        <w:pStyle w:val="ListParagraph"/>
        <w:numPr>
          <w:ilvl w:val="0"/>
          <w:numId w:val="3"/>
        </w:numPr>
        <w:spacing w:after="80" w:line="290"/>
      </w:pPr>
      <w:r>
        <w:rPr>
          <w:rFonts w:ascii="Calibri" w:cs="Calibri" w:eastAsia="Calibri" w:hAnsi="Calibri"/>
          <w:b/>
          <w:bCs/>
          <w:sz w:val="22"/>
          <w:szCs w:val="22"/>
        </w:rPr>
        <w:t xml:space="preserve">Phone app</w:t>
      </w:r>
      <w:r>
        <w:rPr>
          <w:rFonts w:ascii="Calibri" w:cs="Calibri" w:eastAsia="Calibri" w:hAnsi="Calibri"/>
          <w:sz w:val="22"/>
          <w:szCs w:val="22"/>
        </w:rPr>
        <w:t xml:space="preserve"> (a mobile-first web app that installs to the home screen; no app store, judges can open it from a QR code): create order, share payment details to WhatsApp, order list with amber and green states, ledger totals, export to PDF, "report attempt" form.</w:t>
      </w:r>
    </w:p>
    <w:p>
      <w:pPr>
        <w:pStyle w:val="ListParagraph"/>
        <w:numPr>
          <w:ilvl w:val="0"/>
          <w:numId w:val="3"/>
        </w:numPr>
        <w:spacing w:after="80" w:line="290"/>
      </w:pPr>
      <w:r>
        <w:rPr>
          <w:rFonts w:ascii="Calibri" w:cs="Calibri" w:eastAsia="Calibri" w:hAnsi="Calibri"/>
          <w:b/>
          <w:bCs/>
          <w:sz w:val="22"/>
          <w:szCs w:val="22"/>
        </w:rPr>
        <w:t xml:space="preserve">Server</w:t>
      </w:r>
      <w:r>
        <w:rPr>
          <w:rFonts w:ascii="Calibri" w:cs="Calibri" w:eastAsia="Calibri" w:hAnsi="Calibri"/>
          <w:sz w:val="22"/>
          <w:szCs w:val="22"/>
        </w:rPr>
        <w:t xml:space="preserve"> (Node.js or Python, Postgres): receives webhooks, verifies their signature, matches to an open order under the rules in section 4, marks it paid exactly once, stores the ledger row, pushes the green state to the phone.</w:t>
      </w:r>
    </w:p>
    <w:p>
      <w:pPr>
        <w:pStyle w:val="ListParagraph"/>
        <w:numPr>
          <w:ilvl w:val="0"/>
          <w:numId w:val="3"/>
        </w:numPr>
        <w:spacing w:after="80" w:line="290"/>
      </w:pPr>
      <w:r>
        <w:rPr>
          <w:rFonts w:ascii="Calibri" w:cs="Calibri" w:eastAsia="Calibri" w:hAnsi="Calibri"/>
          <w:b/>
          <w:bCs/>
          <w:sz w:val="22"/>
          <w:szCs w:val="22"/>
        </w:rPr>
        <w:t xml:space="preserve">Idempotency</w:t>
      </w:r>
      <w:r>
        <w:rPr>
          <w:rFonts w:ascii="Calibri" w:cs="Calibri" w:eastAsia="Calibri" w:hAnsi="Calibri"/>
          <w:sz w:val="22"/>
          <w:szCs w:val="22"/>
        </w:rPr>
        <w:t xml:space="preserve">: every webhook has an id; the same id is processed once. Replays are logged, not re-applied.</w:t>
      </w:r>
    </w:p>
    <w:p>
      <w:pPr>
        <w:pStyle w:val="ListParagraph"/>
        <w:numPr>
          <w:ilvl w:val="0"/>
          <w:numId w:val="3"/>
        </w:numPr>
        <w:spacing w:after="80" w:line="290"/>
      </w:pPr>
      <w:r>
        <w:rPr>
          <w:rFonts w:ascii="Calibri" w:cs="Calibri" w:eastAsia="Calibri" w:hAnsi="Calibri"/>
          <w:b/>
          <w:bCs/>
          <w:sz w:val="22"/>
          <w:szCs w:val="22"/>
        </w:rPr>
        <w:t xml:space="preserve">Push</w:t>
      </w:r>
      <w:r>
        <w:rPr>
          <w:rFonts w:ascii="Calibri" w:cs="Calibri" w:eastAsia="Calibri" w:hAnsi="Calibri"/>
          <w:sz w:val="22"/>
          <w:szCs w:val="22"/>
        </w:rPr>
        <w:t xml:space="preserve">: WebSocket or Firebase Cloud Messaging so the phone goes green without polling.</w:t>
      </w:r>
    </w:p>
    <w:p>
      <w:pPr>
        <w:pStyle w:val="Heading2"/>
        <w:spacing w:after="100" w:before="200"/>
      </w:pPr>
      <w:r>
        <w:rPr>
          <w:rFonts w:ascii="Calibri" w:cs="Calibri" w:eastAsia="Calibri" w:hAnsi="Calibri"/>
          <w:b/>
          <w:bCs/>
          <w:sz w:val="25"/>
          <w:szCs w:val="25"/>
        </w:rPr>
        <w:t xml:space="preserve">Data model</w:t>
      </w:r>
    </w:p>
    <w:p>
      <w:pPr>
        <w:spacing w:after="120" w:line="300"/>
      </w:pPr>
      <w:r>
        <w:rPr>
          <w:rFonts w:ascii="Calibri" w:cs="Calibri" w:eastAsia="Calibri" w:hAnsi="Calibri"/>
          <w:sz w:val="22"/>
          <w:szCs w:val="22"/>
        </w:rPr>
        <w:t xml:space="preserve">Five tables: sellers (phone, Ecobank account reference, consent flags), orders (id, seller, amount, reference, note, state, created, paid_at), credits (raw webhook payload, webhook id, matched order or null), ledger (seller, date, amount, order id), reports (order, image, note, sent_to_bank_at). No buyer identity is stored beyond what the bank's payload carries.</w:t>
      </w:r>
    </w:p>
    <w:p>
      <w:pPr>
        <w:pStyle w:val="Heading2"/>
        <w:spacing w:after="100" w:before="200"/>
      </w:pPr>
      <w:r>
        <w:rPr>
          <w:rFonts w:ascii="Calibri" w:cs="Calibri" w:eastAsia="Calibri" w:hAnsi="Calibri"/>
          <w:b/>
          <w:bCs/>
          <w:sz w:val="25"/>
          <w:szCs w:val="25"/>
        </w:rPr>
        <w:t xml:space="preserve">Privacy</w:t>
      </w:r>
    </w:p>
    <w:p>
      <w:pPr>
        <w:spacing w:after="120" w:line="300"/>
      </w:pPr>
      <w:r>
        <w:rPr>
          <w:rFonts w:ascii="Calibri" w:cs="Calibri" w:eastAsia="Calibri" w:hAnsi="Calibri"/>
          <w:sz w:val="22"/>
          <w:szCs w:val="22"/>
        </w:rPr>
        <w:t xml:space="preserve">The seller consents on sign-up to us receiving credit notifications for their account. The ledger export is generated on the seller's request only. The report pack is sent by the seller, to their own bank, never to other sellers.</w:t>
      </w:r>
    </w:p>
    <w:p>
      <w:pPr>
        <w:pStyle w:val="Heading2"/>
        <w:spacing w:after="100" w:before="200"/>
      </w:pPr>
      <w:r>
        <w:rPr>
          <w:rFonts w:ascii="Calibri" w:cs="Calibri" w:eastAsia="Calibri" w:hAnsi="Calibri"/>
          <w:b/>
          <w:bCs/>
          <w:sz w:val="25"/>
          <w:szCs w:val="25"/>
        </w:rPr>
        <w:t xml:space="preserve">Demo test script (the slide for the quality engineer)</w:t>
      </w:r>
    </w:p>
    <w:p>
      <w:pPr>
        <w:pStyle w:val="ListParagraph"/>
        <w:numPr>
          <w:ilvl w:val="0"/>
          <w:numId w:val="6"/>
        </w:numPr>
        <w:spacing w:after="80" w:line="290"/>
      </w:pPr>
      <w:r>
        <w:rPr>
          <w:rFonts w:ascii="Calibri" w:cs="Calibri" w:eastAsia="Calibri" w:hAnsi="Calibri"/>
          <w:sz w:val="22"/>
          <w:szCs w:val="22"/>
        </w:rPr>
        <w:t xml:space="preserve">Create an order for ₦4,500.</w:t>
      </w:r>
    </w:p>
    <w:p>
      <w:pPr>
        <w:pStyle w:val="ListParagraph"/>
        <w:numPr>
          <w:ilvl w:val="0"/>
          <w:numId w:val="6"/>
        </w:numPr>
        <w:spacing w:after="80" w:line="290"/>
      </w:pPr>
      <w:r>
        <w:rPr>
          <w:rFonts w:ascii="Calibri" w:cs="Calibri" w:eastAsia="Calibri" w:hAnsi="Calibri"/>
          <w:sz w:val="22"/>
          <w:szCs w:val="22"/>
        </w:rPr>
        <w:t xml:space="preserve">Fire a test credit for ₦4,500 on the sandbox.</w:t>
      </w:r>
    </w:p>
    <w:p>
      <w:pPr>
        <w:pStyle w:val="ListParagraph"/>
        <w:numPr>
          <w:ilvl w:val="0"/>
          <w:numId w:val="6"/>
        </w:numPr>
        <w:spacing w:after="80" w:line="290"/>
      </w:pPr>
      <w:r>
        <w:rPr>
          <w:rFonts w:ascii="Calibri" w:cs="Calibri" w:eastAsia="Calibri" w:hAnsi="Calibri"/>
          <w:sz w:val="22"/>
          <w:szCs w:val="22"/>
        </w:rPr>
        <w:t xml:space="preserve">Screen turns green in under five seconds; ledger shows one new row.</w:t>
      </w:r>
    </w:p>
    <w:p>
      <w:pPr>
        <w:pStyle w:val="ListParagraph"/>
        <w:numPr>
          <w:ilvl w:val="0"/>
          <w:numId w:val="6"/>
        </w:numPr>
        <w:spacing w:after="80" w:line="290"/>
      </w:pPr>
      <w:r>
        <w:rPr>
          <w:rFonts w:ascii="Calibri" w:cs="Calibri" w:eastAsia="Calibri" w:hAnsi="Calibri"/>
          <w:sz w:val="22"/>
          <w:szCs w:val="22"/>
        </w:rPr>
        <w:t xml:space="preserve">Export produces a one-page PDF.</w:t>
      </w:r>
    </w:p>
    <w:p>
      <w:pPr>
        <w:pStyle w:val="ListParagraph"/>
        <w:numPr>
          <w:ilvl w:val="0"/>
          <w:numId w:val="6"/>
        </w:numPr>
        <w:spacing w:after="80" w:line="290"/>
      </w:pPr>
      <w:r>
        <w:rPr>
          <w:rFonts w:ascii="Calibri" w:cs="Calibri" w:eastAsia="Calibri" w:hAnsi="Calibri"/>
          <w:sz w:val="22"/>
          <w:szCs w:val="22"/>
        </w:rPr>
        <w:t xml:space="preserve">Fire a test credit for a different amount; nothing turns green; the order stays amber and an unmatched credit appears.</w:t>
      </w:r>
    </w:p>
    <w:p>
      <w:pPr>
        <w:pStyle w:val="Heading1"/>
        <w:spacing w:after="140" w:before="320"/>
      </w:pPr>
      <w:r>
        <w:rPr>
          <w:rFonts w:ascii="Calibri" w:cs="Calibri" w:eastAsia="Calibri" w:hAnsi="Calibri"/>
          <w:b/>
          <w:bCs/>
          <w:color w:val="1B7F3B"/>
          <w:sz w:val="30"/>
          <w:szCs w:val="30"/>
        </w:rPr>
        <w:t xml:space="preserve">9. Five-week plan</w:t>
      </w:r>
    </w:p>
    <w:p>
      <w:pPr>
        <w:spacing w:after="120" w:line="300"/>
      </w:pPr>
      <w:r>
        <w:rPr>
          <w:rFonts w:ascii="Calibri" w:cs="Calibri" w:eastAsia="Calibri" w:hAnsi="Calibri"/>
          <w:sz w:val="22"/>
          <w:szCs w:val="22"/>
        </w:rPr>
        <w:t xml:space="preserve">Today is 25 September 2026. The finale is 30 October 2026. </w:t>
      </w:r>
      <w:r>
        <w:rPr>
          <w:rFonts w:ascii="Calibri" w:cs="Calibri" w:eastAsia="Calibri" w:hAnsi="Calibri"/>
          <w:b/>
          <w:bCs/>
          <w:sz w:val="22"/>
          <w:szCs w:val="22"/>
        </w:rPr>
        <w:t xml:space="preserve">Regional selection at YABATECH (Lagos), University of Port Harcourt (South East/South South) and University of Abuja (FCT/North) comes before the finale, and the site does not publish those dates.</w:t>
      </w:r>
      <w:r>
        <w:rPr>
          <w:rFonts w:ascii="Calibri" w:cs="Calibri" w:eastAsia="Calibri" w:hAnsi="Calibri"/>
          <w:sz w:val="22"/>
          <w:szCs w:val="22"/>
        </w:rPr>
        <w:t xml:space="preserve"> The 2025 edition held its finale in August, weeks after applications closed. Assume you pitch before 30 October and build to be ready early, not on the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560"/>
        <w:gridCol w:w="2400"/>
      </w:tblGrid>
      <w:tr>
        <w:trPr>
          <w:tblHeader/>
        </w:trPr>
        <w:tc>
          <w:tcPr>
            <w:tcW w:type="dxa" w:w="900"/>
            <w:shd w:fill="F2F2F2" w:color="auto" w:val="clear"/>
            <w:tcMar>
              <w:top w:type="dxa" w:w="60"/>
              <w:left w:type="dxa" w:w="100"/>
              <w:bottom w:type="dxa" w:w="60"/>
              <w:right w:type="dxa" w:w="100"/>
            </w:tcMar>
          </w:tcPr>
          <w:p>
            <w:pPr>
              <w:spacing w:after="0" w:line="270"/>
            </w:pPr>
            <w:r>
              <w:rPr>
                <w:rFonts w:ascii="Calibri" w:cs="Calibri" w:eastAsia="Calibri" w:hAnsi="Calibri"/>
                <w:b/>
                <w:bCs/>
                <w:sz w:val="20"/>
                <w:szCs w:val="20"/>
              </w:rPr>
              <w:t xml:space="preserve">Week</w:t>
            </w:r>
          </w:p>
        </w:tc>
        <w:tc>
          <w:tcPr>
            <w:tcW w:type="dxa" w:w="1500"/>
            <w:shd w:fill="F2F2F2" w:color="auto" w:val="clear"/>
            <w:tcMar>
              <w:top w:type="dxa" w:w="60"/>
              <w:left w:type="dxa" w:w="100"/>
              <w:bottom w:type="dxa" w:w="60"/>
              <w:right w:type="dxa" w:w="100"/>
            </w:tcMar>
          </w:tcPr>
          <w:p>
            <w:pPr>
              <w:spacing w:after="0" w:line="270"/>
            </w:pPr>
            <w:r>
              <w:rPr>
                <w:rFonts w:ascii="Calibri" w:cs="Calibri" w:eastAsia="Calibri" w:hAnsi="Calibri"/>
                <w:b/>
                <w:bCs/>
                <w:sz w:val="20"/>
                <w:szCs w:val="20"/>
              </w:rPr>
              <w:t xml:space="preserve">Dates</w:t>
            </w:r>
          </w:p>
        </w:tc>
        <w:tc>
          <w:tcPr>
            <w:tcW w:type="dxa" w:w="4560"/>
            <w:shd w:fill="F2F2F2" w:color="auto" w:val="clear"/>
            <w:tcMar>
              <w:top w:type="dxa" w:w="60"/>
              <w:left w:type="dxa" w:w="100"/>
              <w:bottom w:type="dxa" w:w="60"/>
              <w:right w:type="dxa" w:w="100"/>
            </w:tcMar>
          </w:tcPr>
          <w:p>
            <w:pPr>
              <w:spacing w:after="0" w:line="270"/>
            </w:pPr>
            <w:r>
              <w:rPr>
                <w:rFonts w:ascii="Calibri" w:cs="Calibri" w:eastAsia="Calibri" w:hAnsi="Calibri"/>
                <w:b/>
                <w:bCs/>
                <w:sz w:val="20"/>
                <w:szCs w:val="20"/>
              </w:rPr>
              <w:t xml:space="preserve">Critical path</w:t>
            </w:r>
          </w:p>
        </w:tc>
        <w:tc>
          <w:tcPr>
            <w:tcW w:type="dxa" w:w="2400"/>
            <w:shd w:fill="F2F2F2" w:color="auto" w:val="clear"/>
            <w:tcMar>
              <w:top w:type="dxa" w:w="60"/>
              <w:left w:type="dxa" w:w="100"/>
              <w:bottom w:type="dxa" w:w="60"/>
              <w:right w:type="dxa" w:w="100"/>
            </w:tcMar>
          </w:tcPr>
          <w:p>
            <w:pPr>
              <w:spacing w:after="0" w:line="270"/>
            </w:pPr>
            <w:r>
              <w:rPr>
                <w:rFonts w:ascii="Calibri" w:cs="Calibri" w:eastAsia="Calibri" w:hAnsi="Calibri"/>
                <w:b/>
                <w:bCs/>
                <w:sz w:val="20"/>
                <w:szCs w:val="20"/>
              </w:rPr>
              <w:t xml:space="preserve">Done when</w:t>
            </w:r>
          </w:p>
        </w:tc>
      </w:tr>
      <w:tr>
        <w:tc>
          <w:tcPr>
            <w:tcW w:type="dxa" w:w="9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1</w:t>
            </w:r>
          </w:p>
        </w:tc>
        <w:tc>
          <w:tcPr>
            <w:tcW w:type="dxa" w:w="15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25 Sep to 1 Oct</w:t>
            </w:r>
          </w:p>
        </w:tc>
        <w:tc>
          <w:tcPr>
            <w:tcW w:type="dxa" w:w="45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Register the team this week. All four Blaze accounts open. Sandbox access requested. Paystack test-mode webhook landing on our server as insurance. Rail decision made.</w:t>
            </w:r>
          </w:p>
        </w:tc>
        <w:tc>
          <w:tcPr>
            <w:tcW w:type="dxa" w:w="24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A real callback (any rail) has hit our server once</w:t>
            </w:r>
          </w:p>
        </w:tc>
      </w:tr>
      <w:tr>
        <w:tc>
          <w:tcPr>
            <w:tcW w:type="dxa" w:w="9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2</w:t>
            </w:r>
          </w:p>
        </w:tc>
        <w:tc>
          <w:tcPr>
            <w:tcW w:type="dxa" w:w="15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2 to 8 Oct</w:t>
            </w:r>
          </w:p>
        </w:tc>
        <w:tc>
          <w:tcPr>
            <w:tcW w:type="dxa" w:w="45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Create order, receive webhook, match under the rules, green state on the phone. Nothing else.</w:t>
            </w:r>
          </w:p>
        </w:tc>
        <w:tc>
          <w:tcPr>
            <w:tcW w:type="dxa" w:w="24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Test script steps 1 to 3 pass on the chosen rail</w:t>
            </w:r>
          </w:p>
        </w:tc>
      </w:tr>
      <w:tr>
        <w:tc>
          <w:tcPr>
            <w:tcW w:type="dxa" w:w="9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3</w:t>
            </w:r>
          </w:p>
        </w:tc>
        <w:tc>
          <w:tcPr>
            <w:tcW w:type="dxa" w:w="15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9 to 15 Oct</w:t>
            </w:r>
          </w:p>
        </w:tc>
        <w:tc>
          <w:tcPr>
            <w:tcW w:type="dxa" w:w="45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Ledger and export. Then, only if the loop already works: the report pack. Campus survey goes out in the background.</w:t>
            </w:r>
          </w:p>
        </w:tc>
        <w:tc>
          <w:tcPr>
            <w:tcW w:type="dxa" w:w="24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All five test steps pass</w:t>
            </w:r>
          </w:p>
        </w:tc>
      </w:tr>
      <w:tr>
        <w:tc>
          <w:tcPr>
            <w:tcW w:type="dxa" w:w="9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4</w:t>
            </w:r>
          </w:p>
        </w:tc>
        <w:tc>
          <w:tcPr>
            <w:tcW w:type="dxa" w:w="15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16 to 22 Oct</w:t>
            </w:r>
          </w:p>
        </w:tc>
        <w:tc>
          <w:tcPr>
            <w:tcW w:type="dxa" w:w="45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Pilot with ten real student sellers using the app for every order for seven days. Log every result.</w:t>
            </w:r>
          </w:p>
        </w:tc>
        <w:tc>
          <w:tcPr>
            <w:tcW w:type="dxa" w:w="24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At least twenty well-logged orders</w:t>
            </w:r>
          </w:p>
        </w:tc>
      </w:tr>
      <w:tr>
        <w:tc>
          <w:tcPr>
            <w:tcW w:type="dxa" w:w="9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5</w:t>
            </w:r>
          </w:p>
        </w:tc>
        <w:tc>
          <w:tcPr>
            <w:tcW w:type="dxa" w:w="15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23 to 29 Oct</w:t>
            </w:r>
          </w:p>
        </w:tc>
        <w:tc>
          <w:tcPr>
            <w:tcW w:type="dxa" w:w="45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Freeze code. Fix only pilot bugs. Build the deck. Rehearse ten times, including the "sandbox is down" version.</w:t>
            </w:r>
          </w:p>
        </w:tc>
        <w:tc>
          <w:tcPr>
            <w:tcW w:type="dxa" w:w="24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Two full dry runs in front of people who have not seen it</w:t>
            </w:r>
          </w:p>
        </w:tc>
      </w:tr>
      <w:tr>
        <w:tc>
          <w:tcPr>
            <w:tcW w:type="dxa" w:w="9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Finale</w:t>
            </w:r>
          </w:p>
        </w:tc>
        <w:tc>
          <w:tcPr>
            <w:tcW w:type="dxa" w:w="15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30 Oct</w:t>
            </w:r>
          </w:p>
        </w:tc>
        <w:tc>
          <w:tcPr>
            <w:tcW w:type="dxa" w:w="45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Pitch.</w:t>
            </w:r>
          </w:p>
        </w:tc>
        <w:tc>
          <w:tcPr>
            <w:tcW w:type="dxa" w:w="2400"/>
            <w:tcMar>
              <w:top w:type="dxa" w:w="60"/>
              <w:left w:type="dxa" w:w="100"/>
              <w:bottom w:type="dxa" w:w="60"/>
              <w:right w:type="dxa" w:w="100"/>
            </w:tcMar>
          </w:tcPr>
          <w:p>
            <w:pPr>
              <w:spacing w:after="0" w:line="270"/>
            </w:pPr>
          </w:p>
        </w:tc>
      </w:tr>
    </w:tbl>
    <w:p>
      <w:pPr>
        <w:spacing w:after="60"/>
      </w:pPr>
    </w:p>
    <w:p>
      <w:pPr>
        <w:spacing w:after="120" w:line="300"/>
      </w:pPr>
      <w:r>
        <w:rPr>
          <w:rFonts w:ascii="Calibri" w:cs="Calibri" w:eastAsia="Calibri" w:hAnsi="Calibri"/>
          <w:sz w:val="22"/>
          <w:szCs w:val="22"/>
        </w:rPr>
        <w:t xml:space="preserve">Not on the critical path: the 100-person survey, the report button, and hitting a round number of pilot orders. If regional dates land earlier than expected, weeks 3 to 5 compress and the survey is the first thing dropped.</w:t>
      </w:r>
    </w:p>
    <w:p>
      <w:pPr>
        <w:pStyle w:val="Heading1"/>
        <w:spacing w:after="140" w:before="320"/>
      </w:pPr>
      <w:r>
        <w:rPr>
          <w:rFonts w:ascii="Calibri" w:cs="Calibri" w:eastAsia="Calibri" w:hAnsi="Calibri"/>
          <w:b/>
          <w:bCs/>
          <w:color w:val="1B7F3B"/>
          <w:sz w:val="30"/>
          <w:szCs w:val="30"/>
        </w:rPr>
        <w:t xml:space="preserve">10. Team roles for four people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shd w:fill="F2F2F2" w:color="auto" w:val="clear"/>
            <w:tcMar>
              <w:top w:type="dxa" w:w="60"/>
              <w:left w:type="dxa" w:w="100"/>
              <w:bottom w:type="dxa" w:w="60"/>
              <w:right w:type="dxa" w:w="100"/>
            </w:tcMar>
          </w:tcPr>
          <w:p>
            <w:pPr>
              <w:spacing w:after="0" w:line="270"/>
            </w:pPr>
            <w:r>
              <w:rPr>
                <w:rFonts w:ascii="Calibri" w:cs="Calibri" w:eastAsia="Calibri" w:hAnsi="Calibri"/>
                <w:b/>
                <w:bCs/>
                <w:sz w:val="20"/>
                <w:szCs w:val="20"/>
              </w:rPr>
              <w:t xml:space="preserve">Role</w:t>
            </w:r>
          </w:p>
        </w:tc>
        <w:tc>
          <w:tcPr>
            <w:tcW w:type="dxa" w:w="3600"/>
            <w:shd w:fill="F2F2F2" w:color="auto" w:val="clear"/>
            <w:tcMar>
              <w:top w:type="dxa" w:w="60"/>
              <w:left w:type="dxa" w:w="100"/>
              <w:bottom w:type="dxa" w:w="60"/>
              <w:right w:type="dxa" w:w="100"/>
            </w:tcMar>
          </w:tcPr>
          <w:p>
            <w:pPr>
              <w:spacing w:after="0" w:line="270"/>
            </w:pPr>
            <w:r>
              <w:rPr>
                <w:rFonts w:ascii="Calibri" w:cs="Calibri" w:eastAsia="Calibri" w:hAnsi="Calibri"/>
                <w:b/>
                <w:bCs/>
                <w:sz w:val="20"/>
                <w:szCs w:val="20"/>
              </w:rPr>
              <w:t xml:space="preserve">Owns</w:t>
            </w:r>
          </w:p>
        </w:tc>
        <w:tc>
          <w:tcPr>
            <w:tcW w:type="dxa" w:w="3560"/>
            <w:shd w:fill="F2F2F2" w:color="auto" w:val="clear"/>
            <w:tcMar>
              <w:top w:type="dxa" w:w="60"/>
              <w:left w:type="dxa" w:w="100"/>
              <w:bottom w:type="dxa" w:w="60"/>
              <w:right w:type="dxa" w:w="100"/>
            </w:tcMar>
          </w:tcPr>
          <w:p>
            <w:pPr>
              <w:spacing w:after="0" w:line="270"/>
            </w:pPr>
            <w:r>
              <w:rPr>
                <w:rFonts w:ascii="Calibri" w:cs="Calibri" w:eastAsia="Calibri" w:hAnsi="Calibri"/>
                <w:b/>
                <w:bCs/>
                <w:sz w:val="20"/>
                <w:szCs w:val="20"/>
              </w:rPr>
              <w:t xml:space="preserve">First task this week</w:t>
            </w:r>
          </w:p>
        </w:tc>
      </w:tr>
      <w:tr>
        <w:tc>
          <w:tcPr>
            <w:tcW w:type="dxa" w:w="22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Rails and server</w:t>
            </w:r>
          </w:p>
        </w:tc>
        <w:tc>
          <w:tcPr>
            <w:tcW w:type="dxa" w:w="36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Sandbox access, webhook receiver, matching, ledger, exports</w:t>
            </w:r>
          </w:p>
        </w:tc>
        <w:tc>
          <w:tcPr>
            <w:tcW w:type="dxa" w:w="35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Email Ecobank developer support; stand up a Paystack test-mode webhook so a callback lands by Friday</w:t>
            </w:r>
          </w:p>
        </w:tc>
      </w:tr>
      <w:tr>
        <w:tc>
          <w:tcPr>
            <w:tcW w:type="dxa" w:w="22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Mobile app</w:t>
            </w:r>
          </w:p>
        </w:tc>
        <w:tc>
          <w:tcPr>
            <w:tcW w:type="dxa" w:w="36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Seller app, green state, push, WhatsApp share, PDF export</w:t>
            </w:r>
          </w:p>
        </w:tc>
        <w:tc>
          <w:tcPr>
            <w:tcW w:type="dxa" w:w="35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Clickable prototype of the three screens: create order, order list, ledger</w:t>
            </w:r>
          </w:p>
        </w:tc>
      </w:tr>
      <w:tr>
        <w:tc>
          <w:tcPr>
            <w:tcW w:type="dxa" w:w="22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Pilot and evidence</w:t>
            </w:r>
          </w:p>
        </w:tc>
        <w:tc>
          <w:tcPr>
            <w:tcW w:type="dxa" w:w="36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The ten pilot sellers and their log, every screenshot of every source, the survey (secondary)</w:t>
            </w:r>
          </w:p>
        </w:tc>
        <w:tc>
          <w:tcPr>
            <w:tcW w:type="dxa" w:w="35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Recruit the first ten sellers from your own campus contacts</w:t>
            </w:r>
          </w:p>
        </w:tc>
      </w:tr>
      <w:tr>
        <w:tc>
          <w:tcPr>
            <w:tcW w:type="dxa" w:w="22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Rules and pitch</w:t>
            </w:r>
          </w:p>
        </w:tc>
        <w:tc>
          <w:tcPr>
            <w:tcW w:type="dxa" w:w="36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Age and BVN checks, registration, YouthCred question to Ecobank, privacy notice, the deck, the demo script</w:t>
            </w:r>
          </w:p>
        </w:tc>
        <w:tc>
          <w:tcPr>
            <w:tcW w:type="dxa" w:w="35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Confirm all four ages are 18 to 25 with school ID; register; write the two emails to Ecobank</w:t>
            </w:r>
          </w:p>
        </w:tc>
      </w:tr>
    </w:tbl>
    <w:p>
      <w:pPr>
        <w:spacing w:after="60"/>
      </w:pPr>
    </w:p>
    <w:p>
      <w:pPr>
        <w:spacing w:after="120" w:line="300"/>
      </w:pPr>
      <w:r>
        <w:rPr>
          <w:rFonts w:ascii="Calibri" w:cs="Calibri" w:eastAsia="Calibri" w:hAnsi="Calibri"/>
          <w:sz w:val="22"/>
          <w:szCs w:val="22"/>
        </w:rPr>
        <w:t xml:space="preserve">Everyone builds; these are the things one person is answerable for. The presenter should be the person who ran the pilot, because they can answer "what happened with real sellers" from memory.</w:t>
      </w:r>
    </w:p>
    <w:p>
      <w:pPr>
        <w:pStyle w:val="Heading1"/>
        <w:spacing w:after="140" w:before="320"/>
      </w:pPr>
      <w:r>
        <w:rPr>
          <w:rFonts w:ascii="Calibri" w:cs="Calibri" w:eastAsia="Calibri" w:hAnsi="Calibri"/>
          <w:b/>
          <w:bCs/>
          <w:color w:val="1B7F3B"/>
          <w:sz w:val="30"/>
          <w:szCs w:val="30"/>
        </w:rPr>
        <w:t xml:space="preserve">11. This week's blockers: do these before writing real code</w:t>
      </w:r>
    </w:p>
    <w:p>
      <w:pPr>
        <w:spacing w:after="80" w:line="290"/>
        <w:ind w:left="360"/>
      </w:pPr>
      <w:r>
        <w:rPr>
          <w:rFonts w:ascii="Calibri" w:cs="Calibri" w:eastAsia="Calibri" w:hAnsi="Calibri"/>
          <w:sz w:val="22"/>
          <w:szCs w:val="22"/>
        </w:rPr>
        <w:t xml:space="preserve">☐  </w:t>
      </w:r>
      <w:r>
        <w:rPr>
          <w:rFonts w:ascii="Calibri" w:cs="Calibri" w:eastAsia="Calibri" w:hAnsi="Calibri"/>
          <w:b/>
          <w:bCs/>
          <w:sz w:val="22"/>
          <w:szCs w:val="22"/>
        </w:rPr>
        <w:t xml:space="preserve">Ages.</w:t>
      </w:r>
      <w:r>
        <w:rPr>
          <w:rFonts w:ascii="Calibri" w:cs="Calibri" w:eastAsia="Calibri" w:hAnsi="Calibri"/>
          <w:sz w:val="22"/>
          <w:szCs w:val="22"/>
        </w:rPr>
        <w:t xml:space="preserve"> All four members are 18 to 25 with a valid school ID. The site says 16 to 25 at application, but BVN enrolment has been 18+ since 1 May 2026, so a 16- or 17-year-old may not be able to open the Blaze account registration requires.</w:t>
      </w:r>
    </w:p>
    <w:p>
      <w:pPr>
        <w:spacing w:after="80" w:line="290"/>
        <w:ind w:left="360"/>
      </w:pPr>
      <w:r>
        <w:rPr>
          <w:rFonts w:ascii="Calibri" w:cs="Calibri" w:eastAsia="Calibri" w:hAnsi="Calibri"/>
          <w:sz w:val="22"/>
          <w:szCs w:val="22"/>
        </w:rPr>
        <w:t xml:space="preserve">☐  </w:t>
      </w:r>
      <w:r>
        <w:rPr>
          <w:rFonts w:ascii="Calibri" w:cs="Calibri" w:eastAsia="Calibri" w:hAnsi="Calibri"/>
          <w:b/>
          <w:bCs/>
          <w:sz w:val="22"/>
          <w:szCs w:val="22"/>
        </w:rPr>
        <w:t xml:space="preserve">Blaze accounts.</w:t>
      </w:r>
      <w:r>
        <w:rPr>
          <w:rFonts w:ascii="Calibri" w:cs="Calibri" w:eastAsia="Calibri" w:hAnsi="Calibri"/>
          <w:sz w:val="22"/>
          <w:szCs w:val="22"/>
        </w:rPr>
        <w:t xml:space="preserve"> Each member opens one. The register page asks for each member's Ecobank account number and says the name must match the account.</w:t>
      </w:r>
    </w:p>
    <w:p>
      <w:pPr>
        <w:spacing w:after="80" w:line="290"/>
        <w:ind w:left="360"/>
      </w:pPr>
      <w:r>
        <w:rPr>
          <w:rFonts w:ascii="Calibri" w:cs="Calibri" w:eastAsia="Calibri" w:hAnsi="Calibri"/>
          <w:sz w:val="22"/>
          <w:szCs w:val="22"/>
        </w:rPr>
        <w:t xml:space="preserve">☐  </w:t>
      </w:r>
      <w:r>
        <w:rPr>
          <w:rFonts w:ascii="Calibri" w:cs="Calibri" w:eastAsia="Calibri" w:hAnsi="Calibri"/>
          <w:b/>
          <w:bCs/>
          <w:sz w:val="22"/>
          <w:szCs w:val="22"/>
        </w:rPr>
        <w:t xml:space="preserve">Register the team</w:t>
      </w:r>
      <w:r>
        <w:rPr>
          <w:rFonts w:ascii="Calibri" w:cs="Calibri" w:eastAsia="Calibri" w:hAnsi="Calibri"/>
          <w:sz w:val="22"/>
          <w:szCs w:val="22"/>
        </w:rPr>
        <w:t xml:space="preserve"> at innovatex.africa/register under Track A with the one-paragraph summary from this brief. Do it this week; regional selection precedes the finale and its dates are unpublished.</w:t>
      </w:r>
    </w:p>
    <w:p>
      <w:pPr>
        <w:spacing w:after="80" w:line="290"/>
        <w:ind w:left="360"/>
      </w:pPr>
      <w:r>
        <w:rPr>
          <w:rFonts w:ascii="Calibri" w:cs="Calibri" w:eastAsia="Calibri" w:hAnsi="Calibri"/>
          <w:sz w:val="22"/>
          <w:szCs w:val="22"/>
        </w:rPr>
        <w:t xml:space="preserve">☐  </w:t>
      </w:r>
      <w:r>
        <w:rPr>
          <w:rFonts w:ascii="Calibri" w:cs="Calibri" w:eastAsia="Calibri" w:hAnsi="Calibri"/>
          <w:b/>
          <w:bCs/>
          <w:sz w:val="22"/>
          <w:szCs w:val="22"/>
        </w:rPr>
        <w:t xml:space="preserve">Email Ecobank developer support</w:t>
      </w:r>
      <w:r>
        <w:rPr>
          <w:rFonts w:ascii="Calibri" w:cs="Calibri" w:eastAsia="Calibri" w:hAnsi="Calibri"/>
          <w:sz w:val="22"/>
          <w:szCs w:val="22"/>
        </w:rPr>
        <w:t xml:space="preserve"> via developer.ecobank.com: ask for sandbox credentials, whether the Notification Service webhook fires on a personal youth account, and whether a per-customer virtual account product exists. Attach the one-paragraph summary.</w:t>
      </w:r>
    </w:p>
    <w:p>
      <w:pPr>
        <w:spacing w:after="80" w:line="290"/>
        <w:ind w:left="360"/>
      </w:pPr>
      <w:r>
        <w:rPr>
          <w:rFonts w:ascii="Calibri" w:cs="Calibri" w:eastAsia="Calibri" w:hAnsi="Calibri"/>
          <w:sz w:val="22"/>
          <w:szCs w:val="22"/>
        </w:rPr>
        <w:t xml:space="preserve">☐  </w:t>
      </w:r>
      <w:r>
        <w:rPr>
          <w:rFonts w:ascii="Calibri" w:cs="Calibri" w:eastAsia="Calibri" w:hAnsi="Calibri"/>
          <w:b/>
          <w:bCs/>
          <w:sz w:val="22"/>
          <w:szCs w:val="22"/>
        </w:rPr>
        <w:t xml:space="preserve">Stand up the fallback.</w:t>
      </w:r>
      <w:r>
        <w:rPr>
          <w:rFonts w:ascii="Calibri" w:cs="Calibri" w:eastAsia="Calibri" w:hAnsi="Calibri"/>
          <w:sz w:val="22"/>
          <w:szCs w:val="22"/>
        </w:rPr>
        <w:t xml:space="preserve"> Paystack test-mode virtual account and webhook receiving on our server, so a real callback exists by Friday whatever Ecobank says.</w:t>
      </w:r>
    </w:p>
    <w:p>
      <w:pPr>
        <w:spacing w:after="80" w:line="290"/>
        <w:ind w:left="360"/>
      </w:pPr>
      <w:r>
        <w:rPr>
          <w:rFonts w:ascii="Calibri" w:cs="Calibri" w:eastAsia="Calibri" w:hAnsi="Calibri"/>
          <w:sz w:val="22"/>
          <w:szCs w:val="22"/>
        </w:rPr>
        <w:t xml:space="preserve">☐  </w:t>
      </w:r>
      <w:r>
        <w:rPr>
          <w:rFonts w:ascii="Calibri" w:cs="Calibri" w:eastAsia="Calibri" w:hAnsi="Calibri"/>
          <w:b/>
          <w:bCs/>
          <w:sz w:val="22"/>
          <w:szCs w:val="22"/>
        </w:rPr>
        <w:t xml:space="preserve">Ask Ecobank or YouthCred one question:</w:t>
      </w:r>
      <w:r>
        <w:rPr>
          <w:rFonts w:ascii="Calibri" w:cs="Calibri" w:eastAsia="Calibri" w:hAnsi="Calibri"/>
          <w:sz w:val="22"/>
          <w:szCs w:val="22"/>
        </w:rPr>
        <w:t xml:space="preserve"> "Would six months of verified inflows on a Blaze account affect a corps member's eligibility or limit?" Keep the written answer. A yes is the closing slide; a no changes nothing in the build.</w:t>
      </w:r>
    </w:p>
    <w:p>
      <w:pPr>
        <w:spacing w:after="80" w:line="290"/>
        <w:ind w:left="360"/>
      </w:pPr>
      <w:r>
        <w:rPr>
          <w:rFonts w:ascii="Calibri" w:cs="Calibri" w:eastAsia="Calibri" w:hAnsi="Calibri"/>
          <w:sz w:val="22"/>
          <w:szCs w:val="22"/>
        </w:rPr>
        <w:t xml:space="preserve">☐  </w:t>
      </w:r>
      <w:r>
        <w:rPr>
          <w:rFonts w:ascii="Calibri" w:cs="Calibri" w:eastAsia="Calibri" w:hAnsi="Calibri"/>
          <w:b/>
          <w:bCs/>
          <w:sz w:val="22"/>
          <w:szCs w:val="22"/>
        </w:rPr>
        <w:t xml:space="preserve">Screenshot every source</w:t>
      </w:r>
      <w:r>
        <w:rPr>
          <w:rFonts w:ascii="Calibri" w:cs="Calibri" w:eastAsia="Calibri" w:hAnsi="Calibri"/>
          <w:sz w:val="22"/>
          <w:szCs w:val="22"/>
        </w:rPr>
        <w:t xml:space="preserve"> in section 6, especially the Blaze page (7.95%, ₦500,000, three free transfers) and the Punch article (64%, market names).</w:t>
      </w:r>
    </w:p>
    <w:p>
      <w:pPr>
        <w:spacing w:after="80" w:line="290"/>
        <w:ind w:left="360"/>
      </w:pPr>
      <w:r>
        <w:rPr>
          <w:rFonts w:ascii="Calibri" w:cs="Calibri" w:eastAsia="Calibri" w:hAnsi="Calibri"/>
          <w:sz w:val="22"/>
          <w:szCs w:val="22"/>
        </w:rPr>
        <w:t xml:space="preserve">☐  </w:t>
      </w:r>
      <w:r>
        <w:rPr>
          <w:rFonts w:ascii="Calibri" w:cs="Calibri" w:eastAsia="Calibri" w:hAnsi="Calibri"/>
          <w:b/>
          <w:bCs/>
          <w:sz w:val="22"/>
          <w:szCs w:val="22"/>
        </w:rPr>
        <w:t xml:space="preserve">Survey drafted</w:t>
      </w:r>
      <w:r>
        <w:rPr>
          <w:rFonts w:ascii="Calibri" w:cs="Calibri" w:eastAsia="Calibri" w:hAnsi="Calibri"/>
          <w:sz w:val="22"/>
          <w:szCs w:val="22"/>
        </w:rPr>
        <w:t xml:space="preserve">, sent only after the callback lands. Ten questions, Google Form, WhatsApp broadcast to student sellers.</w:t>
      </w:r>
    </w:p>
    <w:p>
      <w:pPr>
        <w:pStyle w:val="Heading1"/>
        <w:spacing w:after="140" w:before="320"/>
      </w:pPr>
      <w:r>
        <w:rPr>
          <w:rFonts w:ascii="Calibri" w:cs="Calibri" w:eastAsia="Calibri" w:hAnsi="Calibri"/>
          <w:b/>
          <w:bCs/>
          <w:color w:val="1B7F3B"/>
          <w:sz w:val="30"/>
          <w:szCs w:val="30"/>
        </w:rPr>
        <w:t xml:space="preserve">12. Pitch storyline: slide order and what to say</w:t>
      </w:r>
    </w:p>
    <w:p>
      <w:pPr>
        <w:spacing w:after="120" w:line="300"/>
      </w:pPr>
      <w:r>
        <w:rPr>
          <w:rFonts w:ascii="Calibri" w:cs="Calibri" w:eastAsia="Calibri" w:hAnsi="Calibri"/>
          <w:sz w:val="22"/>
          <w:szCs w:val="22"/>
        </w:rPr>
        <w:t xml:space="preserve">Ten slides, seven minutes. The demo is in the middle, not the end, so a technical failure still leaves time to recover.</w:t>
      </w:r>
    </w:p>
    <w:p>
      <w:pPr>
        <w:pStyle w:val="ListParagraph"/>
        <w:numPr>
          <w:ilvl w:val="0"/>
          <w:numId w:val="7"/>
        </w:numPr>
        <w:spacing w:after="80" w:line="290"/>
      </w:pPr>
      <w:r>
        <w:rPr>
          <w:rFonts w:ascii="Calibri" w:cs="Calibri" w:eastAsia="Calibri" w:hAnsi="Calibri"/>
          <w:b/>
          <w:bCs/>
          <w:sz w:val="22"/>
          <w:szCs w:val="22"/>
        </w:rPr>
        <w:t xml:space="preserve">Title.</w:t>
      </w:r>
      <w:r>
        <w:rPr>
          <w:rFonts w:ascii="Calibri" w:cs="Calibri" w:eastAsia="Calibri" w:hAnsi="Calibri"/>
          <w:sz w:val="22"/>
          <w:szCs w:val="22"/>
        </w:rPr>
        <w:t xml:space="preserve"> "Shigo. It has entered." Then one line: "The seller's screen turns green only when the bank says so."</w:t>
      </w:r>
    </w:p>
    <w:p>
      <w:pPr>
        <w:pStyle w:val="ListParagraph"/>
        <w:numPr>
          <w:ilvl w:val="0"/>
          <w:numId w:val="7"/>
        </w:numPr>
        <w:spacing w:after="80" w:line="290"/>
      </w:pPr>
      <w:r>
        <w:rPr>
          <w:rFonts w:ascii="Calibri" w:cs="Calibri" w:eastAsia="Calibri" w:hAnsi="Calibri"/>
          <w:b/>
          <w:bCs/>
          <w:sz w:val="22"/>
          <w:szCs w:val="22"/>
        </w:rPr>
        <w:t xml:space="preserve">The moment.</w:t>
      </w:r>
      <w:r>
        <w:rPr>
          <w:rFonts w:ascii="Calibri" w:cs="Calibri" w:eastAsia="Calibri" w:hAnsi="Calibri"/>
          <w:sz w:val="22"/>
          <w:szCs w:val="22"/>
        </w:rPr>
        <w:t xml:space="preserve"> A photo of a student seller looking at a customer's phone. "This is where the money is lost. She is checking his screen, not her account."</w:t>
      </w:r>
    </w:p>
    <w:p>
      <w:pPr>
        <w:pStyle w:val="ListParagraph"/>
        <w:numPr>
          <w:ilvl w:val="0"/>
          <w:numId w:val="7"/>
        </w:numPr>
        <w:spacing w:after="80" w:line="290"/>
      </w:pPr>
      <w:r>
        <w:rPr>
          <w:rFonts w:ascii="Calibri" w:cs="Calibri" w:eastAsia="Calibri" w:hAnsi="Calibri"/>
          <w:b/>
          <w:bCs/>
          <w:sz w:val="22"/>
          <w:szCs w:val="22"/>
        </w:rPr>
        <w:t xml:space="preserve">The crime.</w:t>
      </w:r>
      <w:r>
        <w:rPr>
          <w:rFonts w:ascii="Calibri" w:cs="Calibri" w:eastAsia="Calibri" w:hAnsi="Calibri"/>
          <w:sz w:val="22"/>
          <w:szCs w:val="22"/>
        </w:rPr>
        <w:t xml:space="preserve"> Slipcraft, Sahara Reporters, 20 September 2026: 61,000 members, 650 points per receipt. Kuda confirmed the impersonation. Say the date, not "days ago".</w:t>
      </w:r>
    </w:p>
    <w:p>
      <w:pPr>
        <w:pStyle w:val="ListParagraph"/>
        <w:numPr>
          <w:ilvl w:val="0"/>
          <w:numId w:val="7"/>
        </w:numPr>
        <w:spacing w:after="80" w:line="290"/>
      </w:pPr>
      <w:r>
        <w:rPr>
          <w:rFonts w:ascii="Calibri" w:cs="Calibri" w:eastAsia="Calibri" w:hAnsi="Calibri"/>
          <w:b/>
          <w:bCs/>
          <w:sz w:val="22"/>
          <w:szCs w:val="22"/>
        </w:rPr>
        <w:t xml:space="preserve">The damage.</w:t>
      </w:r>
      <w:r>
        <w:rPr>
          <w:rFonts w:ascii="Calibri" w:cs="Calibri" w:eastAsia="Calibri" w:hAnsi="Calibri"/>
          <w:sz w:val="22"/>
          <w:szCs w:val="22"/>
        </w:rPr>
        <w:t xml:space="preserve"> Punch, 15 February 2025, 330 traders: 52% saw a fake alert, 27% lost money, 15% stopped taking transfers, 64% waited over 30 minutes. Then our own campus number beside it. Add: "We are not making transfers faster. Amber means the goods stay on the table."</w:t>
      </w:r>
    </w:p>
    <w:p>
      <w:pPr>
        <w:pStyle w:val="ListParagraph"/>
        <w:numPr>
          <w:ilvl w:val="0"/>
          <w:numId w:val="7"/>
        </w:numPr>
        <w:spacing w:after="80" w:line="290"/>
      </w:pPr>
      <w:r>
        <w:rPr>
          <w:rFonts w:ascii="Calibri" w:cs="Calibri" w:eastAsia="Calibri" w:hAnsi="Calibri"/>
          <w:b/>
          <w:bCs/>
          <w:sz w:val="22"/>
          <w:szCs w:val="22"/>
        </w:rPr>
        <w:t xml:space="preserve">The user.</w:t>
      </w:r>
      <w:r>
        <w:rPr>
          <w:rFonts w:ascii="Calibri" w:cs="Calibri" w:eastAsia="Calibri" w:hAnsi="Calibri"/>
          <w:sz w:val="22"/>
          <w:szCs w:val="22"/>
        </w:rPr>
        <w:t xml:space="preserve"> The Garage via TechCabal: two-thirds of students earn, one in four runs a business, 53% sell on WhatsApp. They are 18 to 25. They can open Blaze.</w:t>
      </w:r>
    </w:p>
    <w:p>
      <w:pPr>
        <w:pStyle w:val="ListParagraph"/>
        <w:numPr>
          <w:ilvl w:val="0"/>
          <w:numId w:val="7"/>
        </w:numPr>
        <w:spacing w:after="80" w:line="290"/>
      </w:pPr>
      <w:r>
        <w:rPr>
          <w:rFonts w:ascii="Calibri" w:cs="Calibri" w:eastAsia="Calibri" w:hAnsi="Calibri"/>
          <w:b/>
          <w:bCs/>
          <w:sz w:val="22"/>
          <w:szCs w:val="22"/>
        </w:rPr>
        <w:t xml:space="preserve">Live demo.</w:t>
      </w:r>
      <w:r>
        <w:rPr>
          <w:rFonts w:ascii="Calibri" w:cs="Calibri" w:eastAsia="Calibri" w:hAnsi="Calibri"/>
          <w:sz w:val="22"/>
          <w:szCs w:val="22"/>
        </w:rPr>
        <w:t xml:space="preserve"> Create order, send test credit, screen goes green, ledger gains a row, export the page. Say which rail is live. Under 90 seconds.</w:t>
      </w:r>
    </w:p>
    <w:p>
      <w:pPr>
        <w:pStyle w:val="ListParagraph"/>
        <w:numPr>
          <w:ilvl w:val="0"/>
          <w:numId w:val="7"/>
        </w:numPr>
        <w:spacing w:after="80" w:line="290"/>
      </w:pPr>
      <w:r>
        <w:rPr>
          <w:rFonts w:ascii="Calibri" w:cs="Calibri" w:eastAsia="Calibri" w:hAnsi="Calibri"/>
          <w:b/>
          <w:bCs/>
          <w:sz w:val="22"/>
          <w:szCs w:val="22"/>
        </w:rPr>
        <w:t xml:space="preserve">The pilot.</w:t>
      </w:r>
      <w:r>
        <w:rPr>
          <w:rFonts w:ascii="Calibri" w:cs="Calibri" w:eastAsia="Calibri" w:hAnsi="Calibri"/>
          <w:sz w:val="22"/>
          <w:szCs w:val="22"/>
        </w:rPr>
        <w:t xml:space="preserve"> Ten sellers, seven days, N orders, every green, amber and held match, and what we changed because of it.</w:t>
      </w:r>
    </w:p>
    <w:p>
      <w:pPr>
        <w:pStyle w:val="ListParagraph"/>
        <w:numPr>
          <w:ilvl w:val="0"/>
          <w:numId w:val="7"/>
        </w:numPr>
        <w:spacing w:after="80" w:line="290"/>
      </w:pPr>
      <w:r>
        <w:rPr>
          <w:rFonts w:ascii="Calibri" w:cs="Calibri" w:eastAsia="Calibri" w:hAnsi="Calibri"/>
          <w:b/>
          <w:bCs/>
          <w:sz w:val="22"/>
          <w:szCs w:val="22"/>
        </w:rPr>
        <w:t xml:space="preserve">Why Ecobank.</w:t>
      </w:r>
      <w:r>
        <w:rPr>
          <w:rFonts w:ascii="Calibri" w:cs="Calibri" w:eastAsia="Calibri" w:hAnsi="Calibri"/>
          <w:sz w:val="22"/>
          <w:szCs w:val="22"/>
        </w:rPr>
        <w:t xml:space="preserve"> The ledger lives in a Blaze account. An OPay alert never becomes an Ecobank lending record. We are asking for a Blaze seller tier on payouts. Show the Blaze page screenshot for published benefits.</w:t>
      </w:r>
    </w:p>
    <w:p>
      <w:pPr>
        <w:pStyle w:val="ListParagraph"/>
        <w:numPr>
          <w:ilvl w:val="0"/>
          <w:numId w:val="7"/>
        </w:numPr>
        <w:spacing w:after="80" w:line="290"/>
      </w:pPr>
      <w:r>
        <w:rPr>
          <w:rFonts w:ascii="Calibri" w:cs="Calibri" w:eastAsia="Calibri" w:hAnsi="Calibri"/>
          <w:b/>
          <w:bCs/>
          <w:sz w:val="22"/>
          <w:szCs w:val="22"/>
        </w:rPr>
        <w:t xml:space="preserve">What's next.</w:t>
      </w:r>
      <w:r>
        <w:rPr>
          <w:rFonts w:ascii="Calibri" w:cs="Calibri" w:eastAsia="Calibri" w:hAnsi="Calibri"/>
          <w:sz w:val="22"/>
          <w:szCs w:val="22"/>
        </w:rPr>
        <w:t xml:space="preserve"> One slide: departmental dues into the same ledger (the FUOYE case), and the YouthCred answer if we have one.</w:t>
      </w:r>
    </w:p>
    <w:p>
      <w:pPr>
        <w:pStyle w:val="ListParagraph"/>
        <w:numPr>
          <w:ilvl w:val="0"/>
          <w:numId w:val="7"/>
        </w:numPr>
        <w:spacing w:after="80" w:line="290"/>
      </w:pPr>
      <w:r>
        <w:rPr>
          <w:rFonts w:ascii="Calibri" w:cs="Calibri" w:eastAsia="Calibri" w:hAnsi="Calibri"/>
          <w:b/>
          <w:bCs/>
          <w:sz w:val="22"/>
          <w:szCs w:val="22"/>
        </w:rPr>
        <w:t xml:space="preserve">The ask and the team.</w:t>
      </w:r>
      <w:r>
        <w:rPr>
          <w:rFonts w:ascii="Calibri" w:cs="Calibri" w:eastAsia="Calibri" w:hAnsi="Calibri"/>
          <w:sz w:val="22"/>
          <w:szCs w:val="22"/>
        </w:rPr>
        <w:t xml:space="preserve"> Sandbox to production access, a seller-tier conversation with Products, and the four names with what each built.</w:t>
      </w:r>
    </w:p>
    <w:p>
      <w:pPr>
        <w:spacing w:after="120" w:line="300"/>
      </w:pPr>
      <w:r>
        <w:rPr>
          <w:rFonts w:ascii="Calibri" w:cs="Calibri" w:eastAsia="Calibri" w:hAnsi="Calibri"/>
          <w:sz w:val="22"/>
          <w:szCs w:val="22"/>
        </w:rPr>
        <w:t xml:space="preserve">Timing: slides 1 to 5 in two minutes, demo in ninety seconds, slides 7 to 10 in three minutes, thirty seconds spare. Rehearse the version where the sandbox is unreachable: switch to the Paystack test-mode rail, say so in one sentence, continue.</w:t>
      </w:r>
    </w:p>
    <w:p>
      <w:pPr>
        <w:pStyle w:val="Heading1"/>
        <w:spacing w:after="140" w:before="320"/>
      </w:pPr>
      <w:r>
        <w:rPr>
          <w:rFonts w:ascii="Calibri" w:cs="Calibri" w:eastAsia="Calibri" w:hAnsi="Calibri"/>
          <w:b/>
          <w:bCs/>
          <w:color w:val="1B7F3B"/>
          <w:sz w:val="30"/>
          <w:szCs w:val="30"/>
        </w:rPr>
        <w:t xml:space="preserve">13. Tough questions judges will ask, and honest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F2F2F2" w:color="auto" w:val="clear"/>
            <w:tcMar>
              <w:top w:type="dxa" w:w="60"/>
              <w:left w:type="dxa" w:w="100"/>
              <w:bottom w:type="dxa" w:w="60"/>
              <w:right w:type="dxa" w:w="100"/>
            </w:tcMar>
          </w:tcPr>
          <w:p>
            <w:pPr>
              <w:spacing w:after="0" w:line="270"/>
            </w:pPr>
            <w:r>
              <w:rPr>
                <w:rFonts w:ascii="Calibri" w:cs="Calibri" w:eastAsia="Calibri" w:hAnsi="Calibri"/>
                <w:b/>
                <w:bCs/>
                <w:sz w:val="20"/>
                <w:szCs w:val="20"/>
              </w:rPr>
              <w:t xml:space="preserve">Question</w:t>
            </w:r>
          </w:p>
        </w:tc>
        <w:tc>
          <w:tcPr>
            <w:tcW w:type="dxa" w:w="6160"/>
            <w:shd w:fill="F2F2F2" w:color="auto" w:val="clear"/>
            <w:tcMar>
              <w:top w:type="dxa" w:w="60"/>
              <w:left w:type="dxa" w:w="100"/>
              <w:bottom w:type="dxa" w:w="60"/>
              <w:right w:type="dxa" w:w="100"/>
            </w:tcMar>
          </w:tcPr>
          <w:p>
            <w:pPr>
              <w:spacing w:after="0" w:line="270"/>
            </w:pPr>
            <w:r>
              <w:rPr>
                <w:rFonts w:ascii="Calibri" w:cs="Calibri" w:eastAsia="Calibri" w:hAnsi="Calibri"/>
                <w:b/>
                <w:bCs/>
                <w:sz w:val="20"/>
                <w:szCs w:val="20"/>
              </w:rPr>
              <w:t xml:space="preserve">Answer</w:t>
            </w:r>
          </w:p>
        </w:tc>
      </w:tr>
      <w:tr>
        <w:tc>
          <w:tcPr>
            <w:tcW w:type="dxa" w:w="32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"Banks already send credit alerts. What is new?"</w:t>
            </w:r>
          </w:p>
        </w:tc>
        <w:tc>
          <w:tcPr>
            <w:tcW w:type="dxa" w:w="61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Alerts go to a phone in a pocket, minutes late, mixed with a hundred others. We tie the confirmation to a specific order on the screen the seller is already looking at. And the alert never becomes a record; ours does.</w:t>
            </w:r>
          </w:p>
        </w:tc>
      </w:tr>
      <w:tr>
        <w:tc>
          <w:tcPr>
            <w:tcW w:type="dxa" w:w="32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"OPay and Moniepoint soundboxes already do this."</w:t>
            </w:r>
          </w:p>
        </w:tc>
        <w:tc>
          <w:tcPr>
            <w:tcW w:type="dxa" w:w="61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They need a device and a merchant account. A student selling wigs on WhatsApp has neither. We are software on the phone they own, on the account this competition already required them to open.</w:t>
            </w:r>
          </w:p>
        </w:tc>
      </w:tr>
      <w:tr>
        <w:tc>
          <w:tcPr>
            <w:tcW w:type="dxa" w:w="32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"Why would a student receive on Blaze when it only has three free transfers?"</w:t>
            </w:r>
          </w:p>
        </w:tc>
        <w:tc>
          <w:tcPr>
            <w:tcW w:type="dxa" w:w="61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Receiving is free; the three free transfers are outbound. The pinch comes when they pay a supplier from Blaze. That is why we are asking Products for a seller tier on payouts, and our pilot shows what such a tier would earn: N orders, ₦X in seven days.</w:t>
            </w:r>
          </w:p>
        </w:tc>
      </w:tr>
      <w:tr>
        <w:tc>
          <w:tcPr>
            <w:tcW w:type="dxa" w:w="32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"Can a fraudster beat this?"</w:t>
            </w:r>
          </w:p>
        </w:tc>
        <w:tc>
          <w:tcPr>
            <w:tcW w:type="dxa" w:w="61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Not with a fake receipt; the screen only reacts to the bank. They could send a real payment and reverse it later, which is a chargeback problem every bank already handles. We do not claim to stop that.</w:t>
            </w:r>
          </w:p>
        </w:tc>
      </w:tr>
      <w:tr>
        <w:tc>
          <w:tcPr>
            <w:tcW w:type="dxa" w:w="32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"Does this ledger change anyone's loan today?"</w:t>
            </w:r>
          </w:p>
        </w:tc>
        <w:tc>
          <w:tcPr>
            <w:tcW w:type="dxa" w:w="61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No. It is the evidence file. A licensed lender decides. We asked Ecobank and YouthCred; the answer was [insert].</w:t>
            </w:r>
          </w:p>
        </w:tc>
      </w:tr>
      <w:tr>
        <w:tc>
          <w:tcPr>
            <w:tcW w:type="dxa" w:w="32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"What about the ₦25 billion NIBSS number?"</w:t>
            </w:r>
          </w:p>
        </w:tc>
        <w:tc>
          <w:tcPr>
            <w:tcW w:type="dxa" w:w="61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A different fraud, mostly social engineering and insider abuse. We do not reduce it and will not pretend to. We stop sellers going back to cash.</w:t>
            </w:r>
          </w:p>
        </w:tc>
      </w:tr>
      <w:tr>
        <w:tc>
          <w:tcPr>
            <w:tcW w:type="dxa" w:w="32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"Why not detect fake receipts with AI?"</w:t>
            </w:r>
          </w:p>
        </w:tc>
        <w:tc>
          <w:tcPr>
            <w:tcW w:type="dxa" w:w="61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The group behind Slipcraft changed its receipt design in August. Any detector is stale within weeks. Making the receipt irrelevant is stronger than trying to read it.</w:t>
            </w:r>
          </w:p>
        </w:tc>
      </w:tr>
      <w:tr>
        <w:tc>
          <w:tcPr>
            <w:tcW w:type="dxa" w:w="32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"Two orders at the same amount. What happens?"</w:t>
            </w:r>
          </w:p>
        </w:tc>
        <w:tc>
          <w:tcPr>
            <w:tcW w:type="dxa" w:w="61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The app holds and asks the seller which order the credit belongs to. It never guesses.</w:t>
            </w:r>
          </w:p>
        </w:tc>
      </w:tr>
      <w:tr>
        <w:tc>
          <w:tcPr>
            <w:tcW w:type="dxa" w:w="32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"What data do you keep about buyers?"</w:t>
            </w:r>
          </w:p>
        </w:tc>
        <w:tc>
          <w:tcPr>
            <w:tcW w:type="dxa" w:w="61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Only what the bank's payload carries, matched to an order. No blacklist, no photos shared with other sellers. The report pack goes from the seller to their own bank.</w:t>
            </w:r>
          </w:p>
        </w:tc>
      </w:tr>
      <w:tr>
        <w:tc>
          <w:tcPr>
            <w:tcW w:type="dxa" w:w="32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"Is that Ecobank on screen right now?"</w:t>
            </w:r>
          </w:p>
        </w:tc>
        <w:tc>
          <w:tcPr>
            <w:tcW w:type="dxa" w:w="61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[Yes: sandbox credentials issued on date] or [No: Paystack test mode, because Ecobank sandbox access was not granted in time; the code path is identical, and it is not an Ecobank deposit]. Whichever is true.</w:t>
            </w:r>
          </w:p>
        </w:tc>
      </w:tr>
    </w:tbl>
    <w:p>
      <w:pPr>
        <w:pStyle w:val="Heading1"/>
        <w:spacing w:after="140" w:before="320"/>
      </w:pPr>
      <w:r>
        <w:rPr>
          <w:rFonts w:ascii="Calibri" w:cs="Calibri" w:eastAsia="Calibri" w:hAnsi="Calibri"/>
          <w:b/>
          <w:bCs/>
          <w:color w:val="1B7F3B"/>
          <w:sz w:val="30"/>
          <w:szCs w:val="30"/>
        </w:rPr>
        <w:t xml:space="preserve">14. Glossary, in plain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F2F2F2" w:color="auto" w:val="clear"/>
            <w:tcMar>
              <w:top w:type="dxa" w:w="60"/>
              <w:left w:type="dxa" w:w="100"/>
              <w:bottom w:type="dxa" w:w="60"/>
              <w:right w:type="dxa" w:w="100"/>
            </w:tcMar>
          </w:tcPr>
          <w:p>
            <w:pPr>
              <w:spacing w:after="0" w:line="270"/>
            </w:pPr>
            <w:r>
              <w:rPr>
                <w:rFonts w:ascii="Calibri" w:cs="Calibri" w:eastAsia="Calibri" w:hAnsi="Calibri"/>
                <w:b/>
                <w:bCs/>
                <w:sz w:val="20"/>
                <w:szCs w:val="20"/>
              </w:rPr>
              <w:t xml:space="preserve">Term</w:t>
            </w:r>
          </w:p>
        </w:tc>
        <w:tc>
          <w:tcPr>
            <w:tcW w:type="dxa" w:w="6960"/>
            <w:shd w:fill="F2F2F2" w:color="auto" w:val="clear"/>
            <w:tcMar>
              <w:top w:type="dxa" w:w="60"/>
              <w:left w:type="dxa" w:w="100"/>
              <w:bottom w:type="dxa" w:w="60"/>
              <w:right w:type="dxa" w:w="100"/>
            </w:tcMar>
          </w:tcPr>
          <w:p>
            <w:pPr>
              <w:spacing w:after="0" w:line="270"/>
            </w:pPr>
            <w:r>
              <w:rPr>
                <w:rFonts w:ascii="Calibri" w:cs="Calibri" w:eastAsia="Calibri" w:hAnsi="Calibri"/>
                <w:b/>
                <w:bCs/>
                <w:sz w:val="20"/>
                <w:szCs w:val="20"/>
              </w:rPr>
              <w:t xml:space="preserve">What it means here</w:t>
            </w:r>
          </w:p>
        </w:tc>
      </w:tr>
      <w:tr>
        <w:tc>
          <w:tcPr>
            <w:tcW w:type="dxa" w:w="24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Fake alert / fake receipt</w:t>
            </w:r>
          </w:p>
        </w:tc>
        <w:tc>
          <w:tcPr>
            <w:tcW w:type="dxa" w:w="69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A screenshot or SMS made to look like a bank confirmed a transfer, when no money moved.</w:t>
            </w:r>
          </w:p>
        </w:tc>
      </w:tr>
      <w:tr>
        <w:tc>
          <w:tcPr>
            <w:tcW w:type="dxa" w:w="24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Webhook</w:t>
            </w:r>
          </w:p>
        </w:tc>
        <w:tc>
          <w:tcPr>
            <w:tcW w:type="dxa" w:w="69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A message a bank's computer sends to our computer the moment something happens, such as money arriving. We do not ask; they tell us.</w:t>
            </w:r>
          </w:p>
        </w:tc>
      </w:tr>
      <w:tr>
        <w:tc>
          <w:tcPr>
            <w:tcW w:type="dxa" w:w="24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Rail</w:t>
            </w:r>
          </w:p>
        </w:tc>
        <w:tc>
          <w:tcPr>
            <w:tcW w:type="dxa" w:w="69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The bank or payment system that actually moves and confirms the money. Ecobank sandbox and Paystack are two rails.</w:t>
            </w:r>
          </w:p>
        </w:tc>
      </w:tr>
      <w:tr>
        <w:tc>
          <w:tcPr>
            <w:tcW w:type="dxa" w:w="24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Sandbox</w:t>
            </w:r>
          </w:p>
        </w:tc>
        <w:tc>
          <w:tcPr>
            <w:tcW w:type="dxa" w:w="69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A practice version of a bank's system where test money moves and nothing is real. Used to build and demo.</w:t>
            </w:r>
          </w:p>
        </w:tc>
      </w:tr>
      <w:tr>
        <w:tc>
          <w:tcPr>
            <w:tcW w:type="dxa" w:w="24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Virtual account</w:t>
            </w:r>
          </w:p>
        </w:tc>
        <w:tc>
          <w:tcPr>
            <w:tcW w:type="dxa" w:w="69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A temporary account number that belongs to one order or one customer, so any payment to it is automatically matched.</w:t>
            </w:r>
          </w:p>
        </w:tc>
      </w:tr>
      <w:tr>
        <w:tc>
          <w:tcPr>
            <w:tcW w:type="dxa" w:w="24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Narration</w:t>
            </w:r>
          </w:p>
        </w:tc>
        <w:tc>
          <w:tcPr>
            <w:tcW w:type="dxa" w:w="69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The short note a payer types on a transfer. Often cut short by apps, so never a safe way to match on its own.</w:t>
            </w:r>
          </w:p>
        </w:tc>
      </w:tr>
      <w:tr>
        <w:tc>
          <w:tcPr>
            <w:tcW w:type="dxa" w:w="24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Idempotent</w:t>
            </w:r>
          </w:p>
        </w:tc>
        <w:tc>
          <w:tcPr>
            <w:tcW w:type="dxa" w:w="69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If the bank sends the same message twice, we act on it once. No double-marking an order as paid.</w:t>
            </w:r>
          </w:p>
        </w:tc>
      </w:tr>
      <w:tr>
        <w:tc>
          <w:tcPr>
            <w:tcW w:type="dxa" w:w="24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Ledger</w:t>
            </w:r>
          </w:p>
        </w:tc>
        <w:tc>
          <w:tcPr>
            <w:tcW w:type="dxa" w:w="69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The list of confirmed payments a seller has received: date, amount, order. Owned by the seller.</w:t>
            </w:r>
          </w:p>
        </w:tc>
      </w:tr>
      <w:tr>
        <w:tc>
          <w:tcPr>
            <w:tcW w:type="dxa" w:w="24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Blaze</w:t>
            </w:r>
          </w:p>
        </w:tc>
        <w:tc>
          <w:tcPr>
            <w:tcW w:type="dxa" w:w="69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Ecobank's account for people aged 16 to 25. Required to enter this competition. Three free outbound transfers a month, free card.</w:t>
            </w:r>
          </w:p>
        </w:tc>
      </w:tr>
      <w:tr>
        <w:tc>
          <w:tcPr>
            <w:tcW w:type="dxa" w:w="24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BVN</w:t>
            </w:r>
          </w:p>
        </w:tc>
        <w:tc>
          <w:tcPr>
            <w:tcW w:type="dxa" w:w="69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Bank Verification Number, the national bank identity. Since 1 May 2026 only for people 18 and over.</w:t>
            </w:r>
          </w:p>
        </w:tc>
      </w:tr>
      <w:tr>
        <w:tc>
          <w:tcPr>
            <w:tcW w:type="dxa" w:w="24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YouthCred / CrediCorp</w:t>
            </w:r>
          </w:p>
        </w:tc>
        <w:tc>
          <w:tcPr>
            <w:tcW w:type="dxa" w:w="69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A federal youth loan scheme with a track for NYSC corps members. The loan our ledger is meant to be evidence for. Not controlled by us.</w:t>
            </w:r>
          </w:p>
        </w:tc>
      </w:tr>
      <w:tr>
        <w:tc>
          <w:tcPr>
            <w:tcW w:type="dxa" w:w="24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NIP</w:t>
            </w:r>
          </w:p>
        </w:tc>
        <w:tc>
          <w:tcPr>
            <w:tcW w:type="dxa" w:w="69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The instant interbank transfer system. "Three free NIP transfers" means three free outbound transfers to other banks.</w:t>
            </w:r>
          </w:p>
        </w:tc>
      </w:tr>
      <w:tr>
        <w:tc>
          <w:tcPr>
            <w:tcW w:type="dxa" w:w="240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Track A</w:t>
            </w:r>
          </w:p>
        </w:tc>
        <w:tc>
          <w:tcPr>
            <w:tcW w:type="dxa" w:w="6960"/>
            <w:tcMar>
              <w:top w:type="dxa" w:w="60"/>
              <w:left w:type="dxa" w:w="100"/>
              <w:bottom w:type="dxa" w:w="60"/>
              <w:right w:type="dxa" w:w="100"/>
            </w:tcMar>
          </w:tcPr>
          <w:p>
            <w:pPr>
              <w:spacing w:after="0" w:line="270"/>
            </w:pPr>
            <w:r>
              <w:rPr>
                <w:rFonts w:ascii="Calibri" w:cs="Calibri" w:eastAsia="Calibri" w:hAnsi="Calibri"/>
                <w:b w:val="false"/>
                <w:bCs w:val="false"/>
                <w:sz w:val="20"/>
                <w:szCs w:val="20"/>
              </w:rPr>
              <w:t xml:space="preserve">The Inclusive Finance track of InnovateX 2026. It lists credit solutions for youths first, then fraud detection.</w:t>
            </w:r>
          </w:p>
        </w:tc>
      </w:tr>
    </w:tbl>
    <w:p>
      <w:pPr>
        <w:pStyle w:val="Heading1"/>
        <w:spacing w:after="140" w:before="320"/>
      </w:pPr>
      <w:r>
        <w:rPr>
          <w:rFonts w:ascii="Calibri" w:cs="Calibri" w:eastAsia="Calibri" w:hAnsi="Calibri"/>
          <w:b/>
          <w:bCs/>
          <w:color w:val="1B7F3B"/>
          <w:sz w:val="30"/>
          <w:szCs w:val="30"/>
        </w:rPr>
        <w:t xml:space="preserve">Sources</w:t>
      </w:r>
    </w:p>
    <w:p>
      <w:pPr>
        <w:pStyle w:val="ListParagraph"/>
        <w:numPr>
          <w:ilvl w:val="0"/>
          <w:numId w:val="3"/>
        </w:numPr>
        <w:spacing w:after="60"/>
      </w:pPr>
      <w:hyperlink w:history="1" r:id="rIdojecgmx12jdsfwefb4cxp">
        <w:r>
          <w:rPr>
            <w:rStyle w:val="Hyperlink"/>
            <w:rFonts w:ascii="Calibri" w:cs="Calibri" w:eastAsia="Calibri" w:hAnsi="Calibri"/>
            <w:sz w:val="22"/>
            <w:szCs w:val="22"/>
          </w:rPr>
          <w:t xml:space="preserve">InnovateX 2026 site: tracks, judges, eligibility, regional venues</w:t>
        </w:r>
      </w:hyperlink>
    </w:p>
    <w:p>
      <w:pPr>
        <w:pStyle w:val="ListParagraph"/>
        <w:numPr>
          <w:ilvl w:val="0"/>
          <w:numId w:val="3"/>
        </w:numPr>
        <w:spacing w:after="60"/>
      </w:pPr>
      <w:hyperlink w:history="1" r:id="rId4tlukadmgfli9wyzo2onk">
        <w:r>
          <w:rPr>
            <w:rStyle w:val="Hyperlink"/>
            <w:rFonts w:ascii="Calibri" w:cs="Calibri" w:eastAsia="Calibri" w:hAnsi="Calibri"/>
            <w:sz w:val="22"/>
            <w:szCs w:val="22"/>
          </w:rPr>
          <w:t xml:space="preserve">Sahara Reporters, 20 Sep 2026: Slipcraft investigation</w:t>
        </w:r>
      </w:hyperlink>
    </w:p>
    <w:p>
      <w:pPr>
        <w:pStyle w:val="ListParagraph"/>
        <w:numPr>
          <w:ilvl w:val="0"/>
          <w:numId w:val="3"/>
        </w:numPr>
        <w:spacing w:after="60"/>
      </w:pPr>
      <w:hyperlink w:history="1" r:id="rIdm5onwn0exzmozl2c-menq">
        <w:r>
          <w:rPr>
            <w:rStyle w:val="Hyperlink"/>
            <w:rFonts w:ascii="Calibri" w:cs="Calibri" w:eastAsia="Calibri" w:hAnsi="Calibri"/>
            <w:sz w:val="22"/>
            <w:szCs w:val="22"/>
          </w:rPr>
          <w:t xml:space="preserve">TechCabal, 16 Mar 2026: The Garage campus gig economy study</w:t>
        </w:r>
      </w:hyperlink>
    </w:p>
    <w:p>
      <w:pPr>
        <w:pStyle w:val="ListParagraph"/>
        <w:numPr>
          <w:ilvl w:val="0"/>
          <w:numId w:val="3"/>
        </w:numPr>
        <w:spacing w:after="60"/>
      </w:pPr>
      <w:hyperlink w:history="1" r:id="rIdpksd1resrvc04tn_8iks4">
        <w:r>
          <w:rPr>
            <w:rStyle w:val="Hyperlink"/>
            <w:rFonts w:ascii="Calibri" w:cs="Calibri" w:eastAsia="Calibri" w:hAnsi="Calibri"/>
            <w:sz w:val="22"/>
            <w:szCs w:val="22"/>
          </w:rPr>
          <w:t xml:space="preserve">Ecobank Blaze page</w:t>
        </w:r>
      </w:hyperlink>
    </w:p>
    <w:p>
      <w:pPr>
        <w:pStyle w:val="ListParagraph"/>
        <w:numPr>
          <w:ilvl w:val="0"/>
          <w:numId w:val="3"/>
        </w:numPr>
        <w:spacing w:after="60"/>
      </w:pPr>
      <w:hyperlink w:history="1" r:id="rIdjsveduq8htxtc_5xoszfy">
        <w:r>
          <w:rPr>
            <w:rStyle w:val="Hyperlink"/>
            <w:rFonts w:ascii="Calibri" w:cs="Calibri" w:eastAsia="Calibri" w:hAnsi="Calibri"/>
            <w:sz w:val="22"/>
            <w:szCs w:val="22"/>
          </w:rPr>
          <w:t xml:space="preserve">Leadership: Blaze account features (earlier InnovateX launch)</w:t>
        </w:r>
      </w:hyperlink>
    </w:p>
    <w:p>
      <w:pPr>
        <w:pStyle w:val="ListParagraph"/>
        <w:numPr>
          <w:ilvl w:val="0"/>
          <w:numId w:val="3"/>
        </w:numPr>
        <w:spacing w:after="60"/>
      </w:pPr>
      <w:hyperlink w:history="1" r:id="rIdqsltjg_jah3bljbchf94q">
        <w:r>
          <w:rPr>
            <w:rStyle w:val="Hyperlink"/>
            <w:rFonts w:ascii="Calibri" w:cs="Calibri" w:eastAsia="Calibri" w:hAnsi="Calibri"/>
            <w:sz w:val="22"/>
            <w:szCs w:val="22"/>
          </w:rPr>
          <w:t xml:space="preserve">Ecobank developer documentation</w:t>
        </w:r>
      </w:hyperlink>
    </w:p>
    <w:p>
      <w:pPr>
        <w:pStyle w:val="ListParagraph"/>
        <w:numPr>
          <w:ilvl w:val="0"/>
          <w:numId w:val="3"/>
        </w:numPr>
        <w:spacing w:after="60"/>
      </w:pPr>
      <w:hyperlink w:history="1" r:id="rIdnp1wucza8jlpbj-yohjjf">
        <w:r>
          <w:rPr>
            <w:rStyle w:val="Hyperlink"/>
            <w:rFonts w:ascii="Calibri" w:cs="Calibri" w:eastAsia="Calibri" w:hAnsi="Calibri"/>
            <w:sz w:val="22"/>
            <w:szCs w:val="22"/>
          </w:rPr>
          <w:t xml:space="preserve">BusinessDay: CBN BVN rules, watchlist, 18+ enrolment</w:t>
        </w:r>
      </w:hyperlink>
    </w:p>
    <w:p>
      <w:pPr>
        <w:pStyle w:val="ListParagraph"/>
        <w:numPr>
          <w:ilvl w:val="0"/>
          <w:numId w:val="3"/>
        </w:numPr>
        <w:spacing w:after="60"/>
      </w:pPr>
      <w:hyperlink w:history="1" r:id="rIds6ntfgrc2kvyumjug72qk">
        <w:r>
          <w:rPr>
            <w:rStyle w:val="Hyperlink"/>
            <w:rFonts w:ascii="Calibri" w:cs="Calibri" w:eastAsia="Calibri" w:hAnsi="Calibri"/>
            <w:sz w:val="22"/>
            <w:szCs w:val="22"/>
          </w:rPr>
          <w:t xml:space="preserve">Legit: BVN age limit from 1 May 2026</w:t>
        </w:r>
      </w:hyperlink>
    </w:p>
    <w:p>
      <w:pPr>
        <w:pStyle w:val="ListParagraph"/>
        <w:numPr>
          <w:ilvl w:val="0"/>
          <w:numId w:val="3"/>
        </w:numPr>
        <w:spacing w:after="60"/>
      </w:pPr>
      <w:hyperlink w:history="1" r:id="rId8-8l8z0ey-hrxs6cgixig">
        <w:r>
          <w:rPr>
            <w:rStyle w:val="Hyperlink"/>
            <w:rFonts w:ascii="Calibri" w:cs="Calibri" w:eastAsia="Calibri" w:hAnsi="Calibri"/>
            <w:sz w:val="22"/>
            <w:szCs w:val="22"/>
          </w:rPr>
          <w:t xml:space="preserve">NIBSS: 2025 digital payment fraud figures</w:t>
        </w:r>
      </w:hyperlink>
    </w:p>
    <w:p>
      <w:pPr>
        <w:pStyle w:val="ListParagraph"/>
        <w:numPr>
          <w:ilvl w:val="0"/>
          <w:numId w:val="3"/>
        </w:numPr>
        <w:spacing w:after="60"/>
      </w:pPr>
      <w:hyperlink w:history="1" r:id="rId5kus8mvuph5znmhgich83">
        <w:r>
          <w:rPr>
            <w:rStyle w:val="Hyperlink"/>
            <w:rFonts w:ascii="Calibri" w:cs="Calibri" w:eastAsia="Calibri" w:hAnsi="Calibri"/>
            <w:sz w:val="22"/>
            <w:szCs w:val="22"/>
          </w:rPr>
          <w:t xml:space="preserve">Technext, 9 Apr 2026: fraud data-sharing gap</w:t>
        </w:r>
      </w:hyperlink>
    </w:p>
    <w:p>
      <w:pPr>
        <w:pStyle w:val="ListParagraph"/>
        <w:numPr>
          <w:ilvl w:val="0"/>
          <w:numId w:val="3"/>
        </w:numPr>
        <w:spacing w:after="60"/>
      </w:pPr>
      <w:hyperlink w:history="1" r:id="rIdwqf5vyicv5_by8khcypr_">
        <w:r>
          <w:rPr>
            <w:rStyle w:val="Hyperlink"/>
            <w:rFonts w:ascii="Calibri" w:cs="Calibri" w:eastAsia="Calibri" w:hAnsi="Calibri"/>
            <w:sz w:val="22"/>
            <w:szCs w:val="22"/>
          </w:rPr>
          <w:t xml:space="preserve">Business Post: 2025 InnovateX winners</w:t>
        </w:r>
      </w:hyperlink>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jecgmx12jdsfwefb4cxp" Type="http://schemas.openxmlformats.org/officeDocument/2006/relationships/hyperlink" Target="https://www.innovatex.africa/" TargetMode="External"/><Relationship Id="rId4tlukadmgfli9wyzo2onk" Type="http://schemas.openxmlformats.org/officeDocument/2006/relationships/hyperlink" Target="https://saharareporters.com/2026/09/20/investigation-how-online-platform-slipcraft-helps-scammers-fake-transfers-generate" TargetMode="External"/><Relationship Id="rIdm5onwn0exzmozl2c-menq" Type="http://schemas.openxmlformats.org/officeDocument/2006/relationships/hyperlink" Target="https://techcabal.com/2026/03/16/nigerias-campus-gig-economy-may-be-generating-%E2%82%A6400-billion-a-year/" TargetMode="External"/><Relationship Id="rIdpksd1resrvc04tn_8iks4" Type="http://schemas.openxmlformats.org/officeDocument/2006/relationships/hyperlink" Target="https://www.ecobank.com/blazers-hub" TargetMode="External"/><Relationship Id="rIdjsveduq8htxtc_5xoszfy" Type="http://schemas.openxmlformats.org/officeDocument/2006/relationships/hyperlink" Target="https://leadership.ng/ecobank-launches-innovatex-youth-competition-n20m-up-for-grabs/" TargetMode="External"/><Relationship Id="rIdqsltjg_jah3bljbchf94q" Type="http://schemas.openxmlformats.org/officeDocument/2006/relationships/hyperlink" Target="https://apimuat-developer.ecobank.com/documentation" TargetMode="External"/><Relationship Id="rIdnp1wucza8jlpbj-yohjjf" Type="http://schemas.openxmlformats.org/officeDocument/2006/relationships/hyperlink" Target="https://businessday.ng/news/article/cbn-tightens-bvn-rules-with-fraud-watchlist-phone-number-limits/" TargetMode="External"/><Relationship Id="rIds6ntfgrc2kvyumjug72qk" Type="http://schemas.openxmlformats.org/officeDocument/2006/relationships/hyperlink" Target="https://www.legit.ng/business-economy/money/1705990-cbn-announces-age-limit-bvn-enrolment-sets-commencement-date/" TargetMode="External"/><Relationship Id="rId8-8l8z0ey-hrxs6cgixig" Type="http://schemas.openxmlformats.org/officeDocument/2006/relationships/hyperlink" Target="https://nibss-plc.com.ng/digital-payment-fraud-drops-51-to-n25-85b-lagos-accounts-for-63/" TargetMode="External"/><Relationship Id="rId5kus8mvuph5znmhgich83" Type="http://schemas.openxmlformats.org/officeDocument/2006/relationships/hyperlink" Target="https://technext24.com/2026/04/09/nigeria-fintech-fraud-data-sharing-gap/" TargetMode="External"/><Relationship Id="rIdwqf5vyicv5_by8khcypr_" Type="http://schemas.openxmlformats.org/officeDocument/2006/relationships/hyperlink" Target="https://businesspost.ng/banking/leadforge-afrimetrics-stipple-care-others-win-n20m-at-ecobank-innovatex/"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2026-09-25T21:12:07.063Z</dcterms:created>
  <dcterms:modified xsi:type="dcterms:W3CDTF">2026-09-25T21:12:07.063Z</dcterms:modified>
</cp:coreProperties>
</file>

<file path=docProps/custom.xml><?xml version="1.0" encoding="utf-8"?>
<Properties xmlns="http://schemas.openxmlformats.org/officeDocument/2006/custom-properties" xmlns:vt="http://schemas.openxmlformats.org/officeDocument/2006/docPropsVTypes"/>
</file>