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3D081" w14:textId="5842D867" w:rsidR="00D4666E" w:rsidRPr="00437876" w:rsidRDefault="00D4666E" w:rsidP="00437876">
      <w:pPr>
        <w:pStyle w:val="Title"/>
      </w:pPr>
      <w:r w:rsidRPr="00437876">
        <w:t>CALCULATION OF VALUE</w:t>
      </w:r>
    </w:p>
    <w:p w14:paraId="75AB0CB2" w14:textId="3E130AAA" w:rsidR="00D4666E" w:rsidRPr="00D4666E" w:rsidRDefault="00D4666E" w:rsidP="00D4666E">
      <w:pPr>
        <w:spacing w:after="40" w:line="240" w:lineRule="auto"/>
        <w:jc w:val="center"/>
        <w:rPr>
          <w:rFonts w:ascii="Calibri" w:hAnsi="Calibri" w:cs="Calibri"/>
          <w:b/>
          <w:sz w:val="26"/>
        </w:rPr>
      </w:pPr>
      <w:r w:rsidRPr="00D4666E">
        <w:rPr>
          <w:rFonts w:ascii="Calibri" w:hAnsi="Calibri" w:cs="Calibri"/>
          <w:b/>
          <w:sz w:val="26"/>
        </w:rPr>
        <w:t>Pacific Pearl Tea Co. Ltd.</w:t>
      </w:r>
    </w:p>
    <w:p w14:paraId="1184CFD2" w14:textId="2F255ACC" w:rsidR="00D4666E" w:rsidRPr="00D4666E" w:rsidRDefault="00D4666E" w:rsidP="00D4666E">
      <w:pPr>
        <w:spacing w:after="60" w:line="220" w:lineRule="auto"/>
        <w:jc w:val="center"/>
        <w:rPr>
          <w:rFonts w:ascii="Calibri" w:hAnsi="Calibri" w:cs="Calibri"/>
          <w:sz w:val="19"/>
        </w:rPr>
      </w:pPr>
      <w:r w:rsidRPr="00D4666E">
        <w:rPr>
          <w:rFonts w:ascii="Calibri" w:hAnsi="Calibri" w:cs="Calibri"/>
          <w:sz w:val="19"/>
        </w:rPr>
        <w:t>Fair Market Value of 100% of the Common Shares, En Bloc</w:t>
      </w:r>
    </w:p>
    <w:p w14:paraId="24CABC90" w14:textId="10B09AAF" w:rsidR="00D4666E" w:rsidRPr="00D4666E" w:rsidRDefault="00D4666E" w:rsidP="00D4666E">
      <w:pPr>
        <w:spacing w:after="60" w:line="220" w:lineRule="auto"/>
        <w:jc w:val="center"/>
        <w:rPr>
          <w:rFonts w:ascii="Calibri" w:hAnsi="Calibri" w:cs="Calibri"/>
          <w:sz w:val="19"/>
        </w:rPr>
      </w:pPr>
      <w:r w:rsidRPr="00D4666E">
        <w:rPr>
          <w:rFonts w:ascii="Calibri" w:hAnsi="Calibri" w:cs="Calibri"/>
          <w:sz w:val="19"/>
        </w:rPr>
        <w:t>Valuation Date: 31 December 2025</w:t>
      </w:r>
    </w:p>
    <w:p w14:paraId="2498C66B" w14:textId="1400C134" w:rsidR="00D4666E" w:rsidRPr="00914B47" w:rsidRDefault="00D4666E" w:rsidP="00D4666E">
      <w:pPr>
        <w:spacing w:after="200" w:line="240" w:lineRule="auto"/>
        <w:ind w:left="360" w:right="360"/>
        <w:jc w:val="center"/>
        <w:rPr>
          <w:rFonts w:ascii="Calibri" w:hAnsi="Calibri" w:cs="Calibri"/>
          <w:i/>
          <w:color w:val="595959"/>
          <w:sz w:val="20"/>
        </w:rPr>
      </w:pPr>
      <w:r w:rsidRPr="00914B47">
        <w:rPr>
          <w:rFonts w:ascii="Calibri" w:hAnsi="Calibri" w:cs="Calibri"/>
          <w:i/>
          <w:color w:val="595959"/>
          <w:sz w:val="20"/>
        </w:rPr>
        <w:t>Illustrative engagement prepared for portfolio purposes. Pacific Pearl Tea Co. Ltd. is a constructed subject company; all financial information is hypothetical.</w:t>
      </w:r>
    </w:p>
    <w:p w14:paraId="3F692A68" w14:textId="408CA555" w:rsidR="00D4666E" w:rsidRPr="00437876" w:rsidRDefault="00D4666E" w:rsidP="00437876">
      <w:pPr>
        <w:pStyle w:val="Heading1"/>
      </w:pPr>
      <w:r w:rsidRPr="00437876">
        <w:t>1. SCOPE AND PURPOSE</w:t>
      </w:r>
    </w:p>
    <w:tbl>
      <w:tblPr>
        <w:tblStyle w:val="TableGrid"/>
        <w:tblW w:w="0" w:type="auto"/>
        <w:tblLook w:val="04A0" w:firstRow="1" w:lastRow="0" w:firstColumn="1" w:lastColumn="0" w:noHBand="0" w:noVBand="1"/>
      </w:tblPr>
      <w:tblGrid>
        <w:gridCol w:w="2600"/>
        <w:gridCol w:w="6800"/>
      </w:tblGrid>
      <w:tr w:rsidR="00D4666E" w:rsidRPr="00D4666E" w14:paraId="4760E06E" w14:textId="77777777" w:rsidTr="00914B47">
        <w:tc>
          <w:tcPr>
            <w:tcW w:w="2600" w:type="dxa"/>
          </w:tcPr>
          <w:p w14:paraId="17E2B671" w14:textId="07A1A0C6" w:rsidR="00D4666E" w:rsidRPr="00914B47" w:rsidRDefault="00D4666E" w:rsidP="00914B47">
            <w:pPr>
              <w:spacing w:line="200" w:lineRule="auto"/>
              <w:rPr>
                <w:rFonts w:ascii="Calibri" w:hAnsi="Calibri" w:cs="Calibri"/>
                <w:b/>
                <w:color w:val="000000"/>
                <w:sz w:val="17"/>
              </w:rPr>
            </w:pPr>
            <w:r w:rsidRPr="00914B47">
              <w:rPr>
                <w:rFonts w:ascii="Calibri" w:hAnsi="Calibri" w:cs="Calibri"/>
                <w:b/>
                <w:color w:val="000000"/>
                <w:sz w:val="17"/>
              </w:rPr>
              <w:t>Subject company</w:t>
            </w:r>
          </w:p>
        </w:tc>
        <w:tc>
          <w:tcPr>
            <w:tcW w:w="6800" w:type="dxa"/>
          </w:tcPr>
          <w:p w14:paraId="6F7DC7A4" w14:textId="5EA189E5" w:rsidR="00D4666E" w:rsidRPr="00914B47" w:rsidRDefault="00D4666E" w:rsidP="00914B47">
            <w:pPr>
              <w:spacing w:line="200" w:lineRule="auto"/>
              <w:rPr>
                <w:rFonts w:ascii="Calibri" w:hAnsi="Calibri" w:cs="Calibri"/>
                <w:color w:val="000000"/>
                <w:sz w:val="17"/>
              </w:rPr>
            </w:pPr>
            <w:r w:rsidRPr="00914B47">
              <w:rPr>
                <w:rFonts w:ascii="Calibri" w:hAnsi="Calibri" w:cs="Calibri"/>
                <w:color w:val="000000"/>
                <w:sz w:val="17"/>
              </w:rPr>
              <w:t>Pacific Pearl Tea Co. Ltd. (“the Company”)</w:t>
            </w:r>
          </w:p>
        </w:tc>
      </w:tr>
      <w:tr w:rsidR="00D4666E" w:rsidRPr="00D4666E" w14:paraId="1ECB23DC" w14:textId="77777777" w:rsidTr="00914B47">
        <w:tc>
          <w:tcPr>
            <w:tcW w:w="2600" w:type="dxa"/>
          </w:tcPr>
          <w:p w14:paraId="6A8EAD8E" w14:textId="7633F858" w:rsidR="00D4666E" w:rsidRPr="00914B47" w:rsidRDefault="00D4666E" w:rsidP="00914B47">
            <w:pPr>
              <w:spacing w:line="200" w:lineRule="auto"/>
              <w:rPr>
                <w:rFonts w:ascii="Calibri" w:hAnsi="Calibri" w:cs="Calibri"/>
                <w:b/>
                <w:color w:val="000000"/>
                <w:sz w:val="17"/>
              </w:rPr>
            </w:pPr>
            <w:r w:rsidRPr="00914B47">
              <w:rPr>
                <w:rFonts w:ascii="Calibri" w:hAnsi="Calibri" w:cs="Calibri"/>
                <w:b/>
                <w:color w:val="000000"/>
                <w:sz w:val="17"/>
              </w:rPr>
              <w:t>Business</w:t>
            </w:r>
          </w:p>
        </w:tc>
        <w:tc>
          <w:tcPr>
            <w:tcW w:w="6800" w:type="dxa"/>
          </w:tcPr>
          <w:p w14:paraId="7EA5195E" w14:textId="42CB4639" w:rsidR="00D4666E" w:rsidRPr="00914B47" w:rsidRDefault="00D4666E" w:rsidP="00914B47">
            <w:pPr>
              <w:spacing w:line="200" w:lineRule="auto"/>
              <w:rPr>
                <w:rFonts w:ascii="Calibri" w:hAnsi="Calibri" w:cs="Calibri"/>
                <w:color w:val="000000"/>
                <w:sz w:val="17"/>
              </w:rPr>
            </w:pPr>
            <w:r w:rsidRPr="00914B47">
              <w:rPr>
                <w:rFonts w:ascii="Calibri" w:hAnsi="Calibri" w:cs="Calibri"/>
                <w:color w:val="000000"/>
                <w:sz w:val="17"/>
              </w:rPr>
              <w:t>Operator of nine corporate-owned bubble tea locations in Metro Vancouver</w:t>
            </w:r>
          </w:p>
        </w:tc>
      </w:tr>
      <w:tr w:rsidR="00D4666E" w:rsidRPr="00D4666E" w14:paraId="41A87A1F" w14:textId="77777777" w:rsidTr="00914B47">
        <w:tc>
          <w:tcPr>
            <w:tcW w:w="2600" w:type="dxa"/>
          </w:tcPr>
          <w:p w14:paraId="722B7A5F" w14:textId="0B51D519" w:rsidR="00D4666E" w:rsidRPr="00914B47" w:rsidRDefault="00D4666E" w:rsidP="00914B47">
            <w:pPr>
              <w:spacing w:line="200" w:lineRule="auto"/>
              <w:rPr>
                <w:rFonts w:ascii="Calibri" w:hAnsi="Calibri" w:cs="Calibri"/>
                <w:b/>
                <w:color w:val="000000"/>
                <w:sz w:val="17"/>
              </w:rPr>
            </w:pPr>
            <w:r w:rsidRPr="00914B47">
              <w:rPr>
                <w:rFonts w:ascii="Calibri" w:hAnsi="Calibri" w:cs="Calibri"/>
                <w:b/>
                <w:color w:val="000000"/>
                <w:sz w:val="17"/>
              </w:rPr>
              <w:t>Valuation date</w:t>
            </w:r>
          </w:p>
        </w:tc>
        <w:tc>
          <w:tcPr>
            <w:tcW w:w="6800" w:type="dxa"/>
          </w:tcPr>
          <w:p w14:paraId="09028B59" w14:textId="5D68D222" w:rsidR="00D4666E" w:rsidRPr="00914B47" w:rsidRDefault="00D4666E" w:rsidP="00914B47">
            <w:pPr>
              <w:spacing w:line="200" w:lineRule="auto"/>
              <w:rPr>
                <w:rFonts w:ascii="Calibri" w:hAnsi="Calibri" w:cs="Calibri"/>
                <w:color w:val="000000"/>
                <w:sz w:val="17"/>
              </w:rPr>
            </w:pPr>
            <w:r w:rsidRPr="00914B47">
              <w:rPr>
                <w:rFonts w:ascii="Calibri" w:hAnsi="Calibri" w:cs="Calibri"/>
                <w:color w:val="000000"/>
                <w:sz w:val="17"/>
              </w:rPr>
              <w:t>31 December 2025</w:t>
            </w:r>
          </w:p>
        </w:tc>
      </w:tr>
      <w:tr w:rsidR="00D4666E" w:rsidRPr="00D4666E" w14:paraId="398937FA" w14:textId="77777777" w:rsidTr="00914B47">
        <w:tc>
          <w:tcPr>
            <w:tcW w:w="2600" w:type="dxa"/>
          </w:tcPr>
          <w:p w14:paraId="7761D837" w14:textId="19524915" w:rsidR="00D4666E" w:rsidRPr="00914B47" w:rsidRDefault="00D4666E" w:rsidP="00914B47">
            <w:pPr>
              <w:spacing w:line="200" w:lineRule="auto"/>
              <w:rPr>
                <w:rFonts w:ascii="Calibri" w:hAnsi="Calibri" w:cs="Calibri"/>
                <w:b/>
                <w:color w:val="000000"/>
                <w:sz w:val="17"/>
              </w:rPr>
            </w:pPr>
            <w:r w:rsidRPr="00914B47">
              <w:rPr>
                <w:rFonts w:ascii="Calibri" w:hAnsi="Calibri" w:cs="Calibri"/>
                <w:b/>
                <w:color w:val="000000"/>
                <w:sz w:val="17"/>
              </w:rPr>
              <w:t>Standard of value</w:t>
            </w:r>
          </w:p>
        </w:tc>
        <w:tc>
          <w:tcPr>
            <w:tcW w:w="6800" w:type="dxa"/>
          </w:tcPr>
          <w:p w14:paraId="7FB0B7D4" w14:textId="04CA5F3C" w:rsidR="00D4666E" w:rsidRPr="00914B47" w:rsidRDefault="00D4666E" w:rsidP="00914B47">
            <w:pPr>
              <w:spacing w:line="200" w:lineRule="auto"/>
              <w:rPr>
                <w:rFonts w:ascii="Calibri" w:hAnsi="Calibri" w:cs="Calibri"/>
                <w:color w:val="000000"/>
                <w:sz w:val="17"/>
              </w:rPr>
            </w:pPr>
            <w:r w:rsidRPr="00914B47">
              <w:rPr>
                <w:rFonts w:ascii="Calibri" w:hAnsi="Calibri" w:cs="Calibri"/>
                <w:color w:val="000000"/>
                <w:sz w:val="17"/>
              </w:rPr>
              <w:t>Fair market value, on a going concern basis</w:t>
            </w:r>
          </w:p>
        </w:tc>
      </w:tr>
      <w:tr w:rsidR="00D4666E" w:rsidRPr="00D4666E" w14:paraId="41AB3048" w14:textId="77777777" w:rsidTr="00914B47">
        <w:tc>
          <w:tcPr>
            <w:tcW w:w="2600" w:type="dxa"/>
          </w:tcPr>
          <w:p w14:paraId="60354451" w14:textId="62B4218A" w:rsidR="00D4666E" w:rsidRPr="00914B47" w:rsidRDefault="00D4666E" w:rsidP="00914B47">
            <w:pPr>
              <w:spacing w:line="200" w:lineRule="auto"/>
              <w:rPr>
                <w:rFonts w:ascii="Calibri" w:hAnsi="Calibri" w:cs="Calibri"/>
                <w:b/>
                <w:color w:val="000000"/>
                <w:sz w:val="17"/>
              </w:rPr>
            </w:pPr>
            <w:r w:rsidRPr="00914B47">
              <w:rPr>
                <w:rFonts w:ascii="Calibri" w:hAnsi="Calibri" w:cs="Calibri"/>
                <w:b/>
                <w:color w:val="000000"/>
                <w:sz w:val="17"/>
              </w:rPr>
              <w:t>Interest valued</w:t>
            </w:r>
          </w:p>
        </w:tc>
        <w:tc>
          <w:tcPr>
            <w:tcW w:w="6800" w:type="dxa"/>
          </w:tcPr>
          <w:p w14:paraId="768AB0BD" w14:textId="3377936F" w:rsidR="00D4666E" w:rsidRPr="00914B47" w:rsidRDefault="00D4666E" w:rsidP="00914B47">
            <w:pPr>
              <w:spacing w:line="200" w:lineRule="auto"/>
              <w:rPr>
                <w:rFonts w:ascii="Calibri" w:hAnsi="Calibri" w:cs="Calibri"/>
                <w:color w:val="000000"/>
                <w:sz w:val="17"/>
              </w:rPr>
            </w:pPr>
            <w:r w:rsidRPr="00914B47">
              <w:rPr>
                <w:rFonts w:ascii="Calibri" w:hAnsi="Calibri" w:cs="Calibri"/>
                <w:color w:val="000000"/>
                <w:sz w:val="17"/>
              </w:rPr>
              <w:t xml:space="preserve">100% of the issued common shares, </w:t>
            </w:r>
            <w:proofErr w:type="spellStart"/>
            <w:r w:rsidRPr="00914B47">
              <w:rPr>
                <w:rFonts w:ascii="Calibri" w:hAnsi="Calibri" w:cs="Calibri"/>
                <w:color w:val="000000"/>
                <w:sz w:val="17"/>
              </w:rPr>
              <w:t>en</w:t>
            </w:r>
            <w:proofErr w:type="spellEnd"/>
            <w:r w:rsidRPr="00914B47">
              <w:rPr>
                <w:rFonts w:ascii="Calibri" w:hAnsi="Calibri" w:cs="Calibri"/>
                <w:color w:val="000000"/>
                <w:sz w:val="17"/>
              </w:rPr>
              <w:t xml:space="preserve"> bloc</w:t>
            </w:r>
          </w:p>
        </w:tc>
      </w:tr>
      <w:tr w:rsidR="00D4666E" w:rsidRPr="00D4666E" w14:paraId="1F41E986" w14:textId="77777777" w:rsidTr="00914B47">
        <w:tc>
          <w:tcPr>
            <w:tcW w:w="2600" w:type="dxa"/>
          </w:tcPr>
          <w:p w14:paraId="5F680A1A" w14:textId="0D5FDD2C" w:rsidR="00D4666E" w:rsidRPr="00914B47" w:rsidRDefault="00D4666E" w:rsidP="00914B47">
            <w:pPr>
              <w:spacing w:line="200" w:lineRule="auto"/>
              <w:rPr>
                <w:rFonts w:ascii="Calibri" w:hAnsi="Calibri" w:cs="Calibri"/>
                <w:b/>
                <w:color w:val="000000"/>
                <w:sz w:val="17"/>
              </w:rPr>
            </w:pPr>
            <w:r w:rsidRPr="00914B47">
              <w:rPr>
                <w:rFonts w:ascii="Calibri" w:hAnsi="Calibri" w:cs="Calibri"/>
                <w:b/>
                <w:color w:val="000000"/>
                <w:sz w:val="17"/>
              </w:rPr>
              <w:t>Report level</w:t>
            </w:r>
          </w:p>
        </w:tc>
        <w:tc>
          <w:tcPr>
            <w:tcW w:w="6800" w:type="dxa"/>
          </w:tcPr>
          <w:p w14:paraId="35588061" w14:textId="31B49E47" w:rsidR="00D4666E" w:rsidRPr="00914B47" w:rsidRDefault="00D4666E" w:rsidP="00914B47">
            <w:pPr>
              <w:spacing w:line="200" w:lineRule="auto"/>
              <w:rPr>
                <w:rFonts w:ascii="Calibri" w:hAnsi="Calibri" w:cs="Calibri"/>
                <w:color w:val="000000"/>
                <w:sz w:val="17"/>
              </w:rPr>
            </w:pPr>
            <w:r w:rsidRPr="00914B47">
              <w:rPr>
                <w:rFonts w:ascii="Calibri" w:hAnsi="Calibri" w:cs="Calibri"/>
                <w:color w:val="000000"/>
                <w:sz w:val="17"/>
              </w:rPr>
              <w:t>Calculation of Value</w:t>
            </w:r>
          </w:p>
        </w:tc>
      </w:tr>
      <w:tr w:rsidR="00D4666E" w:rsidRPr="00D4666E" w14:paraId="20FD3C6E" w14:textId="77777777" w:rsidTr="00914B47">
        <w:tc>
          <w:tcPr>
            <w:tcW w:w="2600" w:type="dxa"/>
          </w:tcPr>
          <w:p w14:paraId="3EA87CD1" w14:textId="7928D398" w:rsidR="00D4666E" w:rsidRPr="00914B47" w:rsidRDefault="00D4666E" w:rsidP="00914B47">
            <w:pPr>
              <w:spacing w:line="200" w:lineRule="auto"/>
              <w:rPr>
                <w:rFonts w:ascii="Calibri" w:hAnsi="Calibri" w:cs="Calibri"/>
                <w:b/>
                <w:color w:val="000000"/>
                <w:sz w:val="17"/>
              </w:rPr>
            </w:pPr>
            <w:r w:rsidRPr="00914B47">
              <w:rPr>
                <w:rFonts w:ascii="Calibri" w:hAnsi="Calibri" w:cs="Calibri"/>
                <w:b/>
                <w:color w:val="000000"/>
                <w:sz w:val="17"/>
              </w:rPr>
              <w:t>Primary approach</w:t>
            </w:r>
          </w:p>
        </w:tc>
        <w:tc>
          <w:tcPr>
            <w:tcW w:w="6800" w:type="dxa"/>
          </w:tcPr>
          <w:p w14:paraId="60C92E2C" w14:textId="2E4A6B33" w:rsidR="00D4666E" w:rsidRPr="00914B47" w:rsidRDefault="00D4666E" w:rsidP="00914B47">
            <w:pPr>
              <w:spacing w:line="200" w:lineRule="auto"/>
              <w:rPr>
                <w:rFonts w:ascii="Calibri" w:hAnsi="Calibri" w:cs="Calibri"/>
                <w:color w:val="000000"/>
                <w:sz w:val="17"/>
              </w:rPr>
            </w:pPr>
            <w:r w:rsidRPr="00914B47">
              <w:rPr>
                <w:rFonts w:ascii="Calibri" w:hAnsi="Calibri" w:cs="Calibri"/>
                <w:color w:val="000000"/>
                <w:sz w:val="17"/>
              </w:rPr>
              <w:t>Capitalized cash flow (income approach)</w:t>
            </w:r>
          </w:p>
        </w:tc>
      </w:tr>
      <w:tr w:rsidR="00D4666E" w:rsidRPr="00D4666E" w14:paraId="041F027C" w14:textId="77777777" w:rsidTr="00914B47">
        <w:tc>
          <w:tcPr>
            <w:tcW w:w="2600" w:type="dxa"/>
          </w:tcPr>
          <w:p w14:paraId="2E0417C3" w14:textId="77FF5C77" w:rsidR="00D4666E" w:rsidRPr="00914B47" w:rsidRDefault="00D4666E" w:rsidP="00914B47">
            <w:pPr>
              <w:spacing w:line="200" w:lineRule="auto"/>
              <w:rPr>
                <w:rFonts w:ascii="Calibri" w:hAnsi="Calibri" w:cs="Calibri"/>
                <w:b/>
                <w:color w:val="000000"/>
                <w:sz w:val="17"/>
              </w:rPr>
            </w:pPr>
            <w:r w:rsidRPr="00914B47">
              <w:rPr>
                <w:rFonts w:ascii="Calibri" w:hAnsi="Calibri" w:cs="Calibri"/>
                <w:b/>
                <w:color w:val="000000"/>
                <w:sz w:val="17"/>
              </w:rPr>
              <w:t>Secondary approach</w:t>
            </w:r>
          </w:p>
        </w:tc>
        <w:tc>
          <w:tcPr>
            <w:tcW w:w="6800" w:type="dxa"/>
          </w:tcPr>
          <w:p w14:paraId="6E105879" w14:textId="1A8B3260" w:rsidR="00D4666E" w:rsidRPr="00914B47" w:rsidRDefault="00D4666E" w:rsidP="00914B47">
            <w:pPr>
              <w:spacing w:line="200" w:lineRule="auto"/>
              <w:rPr>
                <w:rFonts w:ascii="Calibri" w:hAnsi="Calibri" w:cs="Calibri"/>
                <w:color w:val="000000"/>
                <w:sz w:val="17"/>
              </w:rPr>
            </w:pPr>
            <w:r w:rsidRPr="00914B47">
              <w:rPr>
                <w:rFonts w:ascii="Calibri" w:hAnsi="Calibri" w:cs="Calibri"/>
                <w:color w:val="000000"/>
                <w:sz w:val="17"/>
              </w:rPr>
              <w:t>Market approach — private transaction and listed peer multiples</w:t>
            </w:r>
          </w:p>
        </w:tc>
      </w:tr>
      <w:tr w:rsidR="00D4666E" w:rsidRPr="00D4666E" w14:paraId="0F173039" w14:textId="77777777" w:rsidTr="00914B47">
        <w:tc>
          <w:tcPr>
            <w:tcW w:w="2600" w:type="dxa"/>
          </w:tcPr>
          <w:p w14:paraId="34AF1182" w14:textId="69184B23" w:rsidR="00D4666E" w:rsidRPr="00914B47" w:rsidRDefault="00D4666E" w:rsidP="00914B47">
            <w:pPr>
              <w:spacing w:line="200" w:lineRule="auto"/>
              <w:rPr>
                <w:rFonts w:ascii="Calibri" w:hAnsi="Calibri" w:cs="Calibri"/>
                <w:b/>
                <w:color w:val="000000"/>
                <w:sz w:val="17"/>
              </w:rPr>
            </w:pPr>
            <w:r w:rsidRPr="00914B47">
              <w:rPr>
                <w:rFonts w:ascii="Calibri" w:hAnsi="Calibri" w:cs="Calibri"/>
                <w:b/>
                <w:color w:val="000000"/>
                <w:sz w:val="17"/>
              </w:rPr>
              <w:t>Currency</w:t>
            </w:r>
          </w:p>
        </w:tc>
        <w:tc>
          <w:tcPr>
            <w:tcW w:w="6800" w:type="dxa"/>
          </w:tcPr>
          <w:p w14:paraId="3B3F867D" w14:textId="64077BBE" w:rsidR="00D4666E" w:rsidRPr="00914B47" w:rsidRDefault="00D4666E" w:rsidP="00914B47">
            <w:pPr>
              <w:spacing w:line="200" w:lineRule="auto"/>
              <w:rPr>
                <w:rFonts w:ascii="Calibri" w:hAnsi="Calibri" w:cs="Calibri"/>
                <w:color w:val="000000"/>
                <w:sz w:val="17"/>
              </w:rPr>
            </w:pPr>
            <w:r w:rsidRPr="00914B47">
              <w:rPr>
                <w:rFonts w:ascii="Calibri" w:hAnsi="Calibri" w:cs="Calibri"/>
                <w:color w:val="000000"/>
                <w:sz w:val="17"/>
              </w:rPr>
              <w:t>Canadian dollars, thousands unless otherwise stated</w:t>
            </w:r>
          </w:p>
        </w:tc>
      </w:tr>
    </w:tbl>
    <w:p w14:paraId="5EF38FA5" w14:textId="77777777" w:rsidR="00D4666E" w:rsidRPr="00914B47" w:rsidRDefault="00D4666E" w:rsidP="00914B47">
      <w:pPr>
        <w:spacing w:after="0" w:line="120" w:lineRule="auto"/>
        <w:rPr>
          <w:rFonts w:ascii="Calibri" w:hAnsi="Calibri" w:cs="Calibri"/>
          <w:sz w:val="12"/>
        </w:rPr>
      </w:pPr>
    </w:p>
    <w:p w14:paraId="7307EA8E" w14:textId="05EB6727" w:rsidR="00D4666E" w:rsidRPr="00D4666E" w:rsidRDefault="00D4666E" w:rsidP="00D4666E">
      <w:pPr>
        <w:spacing w:before="120" w:after="60" w:line="220" w:lineRule="auto"/>
        <w:rPr>
          <w:rFonts w:ascii="Calibri" w:hAnsi="Calibri" w:cs="Calibri"/>
          <w:sz w:val="19"/>
        </w:rPr>
      </w:pPr>
      <w:r w:rsidRPr="00D4666E">
        <w:rPr>
          <w:rFonts w:ascii="Calibri" w:hAnsi="Calibri" w:cs="Calibri"/>
          <w:sz w:val="19"/>
        </w:rPr>
        <w:t>Fair market value is the highest price, expressed in terms of money, obtainable in an open and unrestricted market between informed and prudent parties dealing at arm’s length, neither being under compulsion to transact. The value conclusion assumes a notional purchaser — a hypothetical buyer who would operate the business at arm’s length rather than continue the current owner’s personal arrangements. This assumption drives the normalization adjustments in Section 3 and the notional capital structure in Section 4.</w:t>
      </w:r>
    </w:p>
    <w:p w14:paraId="796EC01D" w14:textId="28CD0C73" w:rsidR="00D4666E" w:rsidRPr="00437876" w:rsidRDefault="00D4666E" w:rsidP="00437876">
      <w:pPr>
        <w:pStyle w:val="Heading1"/>
      </w:pPr>
      <w:r w:rsidRPr="00437876">
        <w:t>2. THE COMPANY AND ITS INDUSTRY</w:t>
      </w:r>
    </w:p>
    <w:p w14:paraId="7854CA62" w14:textId="77777777" w:rsidR="00D67161" w:rsidRPr="00D67161" w:rsidRDefault="00D67161" w:rsidP="00B029F9">
      <w:pPr>
        <w:spacing w:after="60" w:line="220" w:lineRule="auto"/>
        <w:ind w:left="280" w:right="280"/>
        <w:rPr>
          <w:rFonts w:ascii="Calibri" w:hAnsi="Calibri" w:cs="Calibri"/>
          <w:iCs/>
          <w:sz w:val="19"/>
        </w:rPr>
      </w:pPr>
      <w:r w:rsidRPr="00D67161">
        <w:rPr>
          <w:rFonts w:ascii="Calibri" w:hAnsi="Calibri" w:cs="Calibri"/>
          <w:iCs/>
          <w:sz w:val="19"/>
        </w:rPr>
        <w:t>The Company operates nine corporate-owned bubble tea locations across Metro Vancouver. The footprint grew from seven locations at the beginning of FY2023 to eight in FY2024 and nine in FY2025, with one new store opened in each year. All locations are company-operated; the Company does not franchise.</w:t>
      </w:r>
    </w:p>
    <w:p w14:paraId="63946893" w14:textId="77777777" w:rsidR="00D67161" w:rsidRPr="00D67161" w:rsidRDefault="00D67161" w:rsidP="00B029F9">
      <w:pPr>
        <w:spacing w:after="60" w:line="220" w:lineRule="auto"/>
        <w:ind w:left="280" w:right="280"/>
        <w:rPr>
          <w:rFonts w:ascii="Calibri" w:hAnsi="Calibri" w:cs="Calibri"/>
          <w:iCs/>
          <w:sz w:val="19"/>
        </w:rPr>
      </w:pPr>
      <w:r w:rsidRPr="00D67161">
        <w:rPr>
          <w:rFonts w:ascii="Calibri" w:hAnsi="Calibri" w:cs="Calibri"/>
          <w:iCs/>
          <w:sz w:val="19"/>
        </w:rPr>
        <w:t>The Company operates under a regional brand licence granted by the trademark owner, which confers use of the brand within a defined Metro Vancouver territory. The licence is subject to periodic renewal, and renewal is not automatic — a factor a purchaser would weigh in a share transaction.</w:t>
      </w:r>
    </w:p>
    <w:p w14:paraId="2D057EFF" w14:textId="77777777" w:rsidR="00D67161" w:rsidRPr="00D67161" w:rsidRDefault="00D67161" w:rsidP="00B029F9">
      <w:pPr>
        <w:spacing w:after="60" w:line="220" w:lineRule="auto"/>
        <w:ind w:left="280" w:right="280"/>
        <w:rPr>
          <w:rFonts w:ascii="Calibri" w:hAnsi="Calibri" w:cs="Calibri"/>
          <w:iCs/>
          <w:sz w:val="19"/>
        </w:rPr>
      </w:pPr>
      <w:r w:rsidRPr="00D67161">
        <w:rPr>
          <w:rFonts w:ascii="Calibri" w:hAnsi="Calibri" w:cs="Calibri"/>
          <w:iCs/>
          <w:sz w:val="19"/>
        </w:rPr>
        <w:t>Premises are held under operating leases with staggered expiry dates. Three of the nine leases expire within twenty-four months of the valuation date. Retail rents in the relevant Metro Vancouver corridors have risen materially since those leases were signed, so renewal on comparable terms is uncertain for those three locations.</w:t>
      </w:r>
    </w:p>
    <w:p w14:paraId="2F1152BB" w14:textId="77777777" w:rsidR="00D67161" w:rsidRPr="00D67161" w:rsidRDefault="00D67161" w:rsidP="00B029F9">
      <w:pPr>
        <w:spacing w:after="60" w:line="220" w:lineRule="auto"/>
        <w:ind w:left="280" w:right="280"/>
        <w:rPr>
          <w:rFonts w:ascii="Calibri" w:hAnsi="Calibri" w:cs="Calibri"/>
          <w:iCs/>
          <w:sz w:val="19"/>
        </w:rPr>
      </w:pPr>
      <w:r w:rsidRPr="00D67161">
        <w:rPr>
          <w:rFonts w:ascii="Calibri" w:hAnsi="Calibri" w:cs="Calibri"/>
          <w:iCs/>
          <w:sz w:val="19"/>
        </w:rPr>
        <w:t>Management is concentrated in the founding shareholder, who personally maintains the supplier relationships, negotiates leases and selects new sites. The general manager is the shareholder's son. The Company has no chief financial officer and no second-tier operations manager. Management depth is therefore thin, and a purchaser would need to replace or retain these functions. Management represents that all food and health permits are current; this has not been independently verified.</w:t>
      </w:r>
    </w:p>
    <w:p w14:paraId="20C9D1FA" w14:textId="617BE341" w:rsidR="00B029F9" w:rsidRPr="00D67161" w:rsidRDefault="00D67161" w:rsidP="00B029F9">
      <w:pPr>
        <w:spacing w:after="60" w:line="220" w:lineRule="auto"/>
        <w:ind w:left="280" w:right="280"/>
        <w:rPr>
          <w:rFonts w:ascii="Calibri" w:hAnsi="Calibri" w:cs="Calibri"/>
          <w:iCs/>
          <w:sz w:val="19"/>
        </w:rPr>
      </w:pPr>
      <w:r w:rsidRPr="00D67161">
        <w:rPr>
          <w:rFonts w:ascii="Calibri" w:hAnsi="Calibri" w:cs="Calibri"/>
          <w:iCs/>
          <w:sz w:val="19"/>
        </w:rPr>
        <w:t>The Metro Vancouver beverage market is highly competitive and product offerings across tea and coffee operators are largely homogeneous, so differentiation rests on elements of the customer experience such as store environment and speed of service. Two operating risks are prominent. Employee retention is low, as store roles are widely perceived as transitional rather than career positions, which raises recruitment and training costs. Input costs have risen, with raw materials, water and electricity all under inflationary pressure, compressing the gross margin absent price increases.</w:t>
      </w:r>
    </w:p>
    <w:tbl>
      <w:tblPr>
        <w:tblStyle w:val="TableGrid"/>
        <w:tblW w:w="0" w:type="auto"/>
        <w:tblLook w:val="04A0" w:firstRow="1" w:lastRow="0" w:firstColumn="1" w:lastColumn="0" w:noHBand="0" w:noVBand="1"/>
      </w:tblPr>
      <w:tblGrid>
        <w:gridCol w:w="3800"/>
        <w:gridCol w:w="1800"/>
        <w:gridCol w:w="1800"/>
        <w:gridCol w:w="1800"/>
      </w:tblGrid>
      <w:tr w:rsidR="00D4666E" w:rsidRPr="00D4666E" w14:paraId="075BA2DD" w14:textId="77777777" w:rsidTr="00914B47">
        <w:trPr>
          <w:tblHeader/>
        </w:trPr>
        <w:tc>
          <w:tcPr>
            <w:tcW w:w="3800" w:type="dxa"/>
          </w:tcPr>
          <w:p w14:paraId="4DD21796" w14:textId="77777777" w:rsidR="00D4666E" w:rsidRPr="00914B47" w:rsidRDefault="00D4666E" w:rsidP="00914B47">
            <w:pPr>
              <w:spacing w:line="120" w:lineRule="auto"/>
              <w:rPr>
                <w:rFonts w:ascii="Calibri" w:hAnsi="Calibri" w:cs="Calibri"/>
                <w:b/>
                <w:color w:val="000000"/>
                <w:sz w:val="12"/>
              </w:rPr>
            </w:pPr>
          </w:p>
        </w:tc>
        <w:tc>
          <w:tcPr>
            <w:tcW w:w="1800" w:type="dxa"/>
          </w:tcPr>
          <w:p w14:paraId="0FDFA478" w14:textId="724B2B04" w:rsidR="00D4666E" w:rsidRPr="00914B47" w:rsidRDefault="00D4666E" w:rsidP="00914B47">
            <w:pPr>
              <w:spacing w:line="200" w:lineRule="auto"/>
              <w:jc w:val="right"/>
              <w:rPr>
                <w:rFonts w:ascii="Calibri" w:hAnsi="Calibri" w:cs="Calibri"/>
                <w:b/>
                <w:color w:val="000000"/>
                <w:sz w:val="17"/>
              </w:rPr>
            </w:pPr>
            <w:r w:rsidRPr="00914B47">
              <w:rPr>
                <w:rFonts w:ascii="Calibri" w:hAnsi="Calibri" w:cs="Calibri"/>
                <w:b/>
                <w:color w:val="000000"/>
                <w:sz w:val="17"/>
              </w:rPr>
              <w:t>FY2023</w:t>
            </w:r>
          </w:p>
        </w:tc>
        <w:tc>
          <w:tcPr>
            <w:tcW w:w="1800" w:type="dxa"/>
          </w:tcPr>
          <w:p w14:paraId="11B5544E" w14:textId="48BE37AE" w:rsidR="00D4666E" w:rsidRPr="00914B47" w:rsidRDefault="00D4666E" w:rsidP="00914B47">
            <w:pPr>
              <w:spacing w:line="200" w:lineRule="auto"/>
              <w:jc w:val="right"/>
              <w:rPr>
                <w:rFonts w:ascii="Calibri" w:hAnsi="Calibri" w:cs="Calibri"/>
                <w:b/>
                <w:color w:val="000000"/>
                <w:sz w:val="17"/>
              </w:rPr>
            </w:pPr>
            <w:r w:rsidRPr="00914B47">
              <w:rPr>
                <w:rFonts w:ascii="Calibri" w:hAnsi="Calibri" w:cs="Calibri"/>
                <w:b/>
                <w:color w:val="000000"/>
                <w:sz w:val="17"/>
              </w:rPr>
              <w:t>FY2024</w:t>
            </w:r>
          </w:p>
        </w:tc>
        <w:tc>
          <w:tcPr>
            <w:tcW w:w="1800" w:type="dxa"/>
          </w:tcPr>
          <w:p w14:paraId="746FFD77" w14:textId="446AF889" w:rsidR="00D4666E" w:rsidRPr="00914B47" w:rsidRDefault="00D4666E" w:rsidP="00914B47">
            <w:pPr>
              <w:spacing w:line="200" w:lineRule="auto"/>
              <w:jc w:val="right"/>
              <w:rPr>
                <w:rFonts w:ascii="Calibri" w:hAnsi="Calibri" w:cs="Calibri"/>
                <w:b/>
                <w:color w:val="000000"/>
                <w:sz w:val="17"/>
              </w:rPr>
            </w:pPr>
            <w:r w:rsidRPr="00914B47">
              <w:rPr>
                <w:rFonts w:ascii="Calibri" w:hAnsi="Calibri" w:cs="Calibri"/>
                <w:b/>
                <w:color w:val="000000"/>
                <w:sz w:val="17"/>
              </w:rPr>
              <w:t>FY2025</w:t>
            </w:r>
          </w:p>
        </w:tc>
      </w:tr>
      <w:tr w:rsidR="00D4666E" w:rsidRPr="00D4666E" w14:paraId="1F376F92" w14:textId="77777777" w:rsidTr="00914B47">
        <w:tc>
          <w:tcPr>
            <w:tcW w:w="3800" w:type="dxa"/>
          </w:tcPr>
          <w:p w14:paraId="6183A9A9" w14:textId="56CD6FF1" w:rsidR="00D4666E" w:rsidRPr="00914B47" w:rsidRDefault="00D4666E" w:rsidP="00914B47">
            <w:pPr>
              <w:spacing w:line="200" w:lineRule="auto"/>
              <w:rPr>
                <w:rFonts w:ascii="Calibri" w:hAnsi="Calibri" w:cs="Calibri"/>
                <w:color w:val="000000"/>
                <w:sz w:val="17"/>
              </w:rPr>
            </w:pPr>
            <w:r w:rsidRPr="00914B47">
              <w:rPr>
                <w:rFonts w:ascii="Calibri" w:hAnsi="Calibri" w:cs="Calibri"/>
                <w:color w:val="000000"/>
                <w:sz w:val="17"/>
              </w:rPr>
              <w:t>Locations</w:t>
            </w:r>
          </w:p>
        </w:tc>
        <w:tc>
          <w:tcPr>
            <w:tcW w:w="1800" w:type="dxa"/>
          </w:tcPr>
          <w:p w14:paraId="1310AD23" w14:textId="224C5807"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7</w:t>
            </w:r>
          </w:p>
        </w:tc>
        <w:tc>
          <w:tcPr>
            <w:tcW w:w="1800" w:type="dxa"/>
          </w:tcPr>
          <w:p w14:paraId="01CECB0B" w14:textId="65D9D876"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8</w:t>
            </w:r>
          </w:p>
        </w:tc>
        <w:tc>
          <w:tcPr>
            <w:tcW w:w="1800" w:type="dxa"/>
          </w:tcPr>
          <w:p w14:paraId="755028BA" w14:textId="7152117D"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9</w:t>
            </w:r>
          </w:p>
        </w:tc>
      </w:tr>
      <w:tr w:rsidR="00D4666E" w:rsidRPr="00D4666E" w14:paraId="1EDDE3DD" w14:textId="77777777" w:rsidTr="00914B47">
        <w:tc>
          <w:tcPr>
            <w:tcW w:w="3800" w:type="dxa"/>
          </w:tcPr>
          <w:p w14:paraId="2CBFF228" w14:textId="7475D474" w:rsidR="00D4666E" w:rsidRPr="00914B47" w:rsidRDefault="00D4666E" w:rsidP="00914B47">
            <w:pPr>
              <w:spacing w:line="200" w:lineRule="auto"/>
              <w:rPr>
                <w:rFonts w:ascii="Calibri" w:hAnsi="Calibri" w:cs="Calibri"/>
                <w:color w:val="000000"/>
                <w:sz w:val="17"/>
              </w:rPr>
            </w:pPr>
            <w:r w:rsidRPr="00914B47">
              <w:rPr>
                <w:rFonts w:ascii="Calibri" w:hAnsi="Calibri" w:cs="Calibri"/>
                <w:color w:val="000000"/>
                <w:sz w:val="17"/>
              </w:rPr>
              <w:t>Revenue</w:t>
            </w:r>
          </w:p>
        </w:tc>
        <w:tc>
          <w:tcPr>
            <w:tcW w:w="1800" w:type="dxa"/>
          </w:tcPr>
          <w:p w14:paraId="5AB9B242" w14:textId="676463A5"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8,400</w:t>
            </w:r>
          </w:p>
        </w:tc>
        <w:tc>
          <w:tcPr>
            <w:tcW w:w="1800" w:type="dxa"/>
          </w:tcPr>
          <w:p w14:paraId="20F883FE" w14:textId="114F9460"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9,750</w:t>
            </w:r>
          </w:p>
        </w:tc>
        <w:tc>
          <w:tcPr>
            <w:tcW w:w="1800" w:type="dxa"/>
          </w:tcPr>
          <w:p w14:paraId="78EC5DF8" w14:textId="34FBDBC6"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11,000</w:t>
            </w:r>
          </w:p>
        </w:tc>
      </w:tr>
      <w:tr w:rsidR="00D4666E" w:rsidRPr="00D4666E" w14:paraId="5D810301" w14:textId="77777777" w:rsidTr="00914B47">
        <w:tc>
          <w:tcPr>
            <w:tcW w:w="3800" w:type="dxa"/>
          </w:tcPr>
          <w:p w14:paraId="417B56FF" w14:textId="3D2B1DE9" w:rsidR="00D4666E" w:rsidRPr="00914B47" w:rsidRDefault="00D4666E" w:rsidP="00914B47">
            <w:pPr>
              <w:spacing w:line="200" w:lineRule="auto"/>
              <w:rPr>
                <w:rFonts w:ascii="Calibri" w:hAnsi="Calibri" w:cs="Calibri"/>
                <w:color w:val="000000"/>
                <w:sz w:val="17"/>
              </w:rPr>
            </w:pPr>
            <w:r w:rsidRPr="00914B47">
              <w:rPr>
                <w:rFonts w:ascii="Calibri" w:hAnsi="Calibri" w:cs="Calibri"/>
                <w:color w:val="000000"/>
                <w:sz w:val="17"/>
              </w:rPr>
              <w:t>Revenue per location</w:t>
            </w:r>
          </w:p>
        </w:tc>
        <w:tc>
          <w:tcPr>
            <w:tcW w:w="1800" w:type="dxa"/>
          </w:tcPr>
          <w:p w14:paraId="33C559F1" w14:textId="3A274B76"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1,200</w:t>
            </w:r>
          </w:p>
        </w:tc>
        <w:tc>
          <w:tcPr>
            <w:tcW w:w="1800" w:type="dxa"/>
          </w:tcPr>
          <w:p w14:paraId="35183C35" w14:textId="1086C337"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1,219</w:t>
            </w:r>
          </w:p>
        </w:tc>
        <w:tc>
          <w:tcPr>
            <w:tcW w:w="1800" w:type="dxa"/>
          </w:tcPr>
          <w:p w14:paraId="7DCA85EE" w14:textId="1CFBC430"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1,222</w:t>
            </w:r>
          </w:p>
        </w:tc>
      </w:tr>
      <w:tr w:rsidR="00D4666E" w:rsidRPr="00D4666E" w14:paraId="1BE83D97" w14:textId="77777777" w:rsidTr="00914B47">
        <w:tc>
          <w:tcPr>
            <w:tcW w:w="3800" w:type="dxa"/>
          </w:tcPr>
          <w:p w14:paraId="395D2DD5" w14:textId="01A2298D" w:rsidR="00D4666E" w:rsidRPr="00914B47" w:rsidRDefault="00D4666E" w:rsidP="00914B47">
            <w:pPr>
              <w:spacing w:line="200" w:lineRule="auto"/>
              <w:rPr>
                <w:rFonts w:ascii="Calibri" w:hAnsi="Calibri" w:cs="Calibri"/>
                <w:b/>
                <w:color w:val="000000"/>
                <w:sz w:val="17"/>
              </w:rPr>
            </w:pPr>
            <w:r w:rsidRPr="00914B47">
              <w:rPr>
                <w:rFonts w:ascii="Calibri" w:hAnsi="Calibri" w:cs="Calibri"/>
                <w:b/>
                <w:color w:val="000000"/>
                <w:sz w:val="17"/>
              </w:rPr>
              <w:t>Reported EBITDA</w:t>
            </w:r>
          </w:p>
        </w:tc>
        <w:tc>
          <w:tcPr>
            <w:tcW w:w="1800" w:type="dxa"/>
          </w:tcPr>
          <w:p w14:paraId="46B41082" w14:textId="4520BDF8" w:rsidR="00D4666E" w:rsidRPr="00914B47" w:rsidRDefault="00D4666E" w:rsidP="00914B47">
            <w:pPr>
              <w:spacing w:line="200" w:lineRule="auto"/>
              <w:jc w:val="right"/>
              <w:rPr>
                <w:rFonts w:ascii="Calibri" w:hAnsi="Calibri" w:cs="Calibri"/>
                <w:b/>
                <w:color w:val="000000"/>
                <w:sz w:val="17"/>
              </w:rPr>
            </w:pPr>
            <w:r w:rsidRPr="00914B47">
              <w:rPr>
                <w:rFonts w:ascii="Calibri" w:hAnsi="Calibri" w:cs="Calibri"/>
                <w:b/>
                <w:color w:val="000000"/>
                <w:sz w:val="17"/>
              </w:rPr>
              <w:t>698</w:t>
            </w:r>
          </w:p>
        </w:tc>
        <w:tc>
          <w:tcPr>
            <w:tcW w:w="1800" w:type="dxa"/>
          </w:tcPr>
          <w:p w14:paraId="04EA13B0" w14:textId="1424B255" w:rsidR="00D4666E" w:rsidRPr="00914B47" w:rsidRDefault="00D4666E" w:rsidP="00914B47">
            <w:pPr>
              <w:spacing w:line="200" w:lineRule="auto"/>
              <w:jc w:val="right"/>
              <w:rPr>
                <w:rFonts w:ascii="Calibri" w:hAnsi="Calibri" w:cs="Calibri"/>
                <w:b/>
                <w:color w:val="000000"/>
                <w:sz w:val="17"/>
              </w:rPr>
            </w:pPr>
            <w:r w:rsidRPr="00914B47">
              <w:rPr>
                <w:rFonts w:ascii="Calibri" w:hAnsi="Calibri" w:cs="Calibri"/>
                <w:b/>
                <w:color w:val="000000"/>
                <w:sz w:val="17"/>
              </w:rPr>
              <w:t>905</w:t>
            </w:r>
          </w:p>
        </w:tc>
        <w:tc>
          <w:tcPr>
            <w:tcW w:w="1800" w:type="dxa"/>
          </w:tcPr>
          <w:p w14:paraId="2301ECDA" w14:textId="5EDA20A6" w:rsidR="00D4666E" w:rsidRPr="00914B47" w:rsidRDefault="00D4666E" w:rsidP="00914B47">
            <w:pPr>
              <w:spacing w:line="200" w:lineRule="auto"/>
              <w:jc w:val="right"/>
              <w:rPr>
                <w:rFonts w:ascii="Calibri" w:hAnsi="Calibri" w:cs="Calibri"/>
                <w:b/>
                <w:color w:val="000000"/>
                <w:sz w:val="17"/>
              </w:rPr>
            </w:pPr>
            <w:r w:rsidRPr="00914B47">
              <w:rPr>
                <w:rFonts w:ascii="Calibri" w:hAnsi="Calibri" w:cs="Calibri"/>
                <w:b/>
                <w:color w:val="000000"/>
                <w:sz w:val="17"/>
              </w:rPr>
              <w:t>1,000</w:t>
            </w:r>
          </w:p>
        </w:tc>
      </w:tr>
      <w:tr w:rsidR="00D4666E" w:rsidRPr="00D4666E" w14:paraId="3DE0C0A4" w14:textId="77777777" w:rsidTr="00914B47">
        <w:tc>
          <w:tcPr>
            <w:tcW w:w="3800" w:type="dxa"/>
          </w:tcPr>
          <w:p w14:paraId="378F8DE4" w14:textId="71235BDD" w:rsidR="00D4666E" w:rsidRPr="00914B47" w:rsidRDefault="00D4666E" w:rsidP="00914B47">
            <w:pPr>
              <w:spacing w:line="200" w:lineRule="auto"/>
              <w:rPr>
                <w:rFonts w:ascii="Calibri" w:hAnsi="Calibri" w:cs="Calibri"/>
                <w:b/>
                <w:color w:val="000000"/>
                <w:sz w:val="17"/>
              </w:rPr>
            </w:pPr>
            <w:r w:rsidRPr="00914B47">
              <w:rPr>
                <w:rFonts w:ascii="Calibri" w:hAnsi="Calibri" w:cs="Calibri"/>
                <w:b/>
                <w:color w:val="000000"/>
                <w:sz w:val="17"/>
              </w:rPr>
              <w:t>Reported EBITDA margin</w:t>
            </w:r>
          </w:p>
        </w:tc>
        <w:tc>
          <w:tcPr>
            <w:tcW w:w="1800" w:type="dxa"/>
          </w:tcPr>
          <w:p w14:paraId="19433AF9" w14:textId="74882C23" w:rsidR="00D4666E" w:rsidRPr="00914B47" w:rsidRDefault="00D4666E" w:rsidP="00914B47">
            <w:pPr>
              <w:spacing w:line="200" w:lineRule="auto"/>
              <w:jc w:val="right"/>
              <w:rPr>
                <w:rFonts w:ascii="Calibri" w:hAnsi="Calibri" w:cs="Calibri"/>
                <w:b/>
                <w:color w:val="000000"/>
                <w:sz w:val="17"/>
              </w:rPr>
            </w:pPr>
            <w:r w:rsidRPr="00914B47">
              <w:rPr>
                <w:rFonts w:ascii="Calibri" w:hAnsi="Calibri" w:cs="Calibri"/>
                <w:b/>
                <w:color w:val="000000"/>
                <w:sz w:val="17"/>
              </w:rPr>
              <w:t>8.3%</w:t>
            </w:r>
          </w:p>
        </w:tc>
        <w:tc>
          <w:tcPr>
            <w:tcW w:w="1800" w:type="dxa"/>
          </w:tcPr>
          <w:p w14:paraId="433A1F73" w14:textId="2712287D" w:rsidR="00D4666E" w:rsidRPr="00914B47" w:rsidRDefault="00D4666E" w:rsidP="00914B47">
            <w:pPr>
              <w:spacing w:line="200" w:lineRule="auto"/>
              <w:jc w:val="right"/>
              <w:rPr>
                <w:rFonts w:ascii="Calibri" w:hAnsi="Calibri" w:cs="Calibri"/>
                <w:b/>
                <w:color w:val="000000"/>
                <w:sz w:val="17"/>
              </w:rPr>
            </w:pPr>
            <w:r w:rsidRPr="00914B47">
              <w:rPr>
                <w:rFonts w:ascii="Calibri" w:hAnsi="Calibri" w:cs="Calibri"/>
                <w:b/>
                <w:color w:val="000000"/>
                <w:sz w:val="17"/>
              </w:rPr>
              <w:t>9.3%</w:t>
            </w:r>
          </w:p>
        </w:tc>
        <w:tc>
          <w:tcPr>
            <w:tcW w:w="1800" w:type="dxa"/>
          </w:tcPr>
          <w:p w14:paraId="27D55313" w14:textId="7EA7FAEE" w:rsidR="00D4666E" w:rsidRPr="00914B47" w:rsidRDefault="00D4666E" w:rsidP="00914B47">
            <w:pPr>
              <w:spacing w:line="200" w:lineRule="auto"/>
              <w:jc w:val="right"/>
              <w:rPr>
                <w:rFonts w:ascii="Calibri" w:hAnsi="Calibri" w:cs="Calibri"/>
                <w:b/>
                <w:color w:val="000000"/>
                <w:sz w:val="17"/>
              </w:rPr>
            </w:pPr>
            <w:r w:rsidRPr="00914B47">
              <w:rPr>
                <w:rFonts w:ascii="Calibri" w:hAnsi="Calibri" w:cs="Calibri"/>
                <w:b/>
                <w:color w:val="000000"/>
                <w:sz w:val="17"/>
              </w:rPr>
              <w:t>9.1%</w:t>
            </w:r>
          </w:p>
        </w:tc>
      </w:tr>
    </w:tbl>
    <w:p w14:paraId="5028415E" w14:textId="77777777" w:rsidR="00D4666E" w:rsidRPr="00914B47" w:rsidRDefault="00D4666E" w:rsidP="00914B47">
      <w:pPr>
        <w:spacing w:after="0" w:line="120" w:lineRule="auto"/>
        <w:rPr>
          <w:rFonts w:ascii="Calibri" w:hAnsi="Calibri" w:cs="Calibri"/>
          <w:sz w:val="12"/>
        </w:rPr>
      </w:pPr>
    </w:p>
    <w:p w14:paraId="2E325234" w14:textId="5B8850FB" w:rsidR="00D4666E" w:rsidRPr="00D4666E" w:rsidRDefault="00D4666E" w:rsidP="00D4666E">
      <w:pPr>
        <w:spacing w:before="80" w:after="60" w:line="220" w:lineRule="auto"/>
        <w:rPr>
          <w:rFonts w:ascii="Calibri" w:hAnsi="Calibri" w:cs="Calibri"/>
          <w:sz w:val="19"/>
        </w:rPr>
      </w:pPr>
      <w:r w:rsidRPr="00D4666E">
        <w:rPr>
          <w:rFonts w:ascii="Calibri" w:hAnsi="Calibri" w:cs="Calibri"/>
          <w:sz w:val="19"/>
        </w:rPr>
        <w:t>Revenue growth over the period is driven principally by unit count rather than same-store performance; revenue per location is essentially flat at approximately $1.2 million.</w:t>
      </w:r>
    </w:p>
    <w:p w14:paraId="2F06561B" w14:textId="21221CC2" w:rsidR="00D4666E" w:rsidRPr="00437876" w:rsidRDefault="00D4666E" w:rsidP="00437876">
      <w:pPr>
        <w:pStyle w:val="Heading1"/>
      </w:pPr>
      <w:r w:rsidRPr="00437876">
        <w:t>3. FINANCIAL ANALYSIS AND NORMALIZATION</w:t>
      </w:r>
    </w:p>
    <w:p w14:paraId="43800A45" w14:textId="7838D24A" w:rsidR="00D4666E" w:rsidRPr="00D4666E" w:rsidRDefault="00D4666E" w:rsidP="00D4666E">
      <w:pPr>
        <w:spacing w:after="60" w:line="220" w:lineRule="auto"/>
        <w:rPr>
          <w:rFonts w:ascii="Calibri" w:hAnsi="Calibri" w:cs="Calibri"/>
          <w:sz w:val="19"/>
        </w:rPr>
      </w:pPr>
      <w:r w:rsidRPr="00D4666E">
        <w:rPr>
          <w:rFonts w:ascii="Calibri" w:hAnsi="Calibri" w:cs="Calibri"/>
          <w:sz w:val="19"/>
        </w:rPr>
        <w:t>Reported earnings of an owner-managed company do not represent the earnings a notional purchaser would expect to realize. Two categories of adjustment are required: transactions between the Company and its shareholder that are not on arm’s-length terms, and items that are not maintainable into the future. Neither category represents an accounting error — the reported statements are prepared in accordance with applicable standards. Normalization restates reported earnings to an arm’s-length, maintainable basis for valuation purposes only.</w:t>
      </w:r>
    </w:p>
    <w:tbl>
      <w:tblPr>
        <w:tblStyle w:val="TableGrid"/>
        <w:tblW w:w="0" w:type="auto"/>
        <w:tblLook w:val="04A0" w:firstRow="1" w:lastRow="0" w:firstColumn="1" w:lastColumn="0" w:noHBand="0" w:noVBand="1"/>
      </w:tblPr>
      <w:tblGrid>
        <w:gridCol w:w="5000"/>
        <w:gridCol w:w="1400"/>
        <w:gridCol w:w="1400"/>
        <w:gridCol w:w="1400"/>
      </w:tblGrid>
      <w:tr w:rsidR="00D4666E" w:rsidRPr="00D4666E" w14:paraId="4755DC5D" w14:textId="77777777" w:rsidTr="00914B47">
        <w:trPr>
          <w:tblHeader/>
        </w:trPr>
        <w:tc>
          <w:tcPr>
            <w:tcW w:w="5000" w:type="dxa"/>
          </w:tcPr>
          <w:p w14:paraId="216C0DE6" w14:textId="77777777" w:rsidR="00D4666E" w:rsidRPr="00914B47" w:rsidRDefault="00D4666E" w:rsidP="00914B47">
            <w:pPr>
              <w:spacing w:line="120" w:lineRule="auto"/>
              <w:rPr>
                <w:rFonts w:ascii="Calibri" w:hAnsi="Calibri" w:cs="Calibri"/>
                <w:b/>
                <w:color w:val="000000"/>
                <w:sz w:val="12"/>
              </w:rPr>
            </w:pPr>
          </w:p>
        </w:tc>
        <w:tc>
          <w:tcPr>
            <w:tcW w:w="1400" w:type="dxa"/>
          </w:tcPr>
          <w:p w14:paraId="495DF484" w14:textId="2F0ABCCD" w:rsidR="00D4666E" w:rsidRPr="00914B47" w:rsidRDefault="00D4666E" w:rsidP="00914B47">
            <w:pPr>
              <w:spacing w:line="200" w:lineRule="auto"/>
              <w:jc w:val="right"/>
              <w:rPr>
                <w:rFonts w:ascii="Calibri" w:hAnsi="Calibri" w:cs="Calibri"/>
                <w:b/>
                <w:color w:val="000000"/>
                <w:sz w:val="17"/>
              </w:rPr>
            </w:pPr>
            <w:r w:rsidRPr="00914B47">
              <w:rPr>
                <w:rFonts w:ascii="Calibri" w:hAnsi="Calibri" w:cs="Calibri"/>
                <w:b/>
                <w:color w:val="000000"/>
                <w:sz w:val="17"/>
              </w:rPr>
              <w:t>FY2023</w:t>
            </w:r>
          </w:p>
        </w:tc>
        <w:tc>
          <w:tcPr>
            <w:tcW w:w="1400" w:type="dxa"/>
          </w:tcPr>
          <w:p w14:paraId="347A3C21" w14:textId="49F9CA01" w:rsidR="00D4666E" w:rsidRPr="00914B47" w:rsidRDefault="00D4666E" w:rsidP="00914B47">
            <w:pPr>
              <w:spacing w:line="200" w:lineRule="auto"/>
              <w:jc w:val="right"/>
              <w:rPr>
                <w:rFonts w:ascii="Calibri" w:hAnsi="Calibri" w:cs="Calibri"/>
                <w:b/>
                <w:color w:val="000000"/>
                <w:sz w:val="17"/>
              </w:rPr>
            </w:pPr>
            <w:r w:rsidRPr="00914B47">
              <w:rPr>
                <w:rFonts w:ascii="Calibri" w:hAnsi="Calibri" w:cs="Calibri"/>
                <w:b/>
                <w:color w:val="000000"/>
                <w:sz w:val="17"/>
              </w:rPr>
              <w:t>FY2024</w:t>
            </w:r>
          </w:p>
        </w:tc>
        <w:tc>
          <w:tcPr>
            <w:tcW w:w="1400" w:type="dxa"/>
          </w:tcPr>
          <w:p w14:paraId="50617F1A" w14:textId="0EC777C9" w:rsidR="00D4666E" w:rsidRPr="00914B47" w:rsidRDefault="00D4666E" w:rsidP="00914B47">
            <w:pPr>
              <w:spacing w:line="200" w:lineRule="auto"/>
              <w:jc w:val="right"/>
              <w:rPr>
                <w:rFonts w:ascii="Calibri" w:hAnsi="Calibri" w:cs="Calibri"/>
                <w:b/>
                <w:color w:val="000000"/>
                <w:sz w:val="17"/>
              </w:rPr>
            </w:pPr>
            <w:r w:rsidRPr="00914B47">
              <w:rPr>
                <w:rFonts w:ascii="Calibri" w:hAnsi="Calibri" w:cs="Calibri"/>
                <w:b/>
                <w:color w:val="000000"/>
                <w:sz w:val="17"/>
              </w:rPr>
              <w:t>FY2025</w:t>
            </w:r>
          </w:p>
        </w:tc>
      </w:tr>
      <w:tr w:rsidR="00D4666E" w:rsidRPr="00D4666E" w14:paraId="791E48D8" w14:textId="77777777" w:rsidTr="00914B47">
        <w:tc>
          <w:tcPr>
            <w:tcW w:w="5000" w:type="dxa"/>
          </w:tcPr>
          <w:p w14:paraId="43F3C668" w14:textId="154B1152" w:rsidR="00D4666E" w:rsidRPr="00914B47" w:rsidRDefault="00D4666E" w:rsidP="00914B47">
            <w:pPr>
              <w:spacing w:line="200" w:lineRule="auto"/>
              <w:rPr>
                <w:rFonts w:ascii="Calibri" w:hAnsi="Calibri" w:cs="Calibri"/>
                <w:color w:val="000000"/>
                <w:sz w:val="17"/>
              </w:rPr>
            </w:pPr>
            <w:r w:rsidRPr="00914B47">
              <w:rPr>
                <w:rFonts w:ascii="Calibri" w:hAnsi="Calibri" w:cs="Calibri"/>
                <w:color w:val="000000"/>
                <w:sz w:val="17"/>
              </w:rPr>
              <w:t>Reported EBITDA</w:t>
            </w:r>
          </w:p>
        </w:tc>
        <w:tc>
          <w:tcPr>
            <w:tcW w:w="1400" w:type="dxa"/>
          </w:tcPr>
          <w:p w14:paraId="7A0F6FD3" w14:textId="7BE42C36"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698</w:t>
            </w:r>
          </w:p>
        </w:tc>
        <w:tc>
          <w:tcPr>
            <w:tcW w:w="1400" w:type="dxa"/>
          </w:tcPr>
          <w:p w14:paraId="3D41EF02" w14:textId="7B810102"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905</w:t>
            </w:r>
          </w:p>
        </w:tc>
        <w:tc>
          <w:tcPr>
            <w:tcW w:w="1400" w:type="dxa"/>
          </w:tcPr>
          <w:p w14:paraId="257AF539" w14:textId="1F10B16D"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1,000</w:t>
            </w:r>
          </w:p>
        </w:tc>
      </w:tr>
      <w:tr w:rsidR="00D4666E" w:rsidRPr="00D4666E" w14:paraId="1488FEA7" w14:textId="77777777" w:rsidTr="00914B47">
        <w:tc>
          <w:tcPr>
            <w:tcW w:w="5000" w:type="dxa"/>
          </w:tcPr>
          <w:p w14:paraId="19DD8F11" w14:textId="5E735446" w:rsidR="00D4666E" w:rsidRPr="00914B47" w:rsidRDefault="00D4666E" w:rsidP="00914B47">
            <w:pPr>
              <w:spacing w:line="200" w:lineRule="auto"/>
              <w:rPr>
                <w:rFonts w:ascii="Calibri" w:hAnsi="Calibri" w:cs="Calibri"/>
                <w:color w:val="000000"/>
                <w:sz w:val="17"/>
              </w:rPr>
            </w:pPr>
            <w:r w:rsidRPr="00914B47">
              <w:rPr>
                <w:rFonts w:ascii="Calibri" w:hAnsi="Calibri" w:cs="Calibri"/>
                <w:color w:val="000000"/>
                <w:sz w:val="17"/>
              </w:rPr>
              <w:lastRenderedPageBreak/>
              <w:t>Add: owner compensation above market</w:t>
            </w:r>
          </w:p>
        </w:tc>
        <w:tc>
          <w:tcPr>
            <w:tcW w:w="1400" w:type="dxa"/>
          </w:tcPr>
          <w:p w14:paraId="63C637BF" w14:textId="0974EBAF"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250</w:t>
            </w:r>
          </w:p>
        </w:tc>
        <w:tc>
          <w:tcPr>
            <w:tcW w:w="1400" w:type="dxa"/>
          </w:tcPr>
          <w:p w14:paraId="4655798C" w14:textId="65823B6A"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275</w:t>
            </w:r>
          </w:p>
        </w:tc>
        <w:tc>
          <w:tcPr>
            <w:tcW w:w="1400" w:type="dxa"/>
          </w:tcPr>
          <w:p w14:paraId="5824BD8F" w14:textId="502E3D1B"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300</w:t>
            </w:r>
          </w:p>
        </w:tc>
      </w:tr>
      <w:tr w:rsidR="00D4666E" w:rsidRPr="00D4666E" w14:paraId="362991B4" w14:textId="77777777" w:rsidTr="00914B47">
        <w:tc>
          <w:tcPr>
            <w:tcW w:w="5000" w:type="dxa"/>
          </w:tcPr>
          <w:p w14:paraId="669E0F21" w14:textId="18EB085B" w:rsidR="00D4666E" w:rsidRPr="00914B47" w:rsidRDefault="00D4666E" w:rsidP="00914B47">
            <w:pPr>
              <w:spacing w:line="200" w:lineRule="auto"/>
              <w:rPr>
                <w:rFonts w:ascii="Calibri" w:hAnsi="Calibri" w:cs="Calibri"/>
                <w:color w:val="000000"/>
                <w:sz w:val="17"/>
              </w:rPr>
            </w:pPr>
            <w:r w:rsidRPr="00914B47">
              <w:rPr>
                <w:rFonts w:ascii="Calibri" w:hAnsi="Calibri" w:cs="Calibri"/>
                <w:color w:val="000000"/>
                <w:sz w:val="17"/>
              </w:rPr>
              <w:t>Add: non-active family member on payroll</w:t>
            </w:r>
          </w:p>
        </w:tc>
        <w:tc>
          <w:tcPr>
            <w:tcW w:w="1400" w:type="dxa"/>
          </w:tcPr>
          <w:p w14:paraId="58B7433F" w14:textId="0BAC52D8"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75</w:t>
            </w:r>
          </w:p>
        </w:tc>
        <w:tc>
          <w:tcPr>
            <w:tcW w:w="1400" w:type="dxa"/>
          </w:tcPr>
          <w:p w14:paraId="099BB510" w14:textId="6CF2DC64"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80</w:t>
            </w:r>
          </w:p>
        </w:tc>
        <w:tc>
          <w:tcPr>
            <w:tcW w:w="1400" w:type="dxa"/>
          </w:tcPr>
          <w:p w14:paraId="357DCCE1" w14:textId="3BFDE3CF"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85</w:t>
            </w:r>
          </w:p>
        </w:tc>
      </w:tr>
      <w:tr w:rsidR="00D4666E" w:rsidRPr="00D4666E" w14:paraId="65AF87B7" w14:textId="77777777" w:rsidTr="00914B47">
        <w:tc>
          <w:tcPr>
            <w:tcW w:w="5000" w:type="dxa"/>
          </w:tcPr>
          <w:p w14:paraId="73C7888B" w14:textId="1619633A" w:rsidR="00D4666E" w:rsidRPr="00914B47" w:rsidRDefault="00D4666E" w:rsidP="00914B47">
            <w:pPr>
              <w:spacing w:line="200" w:lineRule="auto"/>
              <w:rPr>
                <w:rFonts w:ascii="Calibri" w:hAnsi="Calibri" w:cs="Calibri"/>
                <w:color w:val="000000"/>
                <w:sz w:val="17"/>
              </w:rPr>
            </w:pPr>
            <w:r w:rsidRPr="00914B47">
              <w:rPr>
                <w:rFonts w:ascii="Calibri" w:hAnsi="Calibri" w:cs="Calibri"/>
                <w:color w:val="000000"/>
                <w:sz w:val="17"/>
              </w:rPr>
              <w:t>Add: discretionary personal expenses</w:t>
            </w:r>
          </w:p>
        </w:tc>
        <w:tc>
          <w:tcPr>
            <w:tcW w:w="1400" w:type="dxa"/>
          </w:tcPr>
          <w:p w14:paraId="48CE3AC0" w14:textId="6700788B"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50</w:t>
            </w:r>
          </w:p>
        </w:tc>
        <w:tc>
          <w:tcPr>
            <w:tcW w:w="1400" w:type="dxa"/>
          </w:tcPr>
          <w:p w14:paraId="2AB0B423" w14:textId="181D497C"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55</w:t>
            </w:r>
          </w:p>
        </w:tc>
        <w:tc>
          <w:tcPr>
            <w:tcW w:w="1400" w:type="dxa"/>
          </w:tcPr>
          <w:p w14:paraId="57FB7B21" w14:textId="3698DD7C"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60</w:t>
            </w:r>
          </w:p>
        </w:tc>
      </w:tr>
      <w:tr w:rsidR="00D4666E" w:rsidRPr="00D4666E" w14:paraId="53D14F2D" w14:textId="77777777" w:rsidTr="00914B47">
        <w:tc>
          <w:tcPr>
            <w:tcW w:w="5000" w:type="dxa"/>
          </w:tcPr>
          <w:p w14:paraId="19F65272" w14:textId="2175A3CF" w:rsidR="00D4666E" w:rsidRPr="00914B47" w:rsidRDefault="00D4666E" w:rsidP="00914B47">
            <w:pPr>
              <w:spacing w:line="200" w:lineRule="auto"/>
              <w:rPr>
                <w:rFonts w:ascii="Calibri" w:hAnsi="Calibri" w:cs="Calibri"/>
                <w:color w:val="000000"/>
                <w:sz w:val="17"/>
              </w:rPr>
            </w:pPr>
            <w:r w:rsidRPr="00914B47">
              <w:rPr>
                <w:rFonts w:ascii="Calibri" w:hAnsi="Calibri" w:cs="Calibri"/>
                <w:color w:val="000000"/>
                <w:sz w:val="17"/>
              </w:rPr>
              <w:t>Add: related-party rent above market</w:t>
            </w:r>
          </w:p>
        </w:tc>
        <w:tc>
          <w:tcPr>
            <w:tcW w:w="1400" w:type="dxa"/>
          </w:tcPr>
          <w:p w14:paraId="19C5A686" w14:textId="3919F3CC"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55</w:t>
            </w:r>
          </w:p>
        </w:tc>
        <w:tc>
          <w:tcPr>
            <w:tcW w:w="1400" w:type="dxa"/>
          </w:tcPr>
          <w:p w14:paraId="4E92249E" w14:textId="33AAAA68"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58</w:t>
            </w:r>
          </w:p>
        </w:tc>
        <w:tc>
          <w:tcPr>
            <w:tcW w:w="1400" w:type="dxa"/>
          </w:tcPr>
          <w:p w14:paraId="5793953E" w14:textId="355834B1"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60</w:t>
            </w:r>
          </w:p>
        </w:tc>
      </w:tr>
      <w:tr w:rsidR="00D4666E" w:rsidRPr="00D4666E" w14:paraId="7393B4D8" w14:textId="77777777" w:rsidTr="00914B47">
        <w:tc>
          <w:tcPr>
            <w:tcW w:w="5000" w:type="dxa"/>
          </w:tcPr>
          <w:p w14:paraId="1FD76185" w14:textId="13EA4D22" w:rsidR="00D4666E" w:rsidRPr="00914B47" w:rsidRDefault="00D4666E" w:rsidP="00914B47">
            <w:pPr>
              <w:spacing w:line="200" w:lineRule="auto"/>
              <w:rPr>
                <w:rFonts w:ascii="Calibri" w:hAnsi="Calibri" w:cs="Calibri"/>
                <w:color w:val="000000"/>
                <w:sz w:val="17"/>
              </w:rPr>
            </w:pPr>
            <w:r w:rsidRPr="00914B47">
              <w:rPr>
                <w:rFonts w:ascii="Calibri" w:hAnsi="Calibri" w:cs="Calibri"/>
                <w:color w:val="000000"/>
                <w:sz w:val="17"/>
              </w:rPr>
              <w:t>Add: non-recurring legal settlement</w:t>
            </w:r>
          </w:p>
        </w:tc>
        <w:tc>
          <w:tcPr>
            <w:tcW w:w="1400" w:type="dxa"/>
          </w:tcPr>
          <w:p w14:paraId="24C4DB92" w14:textId="1E9DDB3C"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w:t>
            </w:r>
          </w:p>
        </w:tc>
        <w:tc>
          <w:tcPr>
            <w:tcW w:w="1400" w:type="dxa"/>
          </w:tcPr>
          <w:p w14:paraId="2F2848FB" w14:textId="28F04405"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w:t>
            </w:r>
          </w:p>
        </w:tc>
        <w:tc>
          <w:tcPr>
            <w:tcW w:w="1400" w:type="dxa"/>
          </w:tcPr>
          <w:p w14:paraId="37848FF6" w14:textId="246E48A3"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75</w:t>
            </w:r>
          </w:p>
        </w:tc>
      </w:tr>
      <w:tr w:rsidR="00D4666E" w:rsidRPr="00D4666E" w14:paraId="1BCE90CA" w14:textId="77777777" w:rsidTr="00914B47">
        <w:tc>
          <w:tcPr>
            <w:tcW w:w="5000" w:type="dxa"/>
          </w:tcPr>
          <w:p w14:paraId="048DB291" w14:textId="35E5605E" w:rsidR="00D4666E" w:rsidRPr="00914B47" w:rsidRDefault="00D4666E" w:rsidP="00914B47">
            <w:pPr>
              <w:spacing w:line="200" w:lineRule="auto"/>
              <w:rPr>
                <w:rFonts w:ascii="Calibri" w:hAnsi="Calibri" w:cs="Calibri"/>
                <w:color w:val="000000"/>
                <w:sz w:val="17"/>
              </w:rPr>
            </w:pPr>
            <w:r w:rsidRPr="00914B47">
              <w:rPr>
                <w:rFonts w:ascii="Calibri" w:hAnsi="Calibri" w:cs="Calibri"/>
                <w:color w:val="000000"/>
                <w:sz w:val="17"/>
              </w:rPr>
              <w:t>Add: one-time store relocation costs</w:t>
            </w:r>
          </w:p>
        </w:tc>
        <w:tc>
          <w:tcPr>
            <w:tcW w:w="1400" w:type="dxa"/>
          </w:tcPr>
          <w:p w14:paraId="4B080DF6" w14:textId="3BAED71B"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w:t>
            </w:r>
          </w:p>
        </w:tc>
        <w:tc>
          <w:tcPr>
            <w:tcW w:w="1400" w:type="dxa"/>
          </w:tcPr>
          <w:p w14:paraId="0F0C736E" w14:textId="3D7F024C"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40</w:t>
            </w:r>
          </w:p>
        </w:tc>
        <w:tc>
          <w:tcPr>
            <w:tcW w:w="1400" w:type="dxa"/>
          </w:tcPr>
          <w:p w14:paraId="6BB50D5D" w14:textId="4C87EF22"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45</w:t>
            </w:r>
          </w:p>
        </w:tc>
      </w:tr>
      <w:tr w:rsidR="00D4666E" w:rsidRPr="00D4666E" w14:paraId="1FB7C873" w14:textId="77777777" w:rsidTr="00914B47">
        <w:tc>
          <w:tcPr>
            <w:tcW w:w="5000" w:type="dxa"/>
          </w:tcPr>
          <w:p w14:paraId="5E954D5A" w14:textId="15EDB6CF" w:rsidR="00D4666E" w:rsidRPr="00914B47" w:rsidRDefault="00D4666E" w:rsidP="00914B47">
            <w:pPr>
              <w:spacing w:line="200" w:lineRule="auto"/>
              <w:rPr>
                <w:rFonts w:ascii="Calibri" w:hAnsi="Calibri" w:cs="Calibri"/>
                <w:color w:val="000000"/>
                <w:sz w:val="17"/>
              </w:rPr>
            </w:pPr>
            <w:r w:rsidRPr="00914B47">
              <w:rPr>
                <w:rFonts w:ascii="Calibri" w:hAnsi="Calibri" w:cs="Calibri"/>
                <w:color w:val="000000"/>
                <w:sz w:val="17"/>
              </w:rPr>
              <w:t>Less: non-recurring government wage subsidy</w:t>
            </w:r>
          </w:p>
        </w:tc>
        <w:tc>
          <w:tcPr>
            <w:tcW w:w="1400" w:type="dxa"/>
          </w:tcPr>
          <w:p w14:paraId="20C569D6" w14:textId="5B8AD34D"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(95)</w:t>
            </w:r>
          </w:p>
        </w:tc>
        <w:tc>
          <w:tcPr>
            <w:tcW w:w="1400" w:type="dxa"/>
          </w:tcPr>
          <w:p w14:paraId="5079FF0C" w14:textId="77D92256"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(60)</w:t>
            </w:r>
          </w:p>
        </w:tc>
        <w:tc>
          <w:tcPr>
            <w:tcW w:w="1400" w:type="dxa"/>
          </w:tcPr>
          <w:p w14:paraId="733A540F" w14:textId="600736A0"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(40)</w:t>
            </w:r>
          </w:p>
        </w:tc>
      </w:tr>
      <w:tr w:rsidR="00D4666E" w:rsidRPr="00D4666E" w14:paraId="30DE4BFE" w14:textId="77777777" w:rsidTr="00914B47">
        <w:tc>
          <w:tcPr>
            <w:tcW w:w="5000" w:type="dxa"/>
          </w:tcPr>
          <w:p w14:paraId="6891A723" w14:textId="0FC77BDC" w:rsidR="00D4666E" w:rsidRPr="00914B47" w:rsidRDefault="00D4666E" w:rsidP="00914B47">
            <w:pPr>
              <w:spacing w:line="200" w:lineRule="auto"/>
              <w:rPr>
                <w:rFonts w:ascii="Calibri" w:hAnsi="Calibri" w:cs="Calibri"/>
                <w:b/>
                <w:color w:val="000000"/>
                <w:sz w:val="17"/>
              </w:rPr>
            </w:pPr>
            <w:r w:rsidRPr="00914B47">
              <w:rPr>
                <w:rFonts w:ascii="Calibri" w:hAnsi="Calibri" w:cs="Calibri"/>
                <w:b/>
                <w:color w:val="000000"/>
                <w:sz w:val="17"/>
              </w:rPr>
              <w:t>Normalized EBITDA</w:t>
            </w:r>
          </w:p>
        </w:tc>
        <w:tc>
          <w:tcPr>
            <w:tcW w:w="1400" w:type="dxa"/>
          </w:tcPr>
          <w:p w14:paraId="36C5CEDE" w14:textId="72E75154" w:rsidR="00D4666E" w:rsidRPr="00914B47" w:rsidRDefault="00D4666E" w:rsidP="00914B47">
            <w:pPr>
              <w:spacing w:line="200" w:lineRule="auto"/>
              <w:jc w:val="right"/>
              <w:rPr>
                <w:rFonts w:ascii="Calibri" w:hAnsi="Calibri" w:cs="Calibri"/>
                <w:b/>
                <w:color w:val="000000"/>
                <w:sz w:val="17"/>
              </w:rPr>
            </w:pPr>
            <w:r w:rsidRPr="00914B47">
              <w:rPr>
                <w:rFonts w:ascii="Calibri" w:hAnsi="Calibri" w:cs="Calibri"/>
                <w:b/>
                <w:color w:val="000000"/>
                <w:sz w:val="17"/>
              </w:rPr>
              <w:t>1,033</w:t>
            </w:r>
          </w:p>
        </w:tc>
        <w:tc>
          <w:tcPr>
            <w:tcW w:w="1400" w:type="dxa"/>
          </w:tcPr>
          <w:p w14:paraId="5D9DFCBA" w14:textId="2F27FC60" w:rsidR="00D4666E" w:rsidRPr="00914B47" w:rsidRDefault="00D4666E" w:rsidP="00914B47">
            <w:pPr>
              <w:spacing w:line="200" w:lineRule="auto"/>
              <w:jc w:val="right"/>
              <w:rPr>
                <w:rFonts w:ascii="Calibri" w:hAnsi="Calibri" w:cs="Calibri"/>
                <w:b/>
                <w:color w:val="000000"/>
                <w:sz w:val="17"/>
              </w:rPr>
            </w:pPr>
            <w:r w:rsidRPr="00914B47">
              <w:rPr>
                <w:rFonts w:ascii="Calibri" w:hAnsi="Calibri" w:cs="Calibri"/>
                <w:b/>
                <w:color w:val="000000"/>
                <w:sz w:val="17"/>
              </w:rPr>
              <w:t>1,353</w:t>
            </w:r>
          </w:p>
        </w:tc>
        <w:tc>
          <w:tcPr>
            <w:tcW w:w="1400" w:type="dxa"/>
          </w:tcPr>
          <w:p w14:paraId="10F562DC" w14:textId="2C09C844" w:rsidR="00D4666E" w:rsidRPr="00914B47" w:rsidRDefault="00D4666E" w:rsidP="00914B47">
            <w:pPr>
              <w:spacing w:line="200" w:lineRule="auto"/>
              <w:jc w:val="right"/>
              <w:rPr>
                <w:rFonts w:ascii="Calibri" w:hAnsi="Calibri" w:cs="Calibri"/>
                <w:b/>
                <w:color w:val="000000"/>
                <w:sz w:val="17"/>
              </w:rPr>
            </w:pPr>
            <w:r w:rsidRPr="00914B47">
              <w:rPr>
                <w:rFonts w:ascii="Calibri" w:hAnsi="Calibri" w:cs="Calibri"/>
                <w:b/>
                <w:color w:val="000000"/>
                <w:sz w:val="17"/>
              </w:rPr>
              <w:t>1,585</w:t>
            </w:r>
          </w:p>
        </w:tc>
      </w:tr>
      <w:tr w:rsidR="00D4666E" w:rsidRPr="00D4666E" w14:paraId="4A941C33" w14:textId="77777777" w:rsidTr="00914B47">
        <w:tc>
          <w:tcPr>
            <w:tcW w:w="5000" w:type="dxa"/>
          </w:tcPr>
          <w:p w14:paraId="5B162058" w14:textId="0E54A6EE" w:rsidR="00D4666E" w:rsidRPr="00914B47" w:rsidRDefault="00D4666E" w:rsidP="00914B47">
            <w:pPr>
              <w:spacing w:line="200" w:lineRule="auto"/>
              <w:rPr>
                <w:rFonts w:ascii="Calibri" w:hAnsi="Calibri" w:cs="Calibri"/>
                <w:b/>
                <w:color w:val="000000"/>
                <w:sz w:val="17"/>
              </w:rPr>
            </w:pPr>
            <w:r w:rsidRPr="00914B47">
              <w:rPr>
                <w:rFonts w:ascii="Calibri" w:hAnsi="Calibri" w:cs="Calibri"/>
                <w:b/>
                <w:color w:val="000000"/>
                <w:sz w:val="17"/>
              </w:rPr>
              <w:t>Normalized EBITDA margin</w:t>
            </w:r>
          </w:p>
        </w:tc>
        <w:tc>
          <w:tcPr>
            <w:tcW w:w="1400" w:type="dxa"/>
          </w:tcPr>
          <w:p w14:paraId="7AE3BE56" w14:textId="6094C436" w:rsidR="00D4666E" w:rsidRPr="00914B47" w:rsidRDefault="00D4666E" w:rsidP="00914B47">
            <w:pPr>
              <w:spacing w:line="200" w:lineRule="auto"/>
              <w:jc w:val="right"/>
              <w:rPr>
                <w:rFonts w:ascii="Calibri" w:hAnsi="Calibri" w:cs="Calibri"/>
                <w:b/>
                <w:color w:val="000000"/>
                <w:sz w:val="17"/>
              </w:rPr>
            </w:pPr>
            <w:r w:rsidRPr="00914B47">
              <w:rPr>
                <w:rFonts w:ascii="Calibri" w:hAnsi="Calibri" w:cs="Calibri"/>
                <w:b/>
                <w:color w:val="000000"/>
                <w:sz w:val="17"/>
              </w:rPr>
              <w:t>12.3%</w:t>
            </w:r>
          </w:p>
        </w:tc>
        <w:tc>
          <w:tcPr>
            <w:tcW w:w="1400" w:type="dxa"/>
          </w:tcPr>
          <w:p w14:paraId="0E09D870" w14:textId="46383DF5" w:rsidR="00D4666E" w:rsidRPr="00914B47" w:rsidRDefault="00D4666E" w:rsidP="00914B47">
            <w:pPr>
              <w:spacing w:line="200" w:lineRule="auto"/>
              <w:jc w:val="right"/>
              <w:rPr>
                <w:rFonts w:ascii="Calibri" w:hAnsi="Calibri" w:cs="Calibri"/>
                <w:b/>
                <w:color w:val="000000"/>
                <w:sz w:val="17"/>
              </w:rPr>
            </w:pPr>
            <w:r w:rsidRPr="00914B47">
              <w:rPr>
                <w:rFonts w:ascii="Calibri" w:hAnsi="Calibri" w:cs="Calibri"/>
                <w:b/>
                <w:color w:val="000000"/>
                <w:sz w:val="17"/>
              </w:rPr>
              <w:t>13.9%</w:t>
            </w:r>
          </w:p>
        </w:tc>
        <w:tc>
          <w:tcPr>
            <w:tcW w:w="1400" w:type="dxa"/>
          </w:tcPr>
          <w:p w14:paraId="2AC10972" w14:textId="76ADC0E2" w:rsidR="00D4666E" w:rsidRPr="00914B47" w:rsidRDefault="00D4666E" w:rsidP="00914B47">
            <w:pPr>
              <w:spacing w:line="200" w:lineRule="auto"/>
              <w:jc w:val="right"/>
              <w:rPr>
                <w:rFonts w:ascii="Calibri" w:hAnsi="Calibri" w:cs="Calibri"/>
                <w:b/>
                <w:color w:val="000000"/>
                <w:sz w:val="17"/>
              </w:rPr>
            </w:pPr>
            <w:r w:rsidRPr="00914B47">
              <w:rPr>
                <w:rFonts w:ascii="Calibri" w:hAnsi="Calibri" w:cs="Calibri"/>
                <w:b/>
                <w:color w:val="000000"/>
                <w:sz w:val="17"/>
              </w:rPr>
              <w:t>14.4%</w:t>
            </w:r>
          </w:p>
        </w:tc>
      </w:tr>
    </w:tbl>
    <w:p w14:paraId="0A1B2F2D" w14:textId="77777777" w:rsidR="00D4666E" w:rsidRPr="00914B47" w:rsidRDefault="00D4666E" w:rsidP="00914B47">
      <w:pPr>
        <w:spacing w:after="0" w:line="120" w:lineRule="auto"/>
        <w:rPr>
          <w:rFonts w:ascii="Calibri" w:hAnsi="Calibri" w:cs="Calibri"/>
          <w:sz w:val="12"/>
        </w:rPr>
      </w:pPr>
    </w:p>
    <w:p w14:paraId="2472D131" w14:textId="63D00FE1" w:rsidR="00D4666E" w:rsidRPr="00914B47" w:rsidRDefault="00D4666E" w:rsidP="00914B47">
      <w:pPr>
        <w:spacing w:before="80" w:after="40" w:line="220" w:lineRule="auto"/>
        <w:rPr>
          <w:rFonts w:ascii="Calibri" w:hAnsi="Calibri" w:cs="Calibri"/>
          <w:b/>
          <w:sz w:val="19"/>
        </w:rPr>
      </w:pPr>
      <w:r w:rsidRPr="00914B47">
        <w:rPr>
          <w:rFonts w:ascii="Calibri" w:hAnsi="Calibri" w:cs="Calibri"/>
          <w:b/>
          <w:sz w:val="19"/>
        </w:rPr>
        <w:t>Basis for each adjustment:</w:t>
      </w:r>
    </w:p>
    <w:p w14:paraId="127AAB7B" w14:textId="0711394C" w:rsidR="00D4666E" w:rsidRPr="00D4666E" w:rsidRDefault="00D4666E" w:rsidP="00D4666E">
      <w:pPr>
        <w:pStyle w:val="ListBullet"/>
        <w:spacing w:after="20" w:line="220" w:lineRule="auto"/>
        <w:rPr>
          <w:rFonts w:ascii="Calibri" w:hAnsi="Calibri" w:cs="Calibri"/>
          <w:sz w:val="19"/>
        </w:rPr>
      </w:pPr>
      <w:r w:rsidRPr="00D4666E">
        <w:rPr>
          <w:rFonts w:ascii="Calibri" w:hAnsi="Calibri" w:cs="Calibri"/>
          <w:sz w:val="19"/>
        </w:rPr>
        <w:t>Owner compensation: shareholder draw compared to an assumed market rate of $150,000 for a general manager performing the equivalent function.</w:t>
      </w:r>
    </w:p>
    <w:p w14:paraId="6A09932B" w14:textId="0C5FB862" w:rsidR="00D4666E" w:rsidRPr="00D4666E" w:rsidRDefault="00D4666E" w:rsidP="00D4666E">
      <w:pPr>
        <w:pStyle w:val="ListBullet"/>
        <w:spacing w:after="20" w:line="220" w:lineRule="auto"/>
        <w:rPr>
          <w:rFonts w:ascii="Calibri" w:hAnsi="Calibri" w:cs="Calibri"/>
          <w:sz w:val="19"/>
        </w:rPr>
      </w:pPr>
      <w:r w:rsidRPr="00D4666E">
        <w:rPr>
          <w:rFonts w:ascii="Calibri" w:hAnsi="Calibri" w:cs="Calibri"/>
          <w:sz w:val="19"/>
        </w:rPr>
        <w:t>Non-active family member: spouse remunerated through payroll with no identified operating role.</w:t>
      </w:r>
    </w:p>
    <w:p w14:paraId="2F7D76E3" w14:textId="7B46A7EC" w:rsidR="00D4666E" w:rsidRPr="00D4666E" w:rsidRDefault="00D4666E" w:rsidP="00D4666E">
      <w:pPr>
        <w:pStyle w:val="ListBullet"/>
        <w:spacing w:after="20" w:line="220" w:lineRule="auto"/>
        <w:rPr>
          <w:rFonts w:ascii="Calibri" w:hAnsi="Calibri" w:cs="Calibri"/>
          <w:sz w:val="19"/>
        </w:rPr>
      </w:pPr>
      <w:r w:rsidRPr="00D4666E">
        <w:rPr>
          <w:rFonts w:ascii="Calibri" w:hAnsi="Calibri" w:cs="Calibri"/>
          <w:sz w:val="19"/>
        </w:rPr>
        <w:t>Discretionary expenses: vehicle, travel and meal costs charged to the Company that a notional purchaser would not incur.</w:t>
      </w:r>
    </w:p>
    <w:p w14:paraId="086C9E8A" w14:textId="4A0AC7AF" w:rsidR="00D4666E" w:rsidRPr="00D4666E" w:rsidRDefault="00D4666E" w:rsidP="00D4666E">
      <w:pPr>
        <w:pStyle w:val="ListBullet"/>
        <w:spacing w:after="20" w:line="220" w:lineRule="auto"/>
        <w:rPr>
          <w:rFonts w:ascii="Calibri" w:hAnsi="Calibri" w:cs="Calibri"/>
          <w:sz w:val="19"/>
        </w:rPr>
      </w:pPr>
      <w:r w:rsidRPr="00D4666E">
        <w:rPr>
          <w:rFonts w:ascii="Calibri" w:hAnsi="Calibri" w:cs="Calibri"/>
          <w:sz w:val="19"/>
        </w:rPr>
        <w:t>Related-party rent: one location leased from an entity controlled by the shareholder at $220,000 against an assumed market rent of $160,000.</w:t>
      </w:r>
    </w:p>
    <w:p w14:paraId="5553DC3F" w14:textId="0D3551DA" w:rsidR="00D4666E" w:rsidRPr="00D4666E" w:rsidRDefault="00D4666E" w:rsidP="00D4666E">
      <w:pPr>
        <w:pStyle w:val="ListBullet"/>
        <w:spacing w:after="20" w:line="220" w:lineRule="auto"/>
        <w:rPr>
          <w:rFonts w:ascii="Calibri" w:hAnsi="Calibri" w:cs="Calibri"/>
          <w:sz w:val="19"/>
        </w:rPr>
      </w:pPr>
      <w:r w:rsidRPr="00D4666E">
        <w:rPr>
          <w:rFonts w:ascii="Calibri" w:hAnsi="Calibri" w:cs="Calibri"/>
          <w:sz w:val="19"/>
        </w:rPr>
        <w:t>Legal settlement: one-time landlord dispute settled in FY2025.</w:t>
      </w:r>
    </w:p>
    <w:p w14:paraId="645B9355" w14:textId="283006A3" w:rsidR="00D4666E" w:rsidRPr="00D4666E" w:rsidRDefault="00D4666E" w:rsidP="00D4666E">
      <w:pPr>
        <w:pStyle w:val="ListBullet"/>
        <w:spacing w:after="20" w:line="220" w:lineRule="auto"/>
        <w:rPr>
          <w:rFonts w:ascii="Calibri" w:hAnsi="Calibri" w:cs="Calibri"/>
          <w:sz w:val="19"/>
        </w:rPr>
      </w:pPr>
      <w:r w:rsidRPr="00D4666E">
        <w:rPr>
          <w:rFonts w:ascii="Calibri" w:hAnsi="Calibri" w:cs="Calibri"/>
          <w:sz w:val="19"/>
        </w:rPr>
        <w:t>Store relocation: costs of a lease-end relocation of a single location.</w:t>
      </w:r>
    </w:p>
    <w:p w14:paraId="78D6D354" w14:textId="64763852" w:rsidR="00D4666E" w:rsidRPr="00D4666E" w:rsidRDefault="00D4666E" w:rsidP="00D4666E">
      <w:pPr>
        <w:pStyle w:val="ListBullet"/>
        <w:spacing w:after="20" w:line="220" w:lineRule="auto"/>
        <w:rPr>
          <w:rFonts w:ascii="Calibri" w:hAnsi="Calibri" w:cs="Calibri"/>
          <w:sz w:val="19"/>
        </w:rPr>
      </w:pPr>
      <w:r w:rsidRPr="00D4666E">
        <w:rPr>
          <w:rFonts w:ascii="Calibri" w:hAnsi="Calibri" w:cs="Calibri"/>
          <w:sz w:val="19"/>
        </w:rPr>
        <w:t>Government wage subsidy: programme has ended and the receipt is not maintainable.</w:t>
      </w:r>
    </w:p>
    <w:p w14:paraId="22B8F216" w14:textId="2C2C0B7D" w:rsidR="00D4666E" w:rsidRPr="00D4666E" w:rsidRDefault="00D4666E" w:rsidP="00D4666E">
      <w:pPr>
        <w:spacing w:before="120" w:after="60" w:line="220" w:lineRule="auto"/>
        <w:rPr>
          <w:rFonts w:ascii="Calibri" w:hAnsi="Calibri" w:cs="Calibri"/>
          <w:sz w:val="19"/>
        </w:rPr>
      </w:pPr>
      <w:r w:rsidRPr="00D4666E">
        <w:rPr>
          <w:rFonts w:ascii="Calibri" w:hAnsi="Calibri" w:cs="Calibri"/>
          <w:sz w:val="19"/>
        </w:rPr>
        <w:t>Maintainable EBITDA has been determined by weighting the three normalized years 20% / 30% / 50%, weighted toward FY2025 to reflect the current nine-location footprint. Maintainable EBITDA is $1,405.</w:t>
      </w:r>
    </w:p>
    <w:p w14:paraId="09143E75" w14:textId="475B2331" w:rsidR="00D4666E" w:rsidRPr="00D4666E" w:rsidRDefault="00D4666E" w:rsidP="00D4666E">
      <w:pPr>
        <w:spacing w:after="60" w:line="220" w:lineRule="auto"/>
        <w:rPr>
          <w:rFonts w:ascii="Calibri" w:hAnsi="Calibri" w:cs="Calibri"/>
          <w:sz w:val="19"/>
        </w:rPr>
      </w:pPr>
      <w:r w:rsidRPr="00D4666E">
        <w:rPr>
          <w:rFonts w:ascii="Calibri" w:hAnsi="Calibri" w:cs="Calibri"/>
          <w:sz w:val="19"/>
        </w:rPr>
        <w:t>The normalization adjustments are material to the conclusion. Weighted reported EBITDA is approximately $911 against maintainable normalized EBITDA of $1,405. Given the marginal capitalization multiple implicit in Section 5, this difference accounts for a substantial majority of the concluded equity value. The adjustments are therefore the single most significant area of judgment in this analysis after the company-specific risk premium.</w:t>
      </w:r>
    </w:p>
    <w:p w14:paraId="5BF31B16" w14:textId="18630757" w:rsidR="00D4666E" w:rsidRPr="00437876" w:rsidRDefault="00D4666E" w:rsidP="00437876">
      <w:pPr>
        <w:pStyle w:val="Heading1"/>
      </w:pPr>
      <w:r w:rsidRPr="00437876">
        <w:t>4. DISCOUNT RATE</w:t>
      </w:r>
    </w:p>
    <w:p w14:paraId="4423341B" w14:textId="1592CDD9" w:rsidR="00D4666E" w:rsidRPr="00D4666E" w:rsidRDefault="00D4666E" w:rsidP="00D4666E">
      <w:pPr>
        <w:spacing w:after="60" w:line="220" w:lineRule="auto"/>
        <w:rPr>
          <w:rFonts w:ascii="Calibri" w:hAnsi="Calibri" w:cs="Calibri"/>
          <w:sz w:val="19"/>
        </w:rPr>
      </w:pPr>
      <w:r w:rsidRPr="00D4666E">
        <w:rPr>
          <w:rFonts w:ascii="Calibri" w:hAnsi="Calibri" w:cs="Calibri"/>
          <w:sz w:val="19"/>
        </w:rPr>
        <w:t>A build-up method has been applied. The Company is privately held with no observable share price, so an equity return requirement has been constructed from its components rather than derived from a market beta alone.</w:t>
      </w:r>
    </w:p>
    <w:tbl>
      <w:tblPr>
        <w:tblStyle w:val="TableGrid"/>
        <w:tblW w:w="0" w:type="auto"/>
        <w:tblLook w:val="0480" w:firstRow="0" w:lastRow="0" w:firstColumn="1" w:lastColumn="0" w:noHBand="0" w:noVBand="1"/>
      </w:tblPr>
      <w:tblGrid>
        <w:gridCol w:w="4000"/>
        <w:gridCol w:w="1200"/>
        <w:gridCol w:w="4000"/>
      </w:tblGrid>
      <w:tr w:rsidR="00D4666E" w:rsidRPr="00D4666E" w14:paraId="133C2C5C" w14:textId="77777777" w:rsidTr="00914B47">
        <w:tc>
          <w:tcPr>
            <w:tcW w:w="4000" w:type="dxa"/>
          </w:tcPr>
          <w:p w14:paraId="02C7A21C" w14:textId="306ADA01" w:rsidR="00D4666E" w:rsidRPr="00914B47" w:rsidRDefault="00D4666E" w:rsidP="00914B47">
            <w:pPr>
              <w:spacing w:line="200" w:lineRule="auto"/>
              <w:rPr>
                <w:rFonts w:ascii="Calibri" w:hAnsi="Calibri" w:cs="Calibri"/>
                <w:color w:val="000000"/>
                <w:sz w:val="17"/>
              </w:rPr>
            </w:pPr>
            <w:r w:rsidRPr="00914B47">
              <w:rPr>
                <w:rFonts w:ascii="Calibri" w:hAnsi="Calibri" w:cs="Calibri"/>
                <w:color w:val="000000"/>
                <w:sz w:val="17"/>
              </w:rPr>
              <w:t>Risk-free rate</w:t>
            </w:r>
          </w:p>
        </w:tc>
        <w:tc>
          <w:tcPr>
            <w:tcW w:w="1200" w:type="dxa"/>
          </w:tcPr>
          <w:p w14:paraId="3FA2C5B8" w14:textId="0E3A3025"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3.25%</w:t>
            </w:r>
          </w:p>
        </w:tc>
        <w:tc>
          <w:tcPr>
            <w:tcW w:w="4000" w:type="dxa"/>
          </w:tcPr>
          <w:p w14:paraId="6287EA80" w14:textId="6955BA1E" w:rsidR="00D4666E" w:rsidRPr="00914B47" w:rsidRDefault="00D4666E" w:rsidP="00914B47">
            <w:pPr>
              <w:spacing w:line="200" w:lineRule="auto"/>
              <w:rPr>
                <w:rFonts w:ascii="Calibri" w:hAnsi="Calibri" w:cs="Calibri"/>
                <w:color w:val="000000"/>
                <w:sz w:val="17"/>
              </w:rPr>
            </w:pPr>
            <w:r w:rsidRPr="00914B47">
              <w:rPr>
                <w:rFonts w:ascii="Calibri" w:hAnsi="Calibri" w:cs="Calibri"/>
                <w:color w:val="000000"/>
                <w:sz w:val="17"/>
              </w:rPr>
              <w:t>GoC 20-year benchmark bond</w:t>
            </w:r>
          </w:p>
        </w:tc>
      </w:tr>
      <w:tr w:rsidR="00D4666E" w:rsidRPr="00D4666E" w14:paraId="5C1FB23F" w14:textId="77777777" w:rsidTr="00914B47">
        <w:tc>
          <w:tcPr>
            <w:tcW w:w="4000" w:type="dxa"/>
          </w:tcPr>
          <w:p w14:paraId="067E8291" w14:textId="18D1FBB6" w:rsidR="00D4666E" w:rsidRPr="00914B47" w:rsidRDefault="00D4666E" w:rsidP="00914B47">
            <w:pPr>
              <w:spacing w:line="200" w:lineRule="auto"/>
              <w:rPr>
                <w:rFonts w:ascii="Calibri" w:hAnsi="Calibri" w:cs="Calibri"/>
                <w:color w:val="000000"/>
                <w:sz w:val="17"/>
              </w:rPr>
            </w:pPr>
            <w:r w:rsidRPr="00914B47">
              <w:rPr>
                <w:rFonts w:ascii="Calibri" w:hAnsi="Calibri" w:cs="Calibri"/>
                <w:color w:val="000000"/>
                <w:sz w:val="17"/>
              </w:rPr>
              <w:t>Add: equity risk premium</w:t>
            </w:r>
          </w:p>
        </w:tc>
        <w:tc>
          <w:tcPr>
            <w:tcW w:w="1200" w:type="dxa"/>
          </w:tcPr>
          <w:p w14:paraId="3E63B08B" w14:textId="4AB23900"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5.50%</w:t>
            </w:r>
          </w:p>
        </w:tc>
        <w:tc>
          <w:tcPr>
            <w:tcW w:w="4000" w:type="dxa"/>
          </w:tcPr>
          <w:p w14:paraId="1178A35C" w14:textId="3241A492" w:rsidR="00D4666E" w:rsidRPr="00914B47" w:rsidRDefault="00D4666E" w:rsidP="00914B47">
            <w:pPr>
              <w:spacing w:line="200" w:lineRule="auto"/>
              <w:rPr>
                <w:rFonts w:ascii="Calibri" w:hAnsi="Calibri" w:cs="Calibri"/>
                <w:color w:val="000000"/>
                <w:sz w:val="17"/>
              </w:rPr>
            </w:pPr>
            <w:r w:rsidRPr="00914B47">
              <w:rPr>
                <w:rFonts w:ascii="Calibri" w:hAnsi="Calibri" w:cs="Calibri"/>
                <w:color w:val="000000"/>
                <w:sz w:val="17"/>
              </w:rPr>
              <w:t>Long-run Canadian premium over long bonds</w:t>
            </w:r>
          </w:p>
        </w:tc>
      </w:tr>
      <w:tr w:rsidR="00D4666E" w:rsidRPr="00D4666E" w14:paraId="0585355B" w14:textId="77777777" w:rsidTr="00914B47">
        <w:tc>
          <w:tcPr>
            <w:tcW w:w="4000" w:type="dxa"/>
          </w:tcPr>
          <w:p w14:paraId="47061312" w14:textId="1B533A46" w:rsidR="00D4666E" w:rsidRPr="00914B47" w:rsidRDefault="00D4666E" w:rsidP="00914B47">
            <w:pPr>
              <w:spacing w:line="200" w:lineRule="auto"/>
              <w:rPr>
                <w:rFonts w:ascii="Calibri" w:hAnsi="Calibri" w:cs="Calibri"/>
                <w:color w:val="000000"/>
                <w:sz w:val="17"/>
              </w:rPr>
            </w:pPr>
            <w:r w:rsidRPr="00914B47">
              <w:rPr>
                <w:rFonts w:ascii="Calibri" w:hAnsi="Calibri" w:cs="Calibri"/>
                <w:color w:val="000000"/>
                <w:sz w:val="17"/>
              </w:rPr>
              <w:t>Add: size premium</w:t>
            </w:r>
          </w:p>
        </w:tc>
        <w:tc>
          <w:tcPr>
            <w:tcW w:w="1200" w:type="dxa"/>
          </w:tcPr>
          <w:p w14:paraId="4F1680DD" w14:textId="62EF62F9"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5.00%</w:t>
            </w:r>
          </w:p>
        </w:tc>
        <w:tc>
          <w:tcPr>
            <w:tcW w:w="4000" w:type="dxa"/>
          </w:tcPr>
          <w:p w14:paraId="2D5A8AA2" w14:textId="14B4D89B" w:rsidR="00D4666E" w:rsidRPr="00914B47" w:rsidRDefault="00D4666E" w:rsidP="00914B47">
            <w:pPr>
              <w:spacing w:line="200" w:lineRule="auto"/>
              <w:rPr>
                <w:rFonts w:ascii="Calibri" w:hAnsi="Calibri" w:cs="Calibri"/>
                <w:color w:val="000000"/>
                <w:sz w:val="17"/>
              </w:rPr>
            </w:pPr>
            <w:r w:rsidRPr="00914B47">
              <w:rPr>
                <w:rFonts w:ascii="Calibri" w:hAnsi="Calibri" w:cs="Calibri"/>
                <w:color w:val="000000"/>
                <w:sz w:val="17"/>
              </w:rPr>
              <w:t>Micro-cap decile, published convention</w:t>
            </w:r>
          </w:p>
        </w:tc>
      </w:tr>
      <w:tr w:rsidR="00D4666E" w:rsidRPr="00D4666E" w14:paraId="6ABF3885" w14:textId="77777777" w:rsidTr="00914B47">
        <w:tc>
          <w:tcPr>
            <w:tcW w:w="4000" w:type="dxa"/>
          </w:tcPr>
          <w:p w14:paraId="625CA8FE" w14:textId="78E6663B" w:rsidR="00D4666E" w:rsidRPr="00914B47" w:rsidRDefault="00D4666E" w:rsidP="00914B47">
            <w:pPr>
              <w:spacing w:line="200" w:lineRule="auto"/>
              <w:rPr>
                <w:rFonts w:ascii="Calibri" w:hAnsi="Calibri" w:cs="Calibri"/>
                <w:color w:val="000000"/>
                <w:sz w:val="17"/>
              </w:rPr>
            </w:pPr>
            <w:r w:rsidRPr="00914B47">
              <w:rPr>
                <w:rFonts w:ascii="Calibri" w:hAnsi="Calibri" w:cs="Calibri"/>
                <w:color w:val="000000"/>
                <w:sz w:val="17"/>
              </w:rPr>
              <w:t>Add: industry risk premium</w:t>
            </w:r>
          </w:p>
        </w:tc>
        <w:tc>
          <w:tcPr>
            <w:tcW w:w="1200" w:type="dxa"/>
          </w:tcPr>
          <w:p w14:paraId="17CBF650" w14:textId="39ECE0EB"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1.00%</w:t>
            </w:r>
          </w:p>
        </w:tc>
        <w:tc>
          <w:tcPr>
            <w:tcW w:w="4000" w:type="dxa"/>
          </w:tcPr>
          <w:p w14:paraId="06B50CF8" w14:textId="4F7D5809" w:rsidR="00D4666E" w:rsidRPr="00914B47" w:rsidRDefault="00D4666E" w:rsidP="00914B47">
            <w:pPr>
              <w:spacing w:line="200" w:lineRule="auto"/>
              <w:rPr>
                <w:rFonts w:ascii="Calibri" w:hAnsi="Calibri" w:cs="Calibri"/>
                <w:color w:val="000000"/>
                <w:sz w:val="17"/>
              </w:rPr>
            </w:pPr>
            <w:r w:rsidRPr="00914B47">
              <w:rPr>
                <w:rFonts w:ascii="Calibri" w:hAnsi="Calibri" w:cs="Calibri"/>
                <w:color w:val="000000"/>
                <w:sz w:val="17"/>
              </w:rPr>
              <w:t>Limited-service restaurants</w:t>
            </w:r>
          </w:p>
        </w:tc>
      </w:tr>
      <w:tr w:rsidR="00D4666E" w:rsidRPr="00D4666E" w14:paraId="051045BB" w14:textId="77777777" w:rsidTr="00914B47">
        <w:tc>
          <w:tcPr>
            <w:tcW w:w="4000" w:type="dxa"/>
          </w:tcPr>
          <w:p w14:paraId="44E82986" w14:textId="16A721BF" w:rsidR="00D4666E" w:rsidRPr="00914B47" w:rsidRDefault="00D4666E" w:rsidP="00914B47">
            <w:pPr>
              <w:spacing w:line="200" w:lineRule="auto"/>
              <w:rPr>
                <w:rFonts w:ascii="Calibri" w:hAnsi="Calibri" w:cs="Calibri"/>
                <w:b/>
                <w:color w:val="000000"/>
                <w:sz w:val="17"/>
              </w:rPr>
            </w:pPr>
            <w:r w:rsidRPr="00914B47">
              <w:rPr>
                <w:rFonts w:ascii="Calibri" w:hAnsi="Calibri" w:cs="Calibri"/>
                <w:b/>
                <w:color w:val="000000"/>
                <w:sz w:val="17"/>
              </w:rPr>
              <w:t>Base cost of equity</w:t>
            </w:r>
          </w:p>
        </w:tc>
        <w:tc>
          <w:tcPr>
            <w:tcW w:w="1200" w:type="dxa"/>
          </w:tcPr>
          <w:p w14:paraId="198DC00A" w14:textId="24C65303" w:rsidR="00D4666E" w:rsidRPr="00914B47" w:rsidRDefault="00D4666E" w:rsidP="00914B47">
            <w:pPr>
              <w:spacing w:line="200" w:lineRule="auto"/>
              <w:jc w:val="right"/>
              <w:rPr>
                <w:rFonts w:ascii="Calibri" w:hAnsi="Calibri" w:cs="Calibri"/>
                <w:b/>
                <w:color w:val="000000"/>
                <w:sz w:val="17"/>
              </w:rPr>
            </w:pPr>
            <w:r w:rsidRPr="00914B47">
              <w:rPr>
                <w:rFonts w:ascii="Calibri" w:hAnsi="Calibri" w:cs="Calibri"/>
                <w:b/>
                <w:color w:val="000000"/>
                <w:sz w:val="17"/>
              </w:rPr>
              <w:t>14.75%</w:t>
            </w:r>
          </w:p>
        </w:tc>
        <w:tc>
          <w:tcPr>
            <w:tcW w:w="4000" w:type="dxa"/>
          </w:tcPr>
          <w:p w14:paraId="6E0D089C" w14:textId="77777777" w:rsidR="00D4666E" w:rsidRPr="00914B47" w:rsidRDefault="00D4666E" w:rsidP="00914B47">
            <w:pPr>
              <w:spacing w:line="120" w:lineRule="auto"/>
              <w:rPr>
                <w:rFonts w:ascii="Calibri" w:hAnsi="Calibri" w:cs="Calibri"/>
                <w:b/>
                <w:color w:val="000000"/>
                <w:sz w:val="12"/>
              </w:rPr>
            </w:pPr>
          </w:p>
        </w:tc>
      </w:tr>
      <w:tr w:rsidR="00D4666E" w:rsidRPr="00D4666E" w14:paraId="48DAE85A" w14:textId="77777777" w:rsidTr="00914B47">
        <w:tc>
          <w:tcPr>
            <w:tcW w:w="4000" w:type="dxa"/>
          </w:tcPr>
          <w:p w14:paraId="5C4FD08D" w14:textId="676B5D86" w:rsidR="00D4666E" w:rsidRPr="00914B47" w:rsidRDefault="00D4666E" w:rsidP="00914B47">
            <w:pPr>
              <w:spacing w:line="200" w:lineRule="auto"/>
              <w:rPr>
                <w:rFonts w:ascii="Calibri" w:hAnsi="Calibri" w:cs="Calibri"/>
                <w:b/>
                <w:color w:val="000000"/>
                <w:sz w:val="17"/>
              </w:rPr>
            </w:pPr>
            <w:r w:rsidRPr="00914B47">
              <w:rPr>
                <w:rFonts w:ascii="Calibri" w:hAnsi="Calibri" w:cs="Calibri"/>
                <w:b/>
                <w:color w:val="000000"/>
                <w:sz w:val="17"/>
              </w:rPr>
              <w:t>Company-specific risk premium (CSRP)</w:t>
            </w:r>
          </w:p>
        </w:tc>
        <w:tc>
          <w:tcPr>
            <w:tcW w:w="1200" w:type="dxa"/>
          </w:tcPr>
          <w:p w14:paraId="7D00A535" w14:textId="77777777" w:rsidR="00D4666E" w:rsidRPr="00914B47" w:rsidRDefault="00D4666E" w:rsidP="00914B47">
            <w:pPr>
              <w:spacing w:line="120" w:lineRule="auto"/>
              <w:jc w:val="right"/>
              <w:rPr>
                <w:rFonts w:ascii="Calibri" w:hAnsi="Calibri" w:cs="Calibri"/>
                <w:color w:val="000000"/>
                <w:sz w:val="12"/>
              </w:rPr>
            </w:pPr>
          </w:p>
        </w:tc>
        <w:tc>
          <w:tcPr>
            <w:tcW w:w="4000" w:type="dxa"/>
          </w:tcPr>
          <w:p w14:paraId="1CCEE95A" w14:textId="77777777" w:rsidR="00D4666E" w:rsidRPr="00914B47" w:rsidRDefault="00D4666E" w:rsidP="00914B47">
            <w:pPr>
              <w:spacing w:line="120" w:lineRule="auto"/>
              <w:rPr>
                <w:rFonts w:ascii="Calibri" w:hAnsi="Calibri" w:cs="Calibri"/>
                <w:color w:val="000000"/>
                <w:sz w:val="12"/>
              </w:rPr>
            </w:pPr>
          </w:p>
        </w:tc>
      </w:tr>
      <w:tr w:rsidR="00D4666E" w:rsidRPr="00D4666E" w14:paraId="23186A16" w14:textId="77777777" w:rsidTr="00914B47">
        <w:tc>
          <w:tcPr>
            <w:tcW w:w="4000" w:type="dxa"/>
          </w:tcPr>
          <w:p w14:paraId="1110A98D" w14:textId="3FCBC5A9" w:rsidR="00D4666E" w:rsidRPr="00914B47" w:rsidRDefault="00914B47" w:rsidP="00914B47">
            <w:pPr>
              <w:spacing w:line="200" w:lineRule="auto"/>
              <w:ind w:left="240"/>
              <w:rPr>
                <w:rFonts w:ascii="Calibri" w:hAnsi="Calibri" w:cs="Calibri"/>
                <w:color w:val="000000"/>
                <w:sz w:val="17"/>
              </w:rPr>
            </w:pPr>
            <w:r>
              <w:rPr>
                <w:rFonts w:ascii="Calibri" w:hAnsi="Calibri" w:cs="Calibri"/>
                <w:color w:val="000000"/>
                <w:sz w:val="17"/>
              </w:rPr>
              <w:t>Location and lease concentration</w:t>
            </w:r>
          </w:p>
        </w:tc>
        <w:tc>
          <w:tcPr>
            <w:tcW w:w="1200" w:type="dxa"/>
          </w:tcPr>
          <w:p w14:paraId="47454C6E" w14:textId="361D9B6F"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1.50%</w:t>
            </w:r>
          </w:p>
        </w:tc>
        <w:tc>
          <w:tcPr>
            <w:tcW w:w="4000" w:type="dxa"/>
          </w:tcPr>
          <w:p w14:paraId="4891F95E" w14:textId="28E0C2A0" w:rsidR="00D4666E" w:rsidRPr="00914B47" w:rsidRDefault="00D4666E" w:rsidP="00914B47">
            <w:pPr>
              <w:spacing w:line="200" w:lineRule="auto"/>
              <w:rPr>
                <w:rFonts w:ascii="Calibri" w:hAnsi="Calibri" w:cs="Calibri"/>
                <w:color w:val="000000"/>
                <w:sz w:val="17"/>
              </w:rPr>
            </w:pPr>
            <w:r w:rsidRPr="00914B47">
              <w:rPr>
                <w:rFonts w:ascii="Calibri" w:hAnsi="Calibri" w:cs="Calibri"/>
                <w:color w:val="000000"/>
                <w:sz w:val="17"/>
              </w:rPr>
              <w:t>Three of nine leases expire within 24 months</w:t>
            </w:r>
          </w:p>
        </w:tc>
      </w:tr>
      <w:tr w:rsidR="00D4666E" w:rsidRPr="00D4666E" w14:paraId="30BCA14A" w14:textId="77777777" w:rsidTr="00914B47">
        <w:tc>
          <w:tcPr>
            <w:tcW w:w="4000" w:type="dxa"/>
          </w:tcPr>
          <w:p w14:paraId="7AAA86C9" w14:textId="25C8CD32" w:rsidR="00D4666E" w:rsidRPr="00914B47" w:rsidRDefault="00914B47" w:rsidP="00914B47">
            <w:pPr>
              <w:spacing w:line="200" w:lineRule="auto"/>
              <w:ind w:left="240"/>
              <w:rPr>
                <w:rFonts w:ascii="Calibri" w:hAnsi="Calibri" w:cs="Calibri"/>
                <w:color w:val="000000"/>
                <w:sz w:val="17"/>
              </w:rPr>
            </w:pPr>
            <w:r>
              <w:rPr>
                <w:rFonts w:ascii="Calibri" w:hAnsi="Calibri" w:cs="Calibri"/>
                <w:color w:val="000000"/>
                <w:sz w:val="17"/>
              </w:rPr>
              <w:t>Key-person dependency</w:t>
            </w:r>
          </w:p>
        </w:tc>
        <w:tc>
          <w:tcPr>
            <w:tcW w:w="1200" w:type="dxa"/>
          </w:tcPr>
          <w:p w14:paraId="7B01C115" w14:textId="2F4CEB51"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2.00%</w:t>
            </w:r>
          </w:p>
        </w:tc>
        <w:tc>
          <w:tcPr>
            <w:tcW w:w="4000" w:type="dxa"/>
          </w:tcPr>
          <w:p w14:paraId="0D592A68" w14:textId="34EC4C4E" w:rsidR="00D4666E" w:rsidRPr="00914B47" w:rsidRDefault="00D4666E" w:rsidP="00914B47">
            <w:pPr>
              <w:spacing w:line="200" w:lineRule="auto"/>
              <w:rPr>
                <w:rFonts w:ascii="Calibri" w:hAnsi="Calibri" w:cs="Calibri"/>
                <w:color w:val="000000"/>
                <w:sz w:val="17"/>
              </w:rPr>
            </w:pPr>
            <w:r w:rsidRPr="00914B47">
              <w:rPr>
                <w:rFonts w:ascii="Calibri" w:hAnsi="Calibri" w:cs="Calibri"/>
                <w:color w:val="000000"/>
                <w:sz w:val="17"/>
              </w:rPr>
              <w:t>Shareholder controls supplier relationships and site selection</w:t>
            </w:r>
          </w:p>
        </w:tc>
      </w:tr>
      <w:tr w:rsidR="00D4666E" w:rsidRPr="00D4666E" w14:paraId="1C40E411" w14:textId="77777777" w:rsidTr="00914B47">
        <w:tc>
          <w:tcPr>
            <w:tcW w:w="4000" w:type="dxa"/>
          </w:tcPr>
          <w:p w14:paraId="4F844EA0" w14:textId="4E69DFC0" w:rsidR="00D4666E" w:rsidRPr="00914B47" w:rsidRDefault="00914B47" w:rsidP="00914B47">
            <w:pPr>
              <w:spacing w:line="200" w:lineRule="auto"/>
              <w:ind w:left="240"/>
              <w:rPr>
                <w:rFonts w:ascii="Calibri" w:hAnsi="Calibri" w:cs="Calibri"/>
                <w:color w:val="000000"/>
                <w:sz w:val="17"/>
              </w:rPr>
            </w:pPr>
            <w:r>
              <w:rPr>
                <w:rFonts w:ascii="Calibri" w:hAnsi="Calibri" w:cs="Calibri"/>
                <w:color w:val="000000"/>
                <w:sz w:val="17"/>
              </w:rPr>
              <w:t>Thin management depth</w:t>
            </w:r>
          </w:p>
        </w:tc>
        <w:tc>
          <w:tcPr>
            <w:tcW w:w="1200" w:type="dxa"/>
          </w:tcPr>
          <w:p w14:paraId="21C9398D" w14:textId="4DAD178D"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1.00%</w:t>
            </w:r>
          </w:p>
        </w:tc>
        <w:tc>
          <w:tcPr>
            <w:tcW w:w="4000" w:type="dxa"/>
          </w:tcPr>
          <w:p w14:paraId="3FB19F81" w14:textId="046D6DBE" w:rsidR="00D4666E" w:rsidRPr="00914B47" w:rsidRDefault="00D4666E" w:rsidP="00914B47">
            <w:pPr>
              <w:spacing w:line="200" w:lineRule="auto"/>
              <w:rPr>
                <w:rFonts w:ascii="Calibri" w:hAnsi="Calibri" w:cs="Calibri"/>
                <w:color w:val="000000"/>
                <w:sz w:val="17"/>
              </w:rPr>
            </w:pPr>
            <w:r w:rsidRPr="00914B47">
              <w:rPr>
                <w:rFonts w:ascii="Calibri" w:hAnsi="Calibri" w:cs="Calibri"/>
                <w:color w:val="000000"/>
                <w:sz w:val="17"/>
              </w:rPr>
              <w:t>No CFO or second-tier operations manager</w:t>
            </w:r>
          </w:p>
        </w:tc>
      </w:tr>
      <w:tr w:rsidR="00D4666E" w:rsidRPr="00D4666E" w14:paraId="0CBFFCF6" w14:textId="77777777" w:rsidTr="00914B47">
        <w:tc>
          <w:tcPr>
            <w:tcW w:w="4000" w:type="dxa"/>
          </w:tcPr>
          <w:p w14:paraId="007A2F9B" w14:textId="413ADC90" w:rsidR="00D4666E" w:rsidRPr="00914B47" w:rsidRDefault="00914B47" w:rsidP="00914B47">
            <w:pPr>
              <w:spacing w:line="200" w:lineRule="auto"/>
              <w:ind w:left="240"/>
              <w:rPr>
                <w:rFonts w:ascii="Calibri" w:hAnsi="Calibri" w:cs="Calibri"/>
                <w:color w:val="000000"/>
                <w:sz w:val="17"/>
              </w:rPr>
            </w:pPr>
            <w:r>
              <w:rPr>
                <w:rFonts w:ascii="Calibri" w:hAnsi="Calibri" w:cs="Calibri"/>
                <w:color w:val="000000"/>
                <w:sz w:val="17"/>
              </w:rPr>
              <w:t>Brand licence renewal risk</w:t>
            </w:r>
          </w:p>
        </w:tc>
        <w:tc>
          <w:tcPr>
            <w:tcW w:w="1200" w:type="dxa"/>
          </w:tcPr>
          <w:p w14:paraId="6A80EF19" w14:textId="2D11A4E3"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1.00%</w:t>
            </w:r>
          </w:p>
        </w:tc>
        <w:tc>
          <w:tcPr>
            <w:tcW w:w="4000" w:type="dxa"/>
          </w:tcPr>
          <w:p w14:paraId="6F618F36" w14:textId="18EF6A11" w:rsidR="00D4666E" w:rsidRPr="00914B47" w:rsidRDefault="00D4666E" w:rsidP="00914B47">
            <w:pPr>
              <w:spacing w:line="200" w:lineRule="auto"/>
              <w:rPr>
                <w:rFonts w:ascii="Calibri" w:hAnsi="Calibri" w:cs="Calibri"/>
                <w:color w:val="000000"/>
                <w:sz w:val="17"/>
              </w:rPr>
            </w:pPr>
            <w:r w:rsidRPr="00914B47">
              <w:rPr>
                <w:rFonts w:ascii="Calibri" w:hAnsi="Calibri" w:cs="Calibri"/>
                <w:color w:val="000000"/>
                <w:sz w:val="17"/>
              </w:rPr>
              <w:t>Regional licence subject to periodic renewal</w:t>
            </w:r>
          </w:p>
        </w:tc>
      </w:tr>
      <w:tr w:rsidR="00D4666E" w:rsidRPr="00D4666E" w14:paraId="7D149F48" w14:textId="77777777" w:rsidTr="00914B47">
        <w:tc>
          <w:tcPr>
            <w:tcW w:w="4000" w:type="dxa"/>
          </w:tcPr>
          <w:p w14:paraId="3C582409" w14:textId="33C4BA3C" w:rsidR="00D4666E" w:rsidRPr="00914B47" w:rsidRDefault="00D4666E" w:rsidP="00914B47">
            <w:pPr>
              <w:spacing w:line="200" w:lineRule="auto"/>
              <w:rPr>
                <w:rFonts w:ascii="Calibri" w:hAnsi="Calibri" w:cs="Calibri"/>
                <w:b/>
                <w:color w:val="000000"/>
                <w:sz w:val="17"/>
              </w:rPr>
            </w:pPr>
            <w:r w:rsidRPr="00914B47">
              <w:rPr>
                <w:rFonts w:ascii="Calibri" w:hAnsi="Calibri" w:cs="Calibri"/>
                <w:b/>
                <w:color w:val="000000"/>
                <w:sz w:val="17"/>
              </w:rPr>
              <w:t>Total CSRP</w:t>
            </w:r>
          </w:p>
        </w:tc>
        <w:tc>
          <w:tcPr>
            <w:tcW w:w="1200" w:type="dxa"/>
          </w:tcPr>
          <w:p w14:paraId="1C6B4FBA" w14:textId="1D296225" w:rsidR="00D4666E" w:rsidRPr="00914B47" w:rsidRDefault="00D4666E" w:rsidP="00914B47">
            <w:pPr>
              <w:spacing w:line="200" w:lineRule="auto"/>
              <w:jc w:val="right"/>
              <w:rPr>
                <w:rFonts w:ascii="Calibri" w:hAnsi="Calibri" w:cs="Calibri"/>
                <w:b/>
                <w:color w:val="000000"/>
                <w:sz w:val="17"/>
              </w:rPr>
            </w:pPr>
            <w:r w:rsidRPr="00914B47">
              <w:rPr>
                <w:rFonts w:ascii="Calibri" w:hAnsi="Calibri" w:cs="Calibri"/>
                <w:b/>
                <w:color w:val="000000"/>
                <w:sz w:val="17"/>
              </w:rPr>
              <w:t>5.50%</w:t>
            </w:r>
          </w:p>
        </w:tc>
        <w:tc>
          <w:tcPr>
            <w:tcW w:w="4000" w:type="dxa"/>
          </w:tcPr>
          <w:p w14:paraId="5BDE5FF8" w14:textId="77777777" w:rsidR="00D4666E" w:rsidRPr="00914B47" w:rsidRDefault="00D4666E" w:rsidP="00914B47">
            <w:pPr>
              <w:spacing w:line="120" w:lineRule="auto"/>
              <w:rPr>
                <w:rFonts w:ascii="Calibri" w:hAnsi="Calibri" w:cs="Calibri"/>
                <w:b/>
                <w:color w:val="000000"/>
                <w:sz w:val="12"/>
              </w:rPr>
            </w:pPr>
          </w:p>
        </w:tc>
      </w:tr>
      <w:tr w:rsidR="00D4666E" w:rsidRPr="00D4666E" w14:paraId="163875A3" w14:textId="77777777" w:rsidTr="00914B47">
        <w:tc>
          <w:tcPr>
            <w:tcW w:w="4000" w:type="dxa"/>
          </w:tcPr>
          <w:p w14:paraId="1B2F8678" w14:textId="57A6F0D1" w:rsidR="00D4666E" w:rsidRPr="00914B47" w:rsidRDefault="00D4666E" w:rsidP="00914B47">
            <w:pPr>
              <w:spacing w:line="200" w:lineRule="auto"/>
              <w:rPr>
                <w:rFonts w:ascii="Calibri" w:hAnsi="Calibri" w:cs="Calibri"/>
                <w:b/>
                <w:color w:val="000000"/>
                <w:sz w:val="17"/>
              </w:rPr>
            </w:pPr>
            <w:r w:rsidRPr="00914B47">
              <w:rPr>
                <w:rFonts w:ascii="Calibri" w:hAnsi="Calibri" w:cs="Calibri"/>
                <w:b/>
                <w:color w:val="000000"/>
                <w:sz w:val="17"/>
              </w:rPr>
              <w:t>Cost of equity</w:t>
            </w:r>
          </w:p>
        </w:tc>
        <w:tc>
          <w:tcPr>
            <w:tcW w:w="1200" w:type="dxa"/>
          </w:tcPr>
          <w:p w14:paraId="09466012" w14:textId="3A7177CA" w:rsidR="00D4666E" w:rsidRPr="00914B47" w:rsidRDefault="00D4666E" w:rsidP="00914B47">
            <w:pPr>
              <w:spacing w:line="200" w:lineRule="auto"/>
              <w:jc w:val="right"/>
              <w:rPr>
                <w:rFonts w:ascii="Calibri" w:hAnsi="Calibri" w:cs="Calibri"/>
                <w:b/>
                <w:color w:val="000000"/>
                <w:sz w:val="17"/>
              </w:rPr>
            </w:pPr>
            <w:r w:rsidRPr="00914B47">
              <w:rPr>
                <w:rFonts w:ascii="Calibri" w:hAnsi="Calibri" w:cs="Calibri"/>
                <w:b/>
                <w:color w:val="000000"/>
                <w:sz w:val="17"/>
              </w:rPr>
              <w:t>20.25%</w:t>
            </w:r>
          </w:p>
        </w:tc>
        <w:tc>
          <w:tcPr>
            <w:tcW w:w="4000" w:type="dxa"/>
          </w:tcPr>
          <w:p w14:paraId="6BE04809" w14:textId="77777777" w:rsidR="00D4666E" w:rsidRPr="00914B47" w:rsidRDefault="00D4666E" w:rsidP="00914B47">
            <w:pPr>
              <w:spacing w:line="120" w:lineRule="auto"/>
              <w:rPr>
                <w:rFonts w:ascii="Calibri" w:hAnsi="Calibri" w:cs="Calibri"/>
                <w:b/>
                <w:color w:val="000000"/>
                <w:sz w:val="12"/>
              </w:rPr>
            </w:pPr>
          </w:p>
        </w:tc>
      </w:tr>
      <w:tr w:rsidR="00D4666E" w:rsidRPr="00D4666E" w14:paraId="30351563" w14:textId="77777777" w:rsidTr="00914B47">
        <w:tc>
          <w:tcPr>
            <w:tcW w:w="4000" w:type="dxa"/>
          </w:tcPr>
          <w:p w14:paraId="0F05A524" w14:textId="2E0D4F82" w:rsidR="00D4666E" w:rsidRPr="00914B47" w:rsidRDefault="00D4666E" w:rsidP="00914B47">
            <w:pPr>
              <w:spacing w:line="200" w:lineRule="auto"/>
              <w:rPr>
                <w:rFonts w:ascii="Calibri" w:hAnsi="Calibri" w:cs="Calibri"/>
                <w:color w:val="000000"/>
                <w:sz w:val="17"/>
              </w:rPr>
            </w:pPr>
            <w:r w:rsidRPr="00914B47">
              <w:rPr>
                <w:rFonts w:ascii="Calibri" w:hAnsi="Calibri" w:cs="Calibri"/>
                <w:color w:val="000000"/>
                <w:sz w:val="17"/>
              </w:rPr>
              <w:t>Pre-tax cost of debt</w:t>
            </w:r>
          </w:p>
        </w:tc>
        <w:tc>
          <w:tcPr>
            <w:tcW w:w="1200" w:type="dxa"/>
          </w:tcPr>
          <w:p w14:paraId="669D0F06" w14:textId="4FB000DF"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7.50%</w:t>
            </w:r>
          </w:p>
        </w:tc>
        <w:tc>
          <w:tcPr>
            <w:tcW w:w="4000" w:type="dxa"/>
          </w:tcPr>
          <w:p w14:paraId="325634D1" w14:textId="77777777" w:rsidR="00D4666E" w:rsidRPr="00914B47" w:rsidRDefault="00D4666E" w:rsidP="00914B47">
            <w:pPr>
              <w:spacing w:line="120" w:lineRule="auto"/>
              <w:rPr>
                <w:rFonts w:ascii="Calibri" w:hAnsi="Calibri" w:cs="Calibri"/>
                <w:color w:val="000000"/>
                <w:sz w:val="12"/>
              </w:rPr>
            </w:pPr>
          </w:p>
        </w:tc>
      </w:tr>
      <w:tr w:rsidR="00D4666E" w:rsidRPr="00D4666E" w14:paraId="009D2264" w14:textId="77777777" w:rsidTr="00914B47">
        <w:tc>
          <w:tcPr>
            <w:tcW w:w="4000" w:type="dxa"/>
          </w:tcPr>
          <w:p w14:paraId="7F823A2C" w14:textId="2E1E5244" w:rsidR="00D4666E" w:rsidRPr="00914B47" w:rsidRDefault="00D4666E" w:rsidP="00914B47">
            <w:pPr>
              <w:spacing w:line="200" w:lineRule="auto"/>
              <w:rPr>
                <w:rFonts w:ascii="Calibri" w:hAnsi="Calibri" w:cs="Calibri"/>
                <w:color w:val="000000"/>
                <w:sz w:val="17"/>
              </w:rPr>
            </w:pPr>
            <w:r w:rsidRPr="00914B47">
              <w:rPr>
                <w:rFonts w:ascii="Calibri" w:hAnsi="Calibri" w:cs="Calibri"/>
                <w:color w:val="000000"/>
                <w:sz w:val="17"/>
              </w:rPr>
              <w:t>Effective tax rate</w:t>
            </w:r>
          </w:p>
        </w:tc>
        <w:tc>
          <w:tcPr>
            <w:tcW w:w="1200" w:type="dxa"/>
          </w:tcPr>
          <w:p w14:paraId="41FEA790" w14:textId="5C46B9B7"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27.00%</w:t>
            </w:r>
          </w:p>
        </w:tc>
        <w:tc>
          <w:tcPr>
            <w:tcW w:w="4000" w:type="dxa"/>
          </w:tcPr>
          <w:p w14:paraId="616F29A2" w14:textId="77777777" w:rsidR="00D4666E" w:rsidRPr="00914B47" w:rsidRDefault="00D4666E" w:rsidP="00914B47">
            <w:pPr>
              <w:spacing w:line="120" w:lineRule="auto"/>
              <w:rPr>
                <w:rFonts w:ascii="Calibri" w:hAnsi="Calibri" w:cs="Calibri"/>
                <w:color w:val="000000"/>
                <w:sz w:val="12"/>
              </w:rPr>
            </w:pPr>
          </w:p>
        </w:tc>
      </w:tr>
      <w:tr w:rsidR="00D4666E" w:rsidRPr="00D4666E" w14:paraId="60CB9DC9" w14:textId="77777777" w:rsidTr="00914B47">
        <w:tc>
          <w:tcPr>
            <w:tcW w:w="4000" w:type="dxa"/>
          </w:tcPr>
          <w:p w14:paraId="273D1771" w14:textId="204F9878" w:rsidR="00D4666E" w:rsidRPr="00914B47" w:rsidRDefault="00D4666E" w:rsidP="00914B47">
            <w:pPr>
              <w:spacing w:line="200" w:lineRule="auto"/>
              <w:rPr>
                <w:rFonts w:ascii="Calibri" w:hAnsi="Calibri" w:cs="Calibri"/>
                <w:color w:val="000000"/>
                <w:sz w:val="17"/>
              </w:rPr>
            </w:pPr>
            <w:r w:rsidRPr="00914B47">
              <w:rPr>
                <w:rFonts w:ascii="Calibri" w:hAnsi="Calibri" w:cs="Calibri"/>
                <w:color w:val="000000"/>
                <w:sz w:val="17"/>
              </w:rPr>
              <w:t>After-tax cost of debt</w:t>
            </w:r>
          </w:p>
        </w:tc>
        <w:tc>
          <w:tcPr>
            <w:tcW w:w="1200" w:type="dxa"/>
          </w:tcPr>
          <w:p w14:paraId="6DB91DF8" w14:textId="2898F828"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5.48%</w:t>
            </w:r>
          </w:p>
        </w:tc>
        <w:tc>
          <w:tcPr>
            <w:tcW w:w="4000" w:type="dxa"/>
          </w:tcPr>
          <w:p w14:paraId="71BFA937" w14:textId="77777777" w:rsidR="00D4666E" w:rsidRPr="00914B47" w:rsidRDefault="00D4666E" w:rsidP="00914B47">
            <w:pPr>
              <w:spacing w:line="120" w:lineRule="auto"/>
              <w:rPr>
                <w:rFonts w:ascii="Calibri" w:hAnsi="Calibri" w:cs="Calibri"/>
                <w:color w:val="000000"/>
                <w:sz w:val="12"/>
              </w:rPr>
            </w:pPr>
          </w:p>
        </w:tc>
      </w:tr>
      <w:tr w:rsidR="00D4666E" w:rsidRPr="00D4666E" w14:paraId="20B1EE73" w14:textId="77777777" w:rsidTr="00914B47">
        <w:tc>
          <w:tcPr>
            <w:tcW w:w="4000" w:type="dxa"/>
          </w:tcPr>
          <w:p w14:paraId="7E711D21" w14:textId="0F74D1BA" w:rsidR="00D4666E" w:rsidRPr="00914B47" w:rsidRDefault="00D4666E" w:rsidP="00914B47">
            <w:pPr>
              <w:spacing w:line="200" w:lineRule="auto"/>
              <w:rPr>
                <w:rFonts w:ascii="Calibri" w:hAnsi="Calibri" w:cs="Calibri"/>
                <w:color w:val="000000"/>
                <w:sz w:val="17"/>
              </w:rPr>
            </w:pPr>
            <w:r w:rsidRPr="00914B47">
              <w:rPr>
                <w:rFonts w:ascii="Calibri" w:hAnsi="Calibri" w:cs="Calibri"/>
                <w:color w:val="000000"/>
                <w:sz w:val="17"/>
              </w:rPr>
              <w:t>Target debt / equity weighting</w:t>
            </w:r>
          </w:p>
        </w:tc>
        <w:tc>
          <w:tcPr>
            <w:tcW w:w="1200" w:type="dxa"/>
          </w:tcPr>
          <w:p w14:paraId="54777785" w14:textId="0F9E9315"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25% / 75%</w:t>
            </w:r>
          </w:p>
        </w:tc>
        <w:tc>
          <w:tcPr>
            <w:tcW w:w="4000" w:type="dxa"/>
          </w:tcPr>
          <w:p w14:paraId="0630FEF7" w14:textId="517D3D2F" w:rsidR="00D4666E" w:rsidRPr="00914B47" w:rsidRDefault="00D4666E" w:rsidP="00914B47">
            <w:pPr>
              <w:spacing w:line="200" w:lineRule="auto"/>
              <w:rPr>
                <w:rFonts w:ascii="Calibri" w:hAnsi="Calibri" w:cs="Calibri"/>
                <w:color w:val="000000"/>
                <w:sz w:val="17"/>
              </w:rPr>
            </w:pPr>
            <w:r w:rsidRPr="00914B47">
              <w:rPr>
                <w:rFonts w:ascii="Calibri" w:hAnsi="Calibri" w:cs="Calibri"/>
                <w:color w:val="000000"/>
                <w:sz w:val="17"/>
              </w:rPr>
              <w:t>Notional structure sustainable for a buyer of this size</w:t>
            </w:r>
          </w:p>
        </w:tc>
      </w:tr>
      <w:tr w:rsidR="00D4666E" w:rsidRPr="00D4666E" w14:paraId="0DDE9E48" w14:textId="77777777" w:rsidTr="00914B47">
        <w:tc>
          <w:tcPr>
            <w:tcW w:w="4000" w:type="dxa"/>
          </w:tcPr>
          <w:p w14:paraId="65156567" w14:textId="4CA10286" w:rsidR="00D4666E" w:rsidRPr="00914B47" w:rsidRDefault="00D4666E" w:rsidP="00914B47">
            <w:pPr>
              <w:spacing w:line="200" w:lineRule="auto"/>
              <w:rPr>
                <w:rFonts w:ascii="Calibri" w:hAnsi="Calibri" w:cs="Calibri"/>
                <w:b/>
                <w:color w:val="000000"/>
                <w:sz w:val="17"/>
              </w:rPr>
            </w:pPr>
            <w:r w:rsidRPr="00914B47">
              <w:rPr>
                <w:rFonts w:ascii="Calibri" w:hAnsi="Calibri" w:cs="Calibri"/>
                <w:b/>
                <w:color w:val="000000"/>
                <w:sz w:val="17"/>
              </w:rPr>
              <w:t>WACC</w:t>
            </w:r>
          </w:p>
        </w:tc>
        <w:tc>
          <w:tcPr>
            <w:tcW w:w="1200" w:type="dxa"/>
          </w:tcPr>
          <w:p w14:paraId="00E00008" w14:textId="57EAAF56" w:rsidR="00D4666E" w:rsidRPr="00914B47" w:rsidRDefault="00D4666E" w:rsidP="00914B47">
            <w:pPr>
              <w:spacing w:line="200" w:lineRule="auto"/>
              <w:jc w:val="right"/>
              <w:rPr>
                <w:rFonts w:ascii="Calibri" w:hAnsi="Calibri" w:cs="Calibri"/>
                <w:b/>
                <w:color w:val="000000"/>
                <w:sz w:val="17"/>
              </w:rPr>
            </w:pPr>
            <w:r w:rsidRPr="00914B47">
              <w:rPr>
                <w:rFonts w:ascii="Calibri" w:hAnsi="Calibri" w:cs="Calibri"/>
                <w:b/>
                <w:color w:val="000000"/>
                <w:sz w:val="17"/>
              </w:rPr>
              <w:t>16.56%</w:t>
            </w:r>
          </w:p>
        </w:tc>
        <w:tc>
          <w:tcPr>
            <w:tcW w:w="4000" w:type="dxa"/>
          </w:tcPr>
          <w:p w14:paraId="2C6DDDB1" w14:textId="77777777" w:rsidR="00D4666E" w:rsidRPr="00914B47" w:rsidRDefault="00D4666E" w:rsidP="00914B47">
            <w:pPr>
              <w:spacing w:line="120" w:lineRule="auto"/>
              <w:rPr>
                <w:rFonts w:ascii="Calibri" w:hAnsi="Calibri" w:cs="Calibri"/>
                <w:b/>
                <w:color w:val="000000"/>
                <w:sz w:val="12"/>
              </w:rPr>
            </w:pPr>
          </w:p>
        </w:tc>
      </w:tr>
    </w:tbl>
    <w:p w14:paraId="75359815" w14:textId="77777777" w:rsidR="00D4666E" w:rsidRPr="00914B47" w:rsidRDefault="00D4666E" w:rsidP="00914B47">
      <w:pPr>
        <w:spacing w:after="0" w:line="120" w:lineRule="auto"/>
        <w:rPr>
          <w:rFonts w:ascii="Calibri" w:hAnsi="Calibri" w:cs="Calibri"/>
          <w:sz w:val="12"/>
        </w:rPr>
      </w:pPr>
    </w:p>
    <w:p w14:paraId="22BFB25A" w14:textId="514F735D" w:rsidR="00D4666E" w:rsidRPr="00D4666E" w:rsidRDefault="00914B47" w:rsidP="00D4666E">
      <w:pPr>
        <w:spacing w:before="120" w:after="60" w:line="220" w:lineRule="auto"/>
        <w:rPr>
          <w:rFonts w:ascii="Calibri" w:hAnsi="Calibri" w:cs="Calibri"/>
          <w:sz w:val="19"/>
        </w:rPr>
      </w:pPr>
      <w:r>
        <w:rPr>
          <w:rFonts w:ascii="Calibri" w:hAnsi="Calibri" w:cs="Calibri"/>
          <w:sz w:val="19"/>
        </w:rPr>
        <w:t>The weighting reflects a notional rather than the actual capital structure. A notional purchaser would finance on prevailing market terms; applying the vendor’s actual structure would make the conclusion a function of the vendor’s borrowing habits, inconsistent with the standard of value adopted.</w:t>
      </w:r>
    </w:p>
    <w:p w14:paraId="3422DB5E" w14:textId="7F58118F" w:rsidR="00D4666E" w:rsidRPr="00D4666E" w:rsidRDefault="00D4666E" w:rsidP="00D4666E">
      <w:pPr>
        <w:spacing w:after="60" w:line="220" w:lineRule="auto"/>
        <w:rPr>
          <w:rFonts w:ascii="Calibri" w:hAnsi="Calibri" w:cs="Calibri"/>
          <w:sz w:val="19"/>
        </w:rPr>
      </w:pPr>
      <w:r w:rsidRPr="00D4666E">
        <w:rPr>
          <w:rFonts w:ascii="Calibri" w:hAnsi="Calibri" w:cs="Calibri"/>
          <w:sz w:val="19"/>
        </w:rPr>
        <w:t xml:space="preserve">As an independent check, a capital asset pricing model estimate was prepared using listed quick-service restaurant peers. The median peer levered beta of 0.95 was unlevered at the median peer debt-to-equity ratio of 0.45, then </w:t>
      </w:r>
      <w:proofErr w:type="spellStart"/>
      <w:r w:rsidRPr="00D4666E">
        <w:rPr>
          <w:rFonts w:ascii="Calibri" w:hAnsi="Calibri" w:cs="Calibri"/>
          <w:sz w:val="19"/>
        </w:rPr>
        <w:t>relevered</w:t>
      </w:r>
      <w:proofErr w:type="spellEnd"/>
      <w:r w:rsidRPr="00D4666E">
        <w:rPr>
          <w:rFonts w:ascii="Calibri" w:hAnsi="Calibri" w:cs="Calibri"/>
          <w:sz w:val="19"/>
        </w:rPr>
        <w:t xml:space="preserve"> at the Company’s target structure.</w:t>
      </w:r>
    </w:p>
    <w:tbl>
      <w:tblPr>
        <w:tblStyle w:val="TableGrid"/>
        <w:tblW w:w="0" w:type="auto"/>
        <w:tblLook w:val="0480" w:firstRow="0" w:lastRow="0" w:firstColumn="1" w:lastColumn="0" w:noHBand="0" w:noVBand="1"/>
      </w:tblPr>
      <w:tblGrid>
        <w:gridCol w:w="5600"/>
        <w:gridCol w:w="1600"/>
      </w:tblGrid>
      <w:tr w:rsidR="00D4666E" w:rsidRPr="00D4666E" w14:paraId="5F476FB9" w14:textId="77777777" w:rsidTr="00914B47">
        <w:tc>
          <w:tcPr>
            <w:tcW w:w="5600" w:type="dxa"/>
          </w:tcPr>
          <w:p w14:paraId="1D208FF3" w14:textId="7649A97F" w:rsidR="00D4666E" w:rsidRPr="00914B47" w:rsidRDefault="00D4666E" w:rsidP="00914B47">
            <w:pPr>
              <w:spacing w:line="200" w:lineRule="auto"/>
              <w:rPr>
                <w:rFonts w:ascii="Calibri" w:hAnsi="Calibri" w:cs="Calibri"/>
                <w:color w:val="000000"/>
                <w:sz w:val="17"/>
              </w:rPr>
            </w:pPr>
            <w:r w:rsidRPr="00914B47">
              <w:rPr>
                <w:rFonts w:ascii="Calibri" w:hAnsi="Calibri" w:cs="Calibri"/>
                <w:color w:val="000000"/>
                <w:sz w:val="17"/>
              </w:rPr>
              <w:t>Median peer levered beta</w:t>
            </w:r>
          </w:p>
        </w:tc>
        <w:tc>
          <w:tcPr>
            <w:tcW w:w="1600" w:type="dxa"/>
          </w:tcPr>
          <w:p w14:paraId="053F0FA2" w14:textId="02F85D3C"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0.95</w:t>
            </w:r>
          </w:p>
        </w:tc>
      </w:tr>
      <w:tr w:rsidR="00D4666E" w:rsidRPr="00D4666E" w14:paraId="75C204BA" w14:textId="77777777" w:rsidTr="00914B47">
        <w:tc>
          <w:tcPr>
            <w:tcW w:w="5600" w:type="dxa"/>
          </w:tcPr>
          <w:p w14:paraId="5295FD0C" w14:textId="0D1D7016" w:rsidR="00D4666E" w:rsidRPr="00914B47" w:rsidRDefault="00D4666E" w:rsidP="00914B47">
            <w:pPr>
              <w:spacing w:line="200" w:lineRule="auto"/>
              <w:rPr>
                <w:rFonts w:ascii="Calibri" w:hAnsi="Calibri" w:cs="Calibri"/>
                <w:color w:val="000000"/>
                <w:sz w:val="17"/>
              </w:rPr>
            </w:pPr>
            <w:r w:rsidRPr="00914B47">
              <w:rPr>
                <w:rFonts w:ascii="Calibri" w:hAnsi="Calibri" w:cs="Calibri"/>
                <w:color w:val="000000"/>
                <w:sz w:val="17"/>
              </w:rPr>
              <w:t>Unlevered beta (Hamada)</w:t>
            </w:r>
          </w:p>
        </w:tc>
        <w:tc>
          <w:tcPr>
            <w:tcW w:w="1600" w:type="dxa"/>
          </w:tcPr>
          <w:p w14:paraId="5F19A454" w14:textId="3D61B2B1"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0.72</w:t>
            </w:r>
          </w:p>
        </w:tc>
      </w:tr>
      <w:tr w:rsidR="00D4666E" w:rsidRPr="00D4666E" w14:paraId="21DFDA44" w14:textId="77777777" w:rsidTr="00914B47">
        <w:tc>
          <w:tcPr>
            <w:tcW w:w="5600" w:type="dxa"/>
          </w:tcPr>
          <w:p w14:paraId="2F3C4816" w14:textId="681111B2" w:rsidR="00D4666E" w:rsidRPr="00914B47" w:rsidRDefault="00D4666E" w:rsidP="00914B47">
            <w:pPr>
              <w:spacing w:line="200" w:lineRule="auto"/>
              <w:rPr>
                <w:rFonts w:ascii="Calibri" w:hAnsi="Calibri" w:cs="Calibri"/>
                <w:color w:val="000000"/>
                <w:sz w:val="17"/>
              </w:rPr>
            </w:pPr>
            <w:proofErr w:type="spellStart"/>
            <w:r w:rsidRPr="00914B47">
              <w:rPr>
                <w:rFonts w:ascii="Calibri" w:hAnsi="Calibri" w:cs="Calibri"/>
                <w:color w:val="000000"/>
                <w:sz w:val="17"/>
              </w:rPr>
              <w:t>Relevered</w:t>
            </w:r>
            <w:proofErr w:type="spellEnd"/>
            <w:r w:rsidRPr="00914B47">
              <w:rPr>
                <w:rFonts w:ascii="Calibri" w:hAnsi="Calibri" w:cs="Calibri"/>
                <w:color w:val="000000"/>
                <w:sz w:val="17"/>
              </w:rPr>
              <w:t xml:space="preserve"> beta at target structure</w:t>
            </w:r>
          </w:p>
        </w:tc>
        <w:tc>
          <w:tcPr>
            <w:tcW w:w="1600" w:type="dxa"/>
          </w:tcPr>
          <w:p w14:paraId="36A638DA" w14:textId="71E0CFAC"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0.89</w:t>
            </w:r>
          </w:p>
        </w:tc>
      </w:tr>
      <w:tr w:rsidR="00D4666E" w:rsidRPr="00D4666E" w14:paraId="049EFD47" w14:textId="77777777" w:rsidTr="00914B47">
        <w:tc>
          <w:tcPr>
            <w:tcW w:w="5600" w:type="dxa"/>
          </w:tcPr>
          <w:p w14:paraId="23C518BA" w14:textId="588BFCE8" w:rsidR="00D4666E" w:rsidRPr="00914B47" w:rsidRDefault="00D4666E" w:rsidP="00914B47">
            <w:pPr>
              <w:spacing w:line="200" w:lineRule="auto"/>
              <w:rPr>
                <w:rFonts w:ascii="Calibri" w:hAnsi="Calibri" w:cs="Calibri"/>
                <w:color w:val="000000"/>
                <w:sz w:val="17"/>
              </w:rPr>
            </w:pPr>
            <w:r w:rsidRPr="00914B47">
              <w:rPr>
                <w:rFonts w:ascii="Calibri" w:hAnsi="Calibri" w:cs="Calibri"/>
                <w:color w:val="000000"/>
                <w:sz w:val="17"/>
              </w:rPr>
              <w:t>CAPM cost of equity before size and CSRP</w:t>
            </w:r>
          </w:p>
        </w:tc>
        <w:tc>
          <w:tcPr>
            <w:tcW w:w="1600" w:type="dxa"/>
          </w:tcPr>
          <w:p w14:paraId="5B526FFC" w14:textId="0D724134"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8.14%</w:t>
            </w:r>
          </w:p>
        </w:tc>
      </w:tr>
      <w:tr w:rsidR="00D4666E" w:rsidRPr="00D4666E" w14:paraId="15F4286A" w14:textId="77777777" w:rsidTr="00914B47">
        <w:tc>
          <w:tcPr>
            <w:tcW w:w="5600" w:type="dxa"/>
          </w:tcPr>
          <w:p w14:paraId="62674164" w14:textId="733C1119" w:rsidR="00D4666E" w:rsidRPr="00914B47" w:rsidRDefault="00D4666E" w:rsidP="00914B47">
            <w:pPr>
              <w:spacing w:line="200" w:lineRule="auto"/>
              <w:rPr>
                <w:rFonts w:ascii="Calibri" w:hAnsi="Calibri" w:cs="Calibri"/>
                <w:color w:val="000000"/>
                <w:sz w:val="17"/>
              </w:rPr>
            </w:pPr>
            <w:r w:rsidRPr="00914B47">
              <w:rPr>
                <w:rFonts w:ascii="Calibri" w:hAnsi="Calibri" w:cs="Calibri"/>
                <w:color w:val="000000"/>
                <w:sz w:val="17"/>
              </w:rPr>
              <w:t>Add: size premium and CSRP</w:t>
            </w:r>
          </w:p>
        </w:tc>
        <w:tc>
          <w:tcPr>
            <w:tcW w:w="1600" w:type="dxa"/>
          </w:tcPr>
          <w:p w14:paraId="2E4486CD" w14:textId="6268E889"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10.50%</w:t>
            </w:r>
          </w:p>
        </w:tc>
      </w:tr>
      <w:tr w:rsidR="00D4666E" w:rsidRPr="00D4666E" w14:paraId="3C090C7B" w14:textId="77777777" w:rsidTr="00914B47">
        <w:tc>
          <w:tcPr>
            <w:tcW w:w="5600" w:type="dxa"/>
          </w:tcPr>
          <w:p w14:paraId="52BF17FD" w14:textId="6DADC4BB" w:rsidR="00D4666E" w:rsidRPr="00914B47" w:rsidRDefault="00D4666E" w:rsidP="00914B47">
            <w:pPr>
              <w:spacing w:line="200" w:lineRule="auto"/>
              <w:rPr>
                <w:rFonts w:ascii="Calibri" w:hAnsi="Calibri" w:cs="Calibri"/>
                <w:b/>
                <w:color w:val="000000"/>
                <w:sz w:val="17"/>
              </w:rPr>
            </w:pPr>
            <w:r w:rsidRPr="00914B47">
              <w:rPr>
                <w:rFonts w:ascii="Calibri" w:hAnsi="Calibri" w:cs="Calibri"/>
                <w:b/>
                <w:color w:val="000000"/>
                <w:sz w:val="17"/>
              </w:rPr>
              <w:t>CAPM-based cost of equity</w:t>
            </w:r>
          </w:p>
        </w:tc>
        <w:tc>
          <w:tcPr>
            <w:tcW w:w="1600" w:type="dxa"/>
          </w:tcPr>
          <w:p w14:paraId="08082892" w14:textId="3E612887" w:rsidR="00D4666E" w:rsidRPr="00914B47" w:rsidRDefault="00D4666E" w:rsidP="00914B47">
            <w:pPr>
              <w:spacing w:line="200" w:lineRule="auto"/>
              <w:jc w:val="right"/>
              <w:rPr>
                <w:rFonts w:ascii="Calibri" w:hAnsi="Calibri" w:cs="Calibri"/>
                <w:b/>
                <w:color w:val="000000"/>
                <w:sz w:val="17"/>
              </w:rPr>
            </w:pPr>
            <w:r w:rsidRPr="00914B47">
              <w:rPr>
                <w:rFonts w:ascii="Calibri" w:hAnsi="Calibri" w:cs="Calibri"/>
                <w:b/>
                <w:color w:val="000000"/>
                <w:sz w:val="17"/>
              </w:rPr>
              <w:t>18.64%</w:t>
            </w:r>
          </w:p>
        </w:tc>
      </w:tr>
      <w:tr w:rsidR="00D4666E" w:rsidRPr="00D4666E" w14:paraId="0FA2DECA" w14:textId="77777777" w:rsidTr="00914B47">
        <w:tc>
          <w:tcPr>
            <w:tcW w:w="5600" w:type="dxa"/>
          </w:tcPr>
          <w:p w14:paraId="4230A14D" w14:textId="305CA0C8" w:rsidR="00D4666E" w:rsidRPr="00914B47" w:rsidRDefault="00D4666E" w:rsidP="00914B47">
            <w:pPr>
              <w:spacing w:line="200" w:lineRule="auto"/>
              <w:rPr>
                <w:rFonts w:ascii="Calibri" w:hAnsi="Calibri" w:cs="Calibri"/>
                <w:b/>
                <w:color w:val="000000"/>
                <w:sz w:val="17"/>
              </w:rPr>
            </w:pPr>
            <w:r w:rsidRPr="00914B47">
              <w:rPr>
                <w:rFonts w:ascii="Calibri" w:hAnsi="Calibri" w:cs="Calibri"/>
                <w:b/>
                <w:color w:val="000000"/>
                <w:sz w:val="17"/>
              </w:rPr>
              <w:t>Variance versus build-up method</w:t>
            </w:r>
          </w:p>
        </w:tc>
        <w:tc>
          <w:tcPr>
            <w:tcW w:w="1600" w:type="dxa"/>
          </w:tcPr>
          <w:p w14:paraId="5EA8DFE9" w14:textId="6C90D50C" w:rsidR="00D4666E" w:rsidRPr="00914B47" w:rsidRDefault="00D4666E" w:rsidP="00914B47">
            <w:pPr>
              <w:spacing w:line="200" w:lineRule="auto"/>
              <w:jc w:val="right"/>
              <w:rPr>
                <w:rFonts w:ascii="Calibri" w:hAnsi="Calibri" w:cs="Calibri"/>
                <w:b/>
                <w:color w:val="000000"/>
                <w:sz w:val="17"/>
              </w:rPr>
            </w:pPr>
            <w:r w:rsidRPr="00914B47">
              <w:rPr>
                <w:rFonts w:ascii="Calibri" w:hAnsi="Calibri" w:cs="Calibri"/>
                <w:b/>
                <w:color w:val="000000"/>
                <w:sz w:val="17"/>
              </w:rPr>
              <w:t>(1.61%)</w:t>
            </w:r>
          </w:p>
        </w:tc>
      </w:tr>
    </w:tbl>
    <w:p w14:paraId="41B22377" w14:textId="77777777" w:rsidR="00D4666E" w:rsidRPr="00914B47" w:rsidRDefault="00D4666E" w:rsidP="00914B47">
      <w:pPr>
        <w:spacing w:after="0" w:line="120" w:lineRule="auto"/>
        <w:rPr>
          <w:rFonts w:ascii="Calibri" w:hAnsi="Calibri" w:cs="Calibri"/>
          <w:sz w:val="12"/>
        </w:rPr>
      </w:pPr>
    </w:p>
    <w:p w14:paraId="345326A2" w14:textId="5A20FA81" w:rsidR="00D4666E" w:rsidRPr="00D4666E" w:rsidRDefault="00914B47" w:rsidP="00D4666E">
      <w:pPr>
        <w:spacing w:before="80" w:after="60" w:line="220" w:lineRule="auto"/>
        <w:rPr>
          <w:rFonts w:ascii="Calibri" w:hAnsi="Calibri" w:cs="Calibri"/>
          <w:sz w:val="19"/>
        </w:rPr>
      </w:pPr>
      <w:r>
        <w:rPr>
          <w:rFonts w:ascii="Calibri" w:hAnsi="Calibri" w:cs="Calibri"/>
          <w:sz w:val="19"/>
        </w:rPr>
        <w:t>The two methods differ by 1.6 percentage points, corroborating the build-up result, which has been adopted. Listed peers differ in scale, liquidity and management depth, so an observable beta from that population has limited explanatory power for a nine-location private operator.</w:t>
      </w:r>
    </w:p>
    <w:p w14:paraId="4EC5A12F" w14:textId="0EC578D8" w:rsidR="00D4666E" w:rsidRPr="00437876" w:rsidRDefault="00D4666E" w:rsidP="00437876">
      <w:pPr>
        <w:pStyle w:val="Heading1"/>
      </w:pPr>
      <w:r w:rsidRPr="00437876">
        <w:lastRenderedPageBreak/>
        <w:t>5. VALUATION — CAPITALIZED CASH FLOW</w:t>
      </w:r>
    </w:p>
    <w:p w14:paraId="17D8C225" w14:textId="4495539B" w:rsidR="00D4666E" w:rsidRPr="00D4666E" w:rsidRDefault="00914B47" w:rsidP="00D4666E">
      <w:pPr>
        <w:spacing w:after="60" w:line="220" w:lineRule="auto"/>
        <w:rPr>
          <w:rFonts w:ascii="Calibri" w:hAnsi="Calibri" w:cs="Calibri"/>
          <w:sz w:val="19"/>
        </w:rPr>
      </w:pPr>
      <w:r>
        <w:rPr>
          <w:rFonts w:ascii="Calibri" w:hAnsi="Calibri" w:cs="Calibri"/>
          <w:sz w:val="19"/>
        </w:rPr>
        <w:t>A capitalized cash flow method has been applied rather than a multi-year discounted cash flow. The Company operates a mature footprint with stable margins and no committed expansion programme, so a single maintainable cash flow capitalized in perpetuity is more defensible than a forecast requiring unsupported unit-growth assumptions.</w:t>
      </w:r>
    </w:p>
    <w:tbl>
      <w:tblPr>
        <w:tblStyle w:val="TableGrid"/>
        <w:tblW w:w="0" w:type="auto"/>
        <w:tblLook w:val="0480" w:firstRow="0" w:lastRow="0" w:firstColumn="1" w:lastColumn="0" w:noHBand="0" w:noVBand="1"/>
      </w:tblPr>
      <w:tblGrid>
        <w:gridCol w:w="5000"/>
        <w:gridCol w:w="1400"/>
        <w:gridCol w:w="2900"/>
      </w:tblGrid>
      <w:tr w:rsidR="00D4666E" w:rsidRPr="00D4666E" w14:paraId="22246616" w14:textId="77777777" w:rsidTr="00914B47">
        <w:tc>
          <w:tcPr>
            <w:tcW w:w="5000" w:type="dxa"/>
          </w:tcPr>
          <w:p w14:paraId="4286A27D" w14:textId="158C1EED" w:rsidR="00D4666E" w:rsidRPr="00914B47" w:rsidRDefault="00D4666E" w:rsidP="00914B47">
            <w:pPr>
              <w:spacing w:line="200" w:lineRule="auto"/>
              <w:rPr>
                <w:rFonts w:ascii="Calibri" w:hAnsi="Calibri" w:cs="Calibri"/>
                <w:color w:val="000000"/>
                <w:sz w:val="17"/>
              </w:rPr>
            </w:pPr>
            <w:r w:rsidRPr="00914B47">
              <w:rPr>
                <w:rFonts w:ascii="Calibri" w:hAnsi="Calibri" w:cs="Calibri"/>
                <w:color w:val="000000"/>
                <w:sz w:val="17"/>
              </w:rPr>
              <w:t>Maintainable EBITDA</w:t>
            </w:r>
          </w:p>
        </w:tc>
        <w:tc>
          <w:tcPr>
            <w:tcW w:w="1400" w:type="dxa"/>
          </w:tcPr>
          <w:p w14:paraId="42147B9D" w14:textId="3B8B1E79"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1,405</w:t>
            </w:r>
          </w:p>
        </w:tc>
        <w:tc>
          <w:tcPr>
            <w:tcW w:w="2900" w:type="dxa"/>
          </w:tcPr>
          <w:p w14:paraId="26D70696" w14:textId="77777777" w:rsidR="00D4666E" w:rsidRPr="00914B47" w:rsidRDefault="00D4666E" w:rsidP="00914B47">
            <w:pPr>
              <w:spacing w:line="120" w:lineRule="auto"/>
              <w:rPr>
                <w:rFonts w:ascii="Calibri" w:hAnsi="Calibri" w:cs="Calibri"/>
                <w:color w:val="000000"/>
                <w:sz w:val="12"/>
              </w:rPr>
            </w:pPr>
          </w:p>
        </w:tc>
      </w:tr>
      <w:tr w:rsidR="00D4666E" w:rsidRPr="00D4666E" w14:paraId="5AD5BEFB" w14:textId="77777777" w:rsidTr="00914B47">
        <w:tc>
          <w:tcPr>
            <w:tcW w:w="5000" w:type="dxa"/>
          </w:tcPr>
          <w:p w14:paraId="696D194E" w14:textId="631CE085" w:rsidR="00D4666E" w:rsidRPr="00914B47" w:rsidRDefault="00D4666E" w:rsidP="00914B47">
            <w:pPr>
              <w:spacing w:line="200" w:lineRule="auto"/>
              <w:rPr>
                <w:rFonts w:ascii="Calibri" w:hAnsi="Calibri" w:cs="Calibri"/>
                <w:color w:val="000000"/>
                <w:sz w:val="17"/>
              </w:rPr>
            </w:pPr>
            <w:r w:rsidRPr="00914B47">
              <w:rPr>
                <w:rFonts w:ascii="Calibri" w:hAnsi="Calibri" w:cs="Calibri"/>
                <w:color w:val="000000"/>
                <w:sz w:val="17"/>
              </w:rPr>
              <w:t>Less: sustaining capital expenditures</w:t>
            </w:r>
          </w:p>
        </w:tc>
        <w:tc>
          <w:tcPr>
            <w:tcW w:w="1400" w:type="dxa"/>
          </w:tcPr>
          <w:p w14:paraId="1970B1D6" w14:textId="65DE42FA"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(275)</w:t>
            </w:r>
          </w:p>
        </w:tc>
        <w:tc>
          <w:tcPr>
            <w:tcW w:w="2900" w:type="dxa"/>
          </w:tcPr>
          <w:p w14:paraId="136312D2" w14:textId="1ABC69E8" w:rsidR="00D4666E" w:rsidRPr="00914B47" w:rsidRDefault="00D4666E" w:rsidP="00914B47">
            <w:pPr>
              <w:spacing w:line="200" w:lineRule="auto"/>
              <w:rPr>
                <w:rFonts w:ascii="Calibri" w:hAnsi="Calibri" w:cs="Calibri"/>
                <w:color w:val="000000"/>
                <w:sz w:val="17"/>
              </w:rPr>
            </w:pPr>
            <w:r w:rsidRPr="00914B47">
              <w:rPr>
                <w:rFonts w:ascii="Calibri" w:hAnsi="Calibri" w:cs="Calibri"/>
                <w:color w:val="000000"/>
                <w:sz w:val="17"/>
              </w:rPr>
              <w:t>2.5% of FY2025 revenue, store refresh cycle</w:t>
            </w:r>
          </w:p>
        </w:tc>
      </w:tr>
      <w:tr w:rsidR="00D4666E" w:rsidRPr="00D4666E" w14:paraId="6EB70A19" w14:textId="77777777" w:rsidTr="00914B47">
        <w:tc>
          <w:tcPr>
            <w:tcW w:w="5000" w:type="dxa"/>
          </w:tcPr>
          <w:p w14:paraId="550C81F8" w14:textId="4937B123" w:rsidR="00D4666E" w:rsidRPr="00914B47" w:rsidRDefault="00D4666E" w:rsidP="00914B47">
            <w:pPr>
              <w:spacing w:line="200" w:lineRule="auto"/>
              <w:rPr>
                <w:rFonts w:ascii="Calibri" w:hAnsi="Calibri" w:cs="Calibri"/>
                <w:b/>
                <w:color w:val="000000"/>
                <w:sz w:val="17"/>
              </w:rPr>
            </w:pPr>
            <w:r w:rsidRPr="00914B47">
              <w:rPr>
                <w:rFonts w:ascii="Calibri" w:hAnsi="Calibri" w:cs="Calibri"/>
                <w:b/>
                <w:color w:val="000000"/>
                <w:sz w:val="17"/>
              </w:rPr>
              <w:t>EBITDA less sustaining capital expenditures</w:t>
            </w:r>
          </w:p>
        </w:tc>
        <w:tc>
          <w:tcPr>
            <w:tcW w:w="1400" w:type="dxa"/>
          </w:tcPr>
          <w:p w14:paraId="5BE2D851" w14:textId="78936CF8" w:rsidR="00D4666E" w:rsidRPr="00914B47" w:rsidRDefault="00D4666E" w:rsidP="00914B47">
            <w:pPr>
              <w:spacing w:line="200" w:lineRule="auto"/>
              <w:jc w:val="right"/>
              <w:rPr>
                <w:rFonts w:ascii="Calibri" w:hAnsi="Calibri" w:cs="Calibri"/>
                <w:b/>
                <w:color w:val="000000"/>
                <w:sz w:val="17"/>
              </w:rPr>
            </w:pPr>
            <w:r w:rsidRPr="00914B47">
              <w:rPr>
                <w:rFonts w:ascii="Calibri" w:hAnsi="Calibri" w:cs="Calibri"/>
                <w:b/>
                <w:color w:val="000000"/>
                <w:sz w:val="17"/>
              </w:rPr>
              <w:t>1,130</w:t>
            </w:r>
          </w:p>
        </w:tc>
        <w:tc>
          <w:tcPr>
            <w:tcW w:w="2900" w:type="dxa"/>
          </w:tcPr>
          <w:p w14:paraId="2891715F" w14:textId="77777777" w:rsidR="00D4666E" w:rsidRPr="00914B47" w:rsidRDefault="00D4666E" w:rsidP="00914B47">
            <w:pPr>
              <w:spacing w:line="120" w:lineRule="auto"/>
              <w:rPr>
                <w:rFonts w:ascii="Calibri" w:hAnsi="Calibri" w:cs="Calibri"/>
                <w:b/>
                <w:color w:val="000000"/>
                <w:sz w:val="12"/>
              </w:rPr>
            </w:pPr>
          </w:p>
        </w:tc>
      </w:tr>
      <w:tr w:rsidR="00D4666E" w:rsidRPr="00D4666E" w14:paraId="6FDF27A8" w14:textId="77777777" w:rsidTr="00914B47">
        <w:tc>
          <w:tcPr>
            <w:tcW w:w="5000" w:type="dxa"/>
          </w:tcPr>
          <w:p w14:paraId="7F0B50F2" w14:textId="4AC85D74" w:rsidR="00D4666E" w:rsidRPr="00914B47" w:rsidRDefault="00D4666E" w:rsidP="00914B47">
            <w:pPr>
              <w:spacing w:line="200" w:lineRule="auto"/>
              <w:rPr>
                <w:rFonts w:ascii="Calibri" w:hAnsi="Calibri" w:cs="Calibri"/>
                <w:color w:val="000000"/>
                <w:sz w:val="17"/>
              </w:rPr>
            </w:pPr>
            <w:r w:rsidRPr="00914B47">
              <w:rPr>
                <w:rFonts w:ascii="Calibri" w:hAnsi="Calibri" w:cs="Calibri"/>
                <w:color w:val="000000"/>
                <w:sz w:val="17"/>
              </w:rPr>
              <w:t>Less: notional income taxes</w:t>
            </w:r>
          </w:p>
        </w:tc>
        <w:tc>
          <w:tcPr>
            <w:tcW w:w="1400" w:type="dxa"/>
          </w:tcPr>
          <w:p w14:paraId="702D5B75" w14:textId="03B6129F"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(305)</w:t>
            </w:r>
          </w:p>
        </w:tc>
        <w:tc>
          <w:tcPr>
            <w:tcW w:w="2900" w:type="dxa"/>
          </w:tcPr>
          <w:p w14:paraId="171A87F9" w14:textId="7AF50B51" w:rsidR="00D4666E" w:rsidRPr="00914B47" w:rsidRDefault="00D4666E" w:rsidP="00914B47">
            <w:pPr>
              <w:spacing w:line="200" w:lineRule="auto"/>
              <w:rPr>
                <w:rFonts w:ascii="Calibri" w:hAnsi="Calibri" w:cs="Calibri"/>
                <w:color w:val="000000"/>
                <w:sz w:val="17"/>
              </w:rPr>
            </w:pPr>
            <w:r w:rsidRPr="00914B47">
              <w:rPr>
                <w:rFonts w:ascii="Calibri" w:hAnsi="Calibri" w:cs="Calibri"/>
                <w:color w:val="000000"/>
                <w:sz w:val="17"/>
              </w:rPr>
              <w:t>Capital expenditure used as proxy for capital cost allowance</w:t>
            </w:r>
          </w:p>
        </w:tc>
      </w:tr>
      <w:tr w:rsidR="00D4666E" w:rsidRPr="00D4666E" w14:paraId="7D274896" w14:textId="77777777" w:rsidTr="00914B47">
        <w:tc>
          <w:tcPr>
            <w:tcW w:w="5000" w:type="dxa"/>
          </w:tcPr>
          <w:p w14:paraId="5F014DD1" w14:textId="25C00D0D" w:rsidR="00D4666E" w:rsidRPr="00914B47" w:rsidRDefault="00D4666E" w:rsidP="00914B47">
            <w:pPr>
              <w:spacing w:line="200" w:lineRule="auto"/>
              <w:rPr>
                <w:rFonts w:ascii="Calibri" w:hAnsi="Calibri" w:cs="Calibri"/>
                <w:b/>
                <w:color w:val="000000"/>
                <w:sz w:val="17"/>
              </w:rPr>
            </w:pPr>
            <w:r w:rsidRPr="00914B47">
              <w:rPr>
                <w:rFonts w:ascii="Calibri" w:hAnsi="Calibri" w:cs="Calibri"/>
                <w:b/>
                <w:color w:val="000000"/>
                <w:sz w:val="17"/>
              </w:rPr>
              <w:t>Maintainable discretionary cash flow</w:t>
            </w:r>
          </w:p>
        </w:tc>
        <w:tc>
          <w:tcPr>
            <w:tcW w:w="1400" w:type="dxa"/>
          </w:tcPr>
          <w:p w14:paraId="50133972" w14:textId="53C1717B" w:rsidR="00D4666E" w:rsidRPr="00914B47" w:rsidRDefault="00D4666E" w:rsidP="00914B47">
            <w:pPr>
              <w:spacing w:line="200" w:lineRule="auto"/>
              <w:jc w:val="right"/>
              <w:rPr>
                <w:rFonts w:ascii="Calibri" w:hAnsi="Calibri" w:cs="Calibri"/>
                <w:b/>
                <w:color w:val="000000"/>
                <w:sz w:val="17"/>
              </w:rPr>
            </w:pPr>
            <w:r w:rsidRPr="00914B47">
              <w:rPr>
                <w:rFonts w:ascii="Calibri" w:hAnsi="Calibri" w:cs="Calibri"/>
                <w:b/>
                <w:color w:val="000000"/>
                <w:sz w:val="17"/>
              </w:rPr>
              <w:t>825</w:t>
            </w:r>
          </w:p>
        </w:tc>
        <w:tc>
          <w:tcPr>
            <w:tcW w:w="2900" w:type="dxa"/>
          </w:tcPr>
          <w:p w14:paraId="0C8FA12F" w14:textId="77777777" w:rsidR="00D4666E" w:rsidRPr="00914B47" w:rsidRDefault="00D4666E" w:rsidP="00914B47">
            <w:pPr>
              <w:spacing w:line="120" w:lineRule="auto"/>
              <w:rPr>
                <w:rFonts w:ascii="Calibri" w:hAnsi="Calibri" w:cs="Calibri"/>
                <w:b/>
                <w:color w:val="000000"/>
                <w:sz w:val="12"/>
              </w:rPr>
            </w:pPr>
          </w:p>
        </w:tc>
      </w:tr>
      <w:tr w:rsidR="00D4666E" w:rsidRPr="00D4666E" w14:paraId="07C40A05" w14:textId="77777777" w:rsidTr="00914B47">
        <w:tc>
          <w:tcPr>
            <w:tcW w:w="5000" w:type="dxa"/>
          </w:tcPr>
          <w:p w14:paraId="67188B64" w14:textId="3F2B59A5" w:rsidR="00D4666E" w:rsidRPr="00914B47" w:rsidRDefault="00D4666E" w:rsidP="00914B47">
            <w:pPr>
              <w:spacing w:line="200" w:lineRule="auto"/>
              <w:rPr>
                <w:rFonts w:ascii="Calibri" w:hAnsi="Calibri" w:cs="Calibri"/>
                <w:color w:val="000000"/>
                <w:sz w:val="17"/>
              </w:rPr>
            </w:pPr>
            <w:r w:rsidRPr="00914B47">
              <w:rPr>
                <w:rFonts w:ascii="Calibri" w:hAnsi="Calibri" w:cs="Calibri"/>
                <w:color w:val="000000"/>
                <w:sz w:val="17"/>
              </w:rPr>
              <w:t>WACC</w:t>
            </w:r>
          </w:p>
        </w:tc>
        <w:tc>
          <w:tcPr>
            <w:tcW w:w="1400" w:type="dxa"/>
          </w:tcPr>
          <w:p w14:paraId="33A8608F" w14:textId="7D1AE03C"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16.56%</w:t>
            </w:r>
          </w:p>
        </w:tc>
        <w:tc>
          <w:tcPr>
            <w:tcW w:w="2900" w:type="dxa"/>
          </w:tcPr>
          <w:p w14:paraId="5D8D10A2" w14:textId="77777777" w:rsidR="00D4666E" w:rsidRPr="00914B47" w:rsidRDefault="00D4666E" w:rsidP="00914B47">
            <w:pPr>
              <w:spacing w:line="120" w:lineRule="auto"/>
              <w:rPr>
                <w:rFonts w:ascii="Calibri" w:hAnsi="Calibri" w:cs="Calibri"/>
                <w:color w:val="000000"/>
                <w:sz w:val="12"/>
              </w:rPr>
            </w:pPr>
          </w:p>
        </w:tc>
      </w:tr>
      <w:tr w:rsidR="00D4666E" w:rsidRPr="00D4666E" w14:paraId="141F60ED" w14:textId="77777777" w:rsidTr="00914B47">
        <w:tc>
          <w:tcPr>
            <w:tcW w:w="5000" w:type="dxa"/>
          </w:tcPr>
          <w:p w14:paraId="06C11C44" w14:textId="0B196113" w:rsidR="00D4666E" w:rsidRPr="00914B47" w:rsidRDefault="00D4666E" w:rsidP="00914B47">
            <w:pPr>
              <w:spacing w:line="200" w:lineRule="auto"/>
              <w:rPr>
                <w:rFonts w:ascii="Calibri" w:hAnsi="Calibri" w:cs="Calibri"/>
                <w:color w:val="000000"/>
                <w:sz w:val="17"/>
              </w:rPr>
            </w:pPr>
            <w:r w:rsidRPr="00914B47">
              <w:rPr>
                <w:rFonts w:ascii="Calibri" w:hAnsi="Calibri" w:cs="Calibri"/>
                <w:color w:val="000000"/>
                <w:sz w:val="17"/>
              </w:rPr>
              <w:t>Less: long-term growth rate</w:t>
            </w:r>
          </w:p>
        </w:tc>
        <w:tc>
          <w:tcPr>
            <w:tcW w:w="1400" w:type="dxa"/>
          </w:tcPr>
          <w:p w14:paraId="396603E4" w14:textId="67ADD25E"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2.50%</w:t>
            </w:r>
          </w:p>
        </w:tc>
        <w:tc>
          <w:tcPr>
            <w:tcW w:w="2900" w:type="dxa"/>
          </w:tcPr>
          <w:p w14:paraId="19B01B98" w14:textId="126C5065" w:rsidR="00D4666E" w:rsidRPr="00914B47" w:rsidRDefault="00D4666E" w:rsidP="00914B47">
            <w:pPr>
              <w:spacing w:line="200" w:lineRule="auto"/>
              <w:rPr>
                <w:rFonts w:ascii="Calibri" w:hAnsi="Calibri" w:cs="Calibri"/>
                <w:color w:val="000000"/>
                <w:sz w:val="17"/>
              </w:rPr>
            </w:pPr>
            <w:r w:rsidRPr="00914B47">
              <w:rPr>
                <w:rFonts w:ascii="Calibri" w:hAnsi="Calibri" w:cs="Calibri"/>
                <w:color w:val="000000"/>
                <w:sz w:val="17"/>
              </w:rPr>
              <w:t>Below long-run nominal GDP; no committed new locations</w:t>
            </w:r>
          </w:p>
        </w:tc>
      </w:tr>
      <w:tr w:rsidR="00D4666E" w:rsidRPr="00D4666E" w14:paraId="6A8AE368" w14:textId="77777777" w:rsidTr="00914B47">
        <w:tc>
          <w:tcPr>
            <w:tcW w:w="5000" w:type="dxa"/>
          </w:tcPr>
          <w:p w14:paraId="12D61B3F" w14:textId="6054E9E9" w:rsidR="00D4666E" w:rsidRPr="00914B47" w:rsidRDefault="00D4666E" w:rsidP="00914B47">
            <w:pPr>
              <w:spacing w:line="200" w:lineRule="auto"/>
              <w:rPr>
                <w:rFonts w:ascii="Calibri" w:hAnsi="Calibri" w:cs="Calibri"/>
                <w:b/>
                <w:color w:val="000000"/>
                <w:sz w:val="17"/>
              </w:rPr>
            </w:pPr>
            <w:r w:rsidRPr="00914B47">
              <w:rPr>
                <w:rFonts w:ascii="Calibri" w:hAnsi="Calibri" w:cs="Calibri"/>
                <w:b/>
                <w:color w:val="000000"/>
                <w:sz w:val="17"/>
              </w:rPr>
              <w:t>Capitalization rate</w:t>
            </w:r>
          </w:p>
        </w:tc>
        <w:tc>
          <w:tcPr>
            <w:tcW w:w="1400" w:type="dxa"/>
          </w:tcPr>
          <w:p w14:paraId="3AE00DBD" w14:textId="349E8AD4" w:rsidR="00D4666E" w:rsidRPr="00914B47" w:rsidRDefault="00D4666E" w:rsidP="00914B47">
            <w:pPr>
              <w:spacing w:line="200" w:lineRule="auto"/>
              <w:jc w:val="right"/>
              <w:rPr>
                <w:rFonts w:ascii="Calibri" w:hAnsi="Calibri" w:cs="Calibri"/>
                <w:b/>
                <w:color w:val="000000"/>
                <w:sz w:val="17"/>
              </w:rPr>
            </w:pPr>
            <w:r w:rsidRPr="00914B47">
              <w:rPr>
                <w:rFonts w:ascii="Calibri" w:hAnsi="Calibri" w:cs="Calibri"/>
                <w:b/>
                <w:color w:val="000000"/>
                <w:sz w:val="17"/>
              </w:rPr>
              <w:t>14.06%</w:t>
            </w:r>
          </w:p>
        </w:tc>
        <w:tc>
          <w:tcPr>
            <w:tcW w:w="2900" w:type="dxa"/>
          </w:tcPr>
          <w:p w14:paraId="407BDAEF" w14:textId="77777777" w:rsidR="00D4666E" w:rsidRPr="00914B47" w:rsidRDefault="00D4666E" w:rsidP="00914B47">
            <w:pPr>
              <w:spacing w:line="120" w:lineRule="auto"/>
              <w:rPr>
                <w:rFonts w:ascii="Calibri" w:hAnsi="Calibri" w:cs="Calibri"/>
                <w:b/>
                <w:color w:val="000000"/>
                <w:sz w:val="12"/>
              </w:rPr>
            </w:pPr>
          </w:p>
        </w:tc>
      </w:tr>
      <w:tr w:rsidR="00D4666E" w:rsidRPr="00D4666E" w14:paraId="29497292" w14:textId="77777777" w:rsidTr="00914B47">
        <w:tc>
          <w:tcPr>
            <w:tcW w:w="5000" w:type="dxa"/>
          </w:tcPr>
          <w:p w14:paraId="6D42EBCA" w14:textId="4140B22B" w:rsidR="00D4666E" w:rsidRPr="00914B47" w:rsidRDefault="00D4666E" w:rsidP="00914B47">
            <w:pPr>
              <w:spacing w:line="200" w:lineRule="auto"/>
              <w:rPr>
                <w:rFonts w:ascii="Calibri" w:hAnsi="Calibri" w:cs="Calibri"/>
                <w:b/>
                <w:color w:val="000000"/>
                <w:sz w:val="17"/>
              </w:rPr>
            </w:pPr>
            <w:r w:rsidRPr="00914B47">
              <w:rPr>
                <w:rFonts w:ascii="Calibri" w:hAnsi="Calibri" w:cs="Calibri"/>
                <w:b/>
                <w:color w:val="000000"/>
                <w:sz w:val="17"/>
              </w:rPr>
              <w:t>Capitalized value of operations (</w:t>
            </w:r>
            <w:proofErr w:type="spellStart"/>
            <w:r w:rsidRPr="00914B47">
              <w:rPr>
                <w:rFonts w:ascii="Calibri" w:hAnsi="Calibri" w:cs="Calibri"/>
                <w:b/>
                <w:color w:val="000000"/>
                <w:sz w:val="17"/>
              </w:rPr>
              <w:t>en</w:t>
            </w:r>
            <w:proofErr w:type="spellEnd"/>
            <w:r w:rsidRPr="00914B47">
              <w:rPr>
                <w:rFonts w:ascii="Calibri" w:hAnsi="Calibri" w:cs="Calibri"/>
                <w:b/>
                <w:color w:val="000000"/>
                <w:sz w:val="17"/>
              </w:rPr>
              <w:t xml:space="preserve"> bloc EV)</w:t>
            </w:r>
          </w:p>
        </w:tc>
        <w:tc>
          <w:tcPr>
            <w:tcW w:w="1400" w:type="dxa"/>
          </w:tcPr>
          <w:p w14:paraId="3B5C8A83" w14:textId="69FFFC93" w:rsidR="00D4666E" w:rsidRPr="00914B47" w:rsidRDefault="00D4666E" w:rsidP="00914B47">
            <w:pPr>
              <w:spacing w:line="200" w:lineRule="auto"/>
              <w:jc w:val="right"/>
              <w:rPr>
                <w:rFonts w:ascii="Calibri" w:hAnsi="Calibri" w:cs="Calibri"/>
                <w:b/>
                <w:color w:val="000000"/>
                <w:sz w:val="17"/>
              </w:rPr>
            </w:pPr>
            <w:r w:rsidRPr="00914B47">
              <w:rPr>
                <w:rFonts w:ascii="Calibri" w:hAnsi="Calibri" w:cs="Calibri"/>
                <w:b/>
                <w:color w:val="000000"/>
                <w:sz w:val="17"/>
              </w:rPr>
              <w:t>5,869</w:t>
            </w:r>
          </w:p>
        </w:tc>
        <w:tc>
          <w:tcPr>
            <w:tcW w:w="2900" w:type="dxa"/>
          </w:tcPr>
          <w:p w14:paraId="683A8D3E" w14:textId="77777777" w:rsidR="00D4666E" w:rsidRPr="00914B47" w:rsidRDefault="00D4666E" w:rsidP="00914B47">
            <w:pPr>
              <w:spacing w:line="120" w:lineRule="auto"/>
              <w:rPr>
                <w:rFonts w:ascii="Calibri" w:hAnsi="Calibri" w:cs="Calibri"/>
                <w:b/>
                <w:color w:val="000000"/>
                <w:sz w:val="12"/>
              </w:rPr>
            </w:pPr>
          </w:p>
        </w:tc>
      </w:tr>
      <w:tr w:rsidR="00D4666E" w:rsidRPr="00D4666E" w14:paraId="3FB81F0D" w14:textId="77777777" w:rsidTr="00914B47">
        <w:tc>
          <w:tcPr>
            <w:tcW w:w="5000" w:type="dxa"/>
          </w:tcPr>
          <w:p w14:paraId="01BD05DD" w14:textId="1C899541" w:rsidR="00D4666E" w:rsidRPr="00914B47" w:rsidRDefault="00D4666E" w:rsidP="00914B47">
            <w:pPr>
              <w:spacing w:line="200" w:lineRule="auto"/>
              <w:rPr>
                <w:rFonts w:ascii="Calibri" w:hAnsi="Calibri" w:cs="Calibri"/>
                <w:b/>
                <w:color w:val="000000"/>
                <w:sz w:val="17"/>
              </w:rPr>
            </w:pPr>
            <w:r w:rsidRPr="00914B47">
              <w:rPr>
                <w:rFonts w:ascii="Calibri" w:hAnsi="Calibri" w:cs="Calibri"/>
                <w:b/>
                <w:color w:val="000000"/>
                <w:sz w:val="17"/>
              </w:rPr>
              <w:t>Implied EV / maintainable EBITDA</w:t>
            </w:r>
          </w:p>
        </w:tc>
        <w:tc>
          <w:tcPr>
            <w:tcW w:w="1400" w:type="dxa"/>
          </w:tcPr>
          <w:p w14:paraId="4B9692F3" w14:textId="652FB022" w:rsidR="00D4666E" w:rsidRPr="00914B47" w:rsidRDefault="00D4666E" w:rsidP="00914B47">
            <w:pPr>
              <w:spacing w:line="200" w:lineRule="auto"/>
              <w:jc w:val="right"/>
              <w:rPr>
                <w:rFonts w:ascii="Calibri" w:hAnsi="Calibri" w:cs="Calibri"/>
                <w:b/>
                <w:color w:val="000000"/>
                <w:sz w:val="17"/>
              </w:rPr>
            </w:pPr>
            <w:r w:rsidRPr="00914B47">
              <w:rPr>
                <w:rFonts w:ascii="Calibri" w:hAnsi="Calibri" w:cs="Calibri"/>
                <w:b/>
                <w:color w:val="000000"/>
                <w:sz w:val="17"/>
              </w:rPr>
              <w:t>4.2x</w:t>
            </w:r>
          </w:p>
        </w:tc>
        <w:tc>
          <w:tcPr>
            <w:tcW w:w="2900" w:type="dxa"/>
          </w:tcPr>
          <w:p w14:paraId="6A905FCD" w14:textId="77777777" w:rsidR="00D4666E" w:rsidRPr="00914B47" w:rsidRDefault="00D4666E" w:rsidP="00914B47">
            <w:pPr>
              <w:spacing w:line="120" w:lineRule="auto"/>
              <w:rPr>
                <w:rFonts w:ascii="Calibri" w:hAnsi="Calibri" w:cs="Calibri"/>
                <w:b/>
                <w:color w:val="000000"/>
                <w:sz w:val="12"/>
              </w:rPr>
            </w:pPr>
          </w:p>
        </w:tc>
      </w:tr>
    </w:tbl>
    <w:p w14:paraId="720A473B" w14:textId="77777777" w:rsidR="00D4666E" w:rsidRPr="00914B47" w:rsidRDefault="00D4666E" w:rsidP="00914B47">
      <w:pPr>
        <w:spacing w:after="0" w:line="120" w:lineRule="auto"/>
        <w:rPr>
          <w:rFonts w:ascii="Calibri" w:hAnsi="Calibri" w:cs="Calibri"/>
          <w:sz w:val="12"/>
        </w:rPr>
      </w:pPr>
    </w:p>
    <w:tbl>
      <w:tblPr>
        <w:tblStyle w:val="TableGrid"/>
        <w:tblW w:w="0" w:type="auto"/>
        <w:tblLook w:val="0480" w:firstRow="0" w:lastRow="0" w:firstColumn="1" w:lastColumn="0" w:noHBand="0" w:noVBand="1"/>
      </w:tblPr>
      <w:tblGrid>
        <w:gridCol w:w="6000"/>
        <w:gridCol w:w="1600"/>
      </w:tblGrid>
      <w:tr w:rsidR="00D4666E" w:rsidRPr="00D4666E" w14:paraId="303BCF32" w14:textId="77777777" w:rsidTr="00914B47">
        <w:tc>
          <w:tcPr>
            <w:tcW w:w="6000" w:type="dxa"/>
          </w:tcPr>
          <w:p w14:paraId="610CB98F" w14:textId="00BB1CD3" w:rsidR="00D4666E" w:rsidRPr="00914B47" w:rsidRDefault="00D4666E" w:rsidP="00914B47">
            <w:pPr>
              <w:spacing w:line="200" w:lineRule="auto"/>
              <w:rPr>
                <w:rFonts w:ascii="Calibri" w:hAnsi="Calibri" w:cs="Calibri"/>
                <w:color w:val="000000"/>
                <w:sz w:val="17"/>
              </w:rPr>
            </w:pPr>
            <w:r w:rsidRPr="00914B47">
              <w:rPr>
                <w:rFonts w:ascii="Calibri" w:hAnsi="Calibri" w:cs="Calibri"/>
                <w:color w:val="000000"/>
                <w:sz w:val="17"/>
              </w:rPr>
              <w:t>En bloc enterprise value</w:t>
            </w:r>
          </w:p>
        </w:tc>
        <w:tc>
          <w:tcPr>
            <w:tcW w:w="1600" w:type="dxa"/>
          </w:tcPr>
          <w:p w14:paraId="40379AD6" w14:textId="254D80D4"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5,869</w:t>
            </w:r>
          </w:p>
        </w:tc>
      </w:tr>
      <w:tr w:rsidR="00D4666E" w:rsidRPr="00D4666E" w14:paraId="3107D095" w14:textId="77777777" w:rsidTr="00914B47">
        <w:tc>
          <w:tcPr>
            <w:tcW w:w="6000" w:type="dxa"/>
          </w:tcPr>
          <w:p w14:paraId="018887A3" w14:textId="29540502" w:rsidR="00D4666E" w:rsidRPr="00914B47" w:rsidRDefault="00D4666E" w:rsidP="00914B47">
            <w:pPr>
              <w:spacing w:line="200" w:lineRule="auto"/>
              <w:rPr>
                <w:rFonts w:ascii="Calibri" w:hAnsi="Calibri" w:cs="Calibri"/>
                <w:color w:val="000000"/>
                <w:sz w:val="17"/>
              </w:rPr>
            </w:pPr>
            <w:r w:rsidRPr="00914B47">
              <w:rPr>
                <w:rFonts w:ascii="Calibri" w:hAnsi="Calibri" w:cs="Calibri"/>
                <w:color w:val="000000"/>
                <w:sz w:val="17"/>
              </w:rPr>
              <w:t>Add: cash in excess of operating requirement</w:t>
            </w:r>
          </w:p>
        </w:tc>
        <w:tc>
          <w:tcPr>
            <w:tcW w:w="1600" w:type="dxa"/>
          </w:tcPr>
          <w:p w14:paraId="6DC81CDA" w14:textId="1750E15A"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400</w:t>
            </w:r>
          </w:p>
        </w:tc>
      </w:tr>
      <w:tr w:rsidR="00D4666E" w:rsidRPr="00D4666E" w14:paraId="66E9514D" w14:textId="77777777" w:rsidTr="00914B47">
        <w:tc>
          <w:tcPr>
            <w:tcW w:w="6000" w:type="dxa"/>
          </w:tcPr>
          <w:p w14:paraId="13D9AD0A" w14:textId="14E1FDB2" w:rsidR="00D4666E" w:rsidRPr="00914B47" w:rsidRDefault="00D4666E" w:rsidP="00914B47">
            <w:pPr>
              <w:spacing w:line="200" w:lineRule="auto"/>
              <w:rPr>
                <w:rFonts w:ascii="Calibri" w:hAnsi="Calibri" w:cs="Calibri"/>
                <w:color w:val="000000"/>
                <w:sz w:val="17"/>
              </w:rPr>
            </w:pPr>
            <w:r w:rsidRPr="00914B47">
              <w:rPr>
                <w:rFonts w:ascii="Calibri" w:hAnsi="Calibri" w:cs="Calibri"/>
                <w:color w:val="000000"/>
                <w:sz w:val="17"/>
              </w:rPr>
              <w:t>Add: cash surrender value of life insurance</w:t>
            </w:r>
          </w:p>
        </w:tc>
        <w:tc>
          <w:tcPr>
            <w:tcW w:w="1600" w:type="dxa"/>
          </w:tcPr>
          <w:p w14:paraId="20D001FF" w14:textId="3CCE5624"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120</w:t>
            </w:r>
          </w:p>
        </w:tc>
      </w:tr>
      <w:tr w:rsidR="00D4666E" w:rsidRPr="00D4666E" w14:paraId="51BBE2BE" w14:textId="77777777" w:rsidTr="00914B47">
        <w:tc>
          <w:tcPr>
            <w:tcW w:w="6000" w:type="dxa"/>
          </w:tcPr>
          <w:p w14:paraId="1FE0E39F" w14:textId="52CB7550" w:rsidR="00D4666E" w:rsidRPr="00914B47" w:rsidRDefault="00D4666E" w:rsidP="00914B47">
            <w:pPr>
              <w:spacing w:line="200" w:lineRule="auto"/>
              <w:rPr>
                <w:rFonts w:ascii="Calibri" w:hAnsi="Calibri" w:cs="Calibri"/>
                <w:color w:val="000000"/>
                <w:sz w:val="17"/>
              </w:rPr>
            </w:pPr>
            <w:r w:rsidRPr="00914B47">
              <w:rPr>
                <w:rFonts w:ascii="Calibri" w:hAnsi="Calibri" w:cs="Calibri"/>
                <w:color w:val="000000"/>
                <w:sz w:val="17"/>
              </w:rPr>
              <w:t>Add: non-operating investments</w:t>
            </w:r>
          </w:p>
        </w:tc>
        <w:tc>
          <w:tcPr>
            <w:tcW w:w="1600" w:type="dxa"/>
          </w:tcPr>
          <w:p w14:paraId="11890CC7" w14:textId="62605221"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w:t>
            </w:r>
          </w:p>
        </w:tc>
      </w:tr>
      <w:tr w:rsidR="00D4666E" w:rsidRPr="00D4666E" w14:paraId="33799F16" w14:textId="77777777" w:rsidTr="00914B47">
        <w:tc>
          <w:tcPr>
            <w:tcW w:w="6000" w:type="dxa"/>
          </w:tcPr>
          <w:p w14:paraId="2FF6728F" w14:textId="243BB48D" w:rsidR="00D4666E" w:rsidRPr="00914B47" w:rsidRDefault="00D4666E" w:rsidP="00914B47">
            <w:pPr>
              <w:spacing w:line="200" w:lineRule="auto"/>
              <w:rPr>
                <w:rFonts w:ascii="Calibri" w:hAnsi="Calibri" w:cs="Calibri"/>
                <w:color w:val="000000"/>
                <w:sz w:val="17"/>
              </w:rPr>
            </w:pPr>
            <w:r w:rsidRPr="00914B47">
              <w:rPr>
                <w:rFonts w:ascii="Calibri" w:hAnsi="Calibri" w:cs="Calibri"/>
                <w:color w:val="000000"/>
                <w:sz w:val="17"/>
              </w:rPr>
              <w:t>Less: bank term loan</w:t>
            </w:r>
          </w:p>
        </w:tc>
        <w:tc>
          <w:tcPr>
            <w:tcW w:w="1600" w:type="dxa"/>
          </w:tcPr>
          <w:p w14:paraId="1C95A221" w14:textId="218A42AB"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(1,150)</w:t>
            </w:r>
          </w:p>
        </w:tc>
      </w:tr>
      <w:tr w:rsidR="00D4666E" w:rsidRPr="00D4666E" w14:paraId="5602E67E" w14:textId="77777777" w:rsidTr="00914B47">
        <w:tc>
          <w:tcPr>
            <w:tcW w:w="6000" w:type="dxa"/>
          </w:tcPr>
          <w:p w14:paraId="5BD8D353" w14:textId="502C4B80" w:rsidR="00D4666E" w:rsidRPr="00914B47" w:rsidRDefault="00D4666E" w:rsidP="00914B47">
            <w:pPr>
              <w:spacing w:line="200" w:lineRule="auto"/>
              <w:rPr>
                <w:rFonts w:ascii="Calibri" w:hAnsi="Calibri" w:cs="Calibri"/>
                <w:color w:val="000000"/>
                <w:sz w:val="17"/>
              </w:rPr>
            </w:pPr>
            <w:r w:rsidRPr="00914B47">
              <w:rPr>
                <w:rFonts w:ascii="Calibri" w:hAnsi="Calibri" w:cs="Calibri"/>
                <w:color w:val="000000"/>
                <w:sz w:val="17"/>
              </w:rPr>
              <w:t>Less: equipment finance leases</w:t>
            </w:r>
          </w:p>
        </w:tc>
        <w:tc>
          <w:tcPr>
            <w:tcW w:w="1600" w:type="dxa"/>
          </w:tcPr>
          <w:p w14:paraId="28300A2B" w14:textId="4E593BE0"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(280)</w:t>
            </w:r>
          </w:p>
        </w:tc>
      </w:tr>
      <w:tr w:rsidR="00D4666E" w:rsidRPr="00D4666E" w14:paraId="5B48EC0C" w14:textId="77777777" w:rsidTr="00914B47">
        <w:tc>
          <w:tcPr>
            <w:tcW w:w="6000" w:type="dxa"/>
          </w:tcPr>
          <w:p w14:paraId="48514591" w14:textId="505ADA10" w:rsidR="00D4666E" w:rsidRPr="00914B47" w:rsidRDefault="00D4666E" w:rsidP="00914B47">
            <w:pPr>
              <w:spacing w:line="200" w:lineRule="auto"/>
              <w:rPr>
                <w:rFonts w:ascii="Calibri" w:hAnsi="Calibri" w:cs="Calibri"/>
                <w:color w:val="000000"/>
                <w:sz w:val="17"/>
              </w:rPr>
            </w:pPr>
            <w:r w:rsidRPr="00914B47">
              <w:rPr>
                <w:rFonts w:ascii="Calibri" w:hAnsi="Calibri" w:cs="Calibri"/>
                <w:color w:val="000000"/>
                <w:sz w:val="17"/>
              </w:rPr>
              <w:t>Less: shareholder loan</w:t>
            </w:r>
          </w:p>
        </w:tc>
        <w:tc>
          <w:tcPr>
            <w:tcW w:w="1600" w:type="dxa"/>
          </w:tcPr>
          <w:p w14:paraId="70E6A4B0" w14:textId="486C81E9"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(350)</w:t>
            </w:r>
          </w:p>
        </w:tc>
      </w:tr>
      <w:tr w:rsidR="00D4666E" w:rsidRPr="00D4666E" w14:paraId="1116B44C" w14:textId="77777777" w:rsidTr="00914B47">
        <w:tc>
          <w:tcPr>
            <w:tcW w:w="6000" w:type="dxa"/>
          </w:tcPr>
          <w:p w14:paraId="179468CB" w14:textId="05C0A948" w:rsidR="00D4666E" w:rsidRPr="00914B47" w:rsidRDefault="00D4666E" w:rsidP="00914B47">
            <w:pPr>
              <w:spacing w:line="200" w:lineRule="auto"/>
              <w:rPr>
                <w:rFonts w:ascii="Calibri" w:hAnsi="Calibri" w:cs="Calibri"/>
                <w:color w:val="000000"/>
                <w:sz w:val="17"/>
              </w:rPr>
            </w:pPr>
            <w:r w:rsidRPr="00914B47">
              <w:rPr>
                <w:rFonts w:ascii="Calibri" w:hAnsi="Calibri" w:cs="Calibri"/>
                <w:color w:val="000000"/>
                <w:sz w:val="17"/>
              </w:rPr>
              <w:t>Working capital deficiency versus normal</w:t>
            </w:r>
          </w:p>
        </w:tc>
        <w:tc>
          <w:tcPr>
            <w:tcW w:w="1600" w:type="dxa"/>
          </w:tcPr>
          <w:p w14:paraId="338504D2" w14:textId="4B2AD645"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(150)</w:t>
            </w:r>
          </w:p>
        </w:tc>
      </w:tr>
      <w:tr w:rsidR="00D4666E" w:rsidRPr="00D4666E" w14:paraId="3EA951FD" w14:textId="77777777" w:rsidTr="00914B47">
        <w:tc>
          <w:tcPr>
            <w:tcW w:w="6000" w:type="dxa"/>
          </w:tcPr>
          <w:p w14:paraId="2F0F9071" w14:textId="456AE7DD" w:rsidR="00D4666E" w:rsidRPr="00914B47" w:rsidRDefault="00D4666E" w:rsidP="00914B47">
            <w:pPr>
              <w:spacing w:line="200" w:lineRule="auto"/>
              <w:rPr>
                <w:rFonts w:ascii="Calibri" w:hAnsi="Calibri" w:cs="Calibri"/>
                <w:b/>
                <w:color w:val="000000"/>
                <w:sz w:val="17"/>
              </w:rPr>
            </w:pPr>
            <w:r w:rsidRPr="00914B47">
              <w:rPr>
                <w:rFonts w:ascii="Calibri" w:hAnsi="Calibri" w:cs="Calibri"/>
                <w:b/>
                <w:color w:val="000000"/>
                <w:sz w:val="17"/>
              </w:rPr>
              <w:t xml:space="preserve">Fair market value of 100% equity, </w:t>
            </w:r>
            <w:proofErr w:type="spellStart"/>
            <w:r w:rsidRPr="00914B47">
              <w:rPr>
                <w:rFonts w:ascii="Calibri" w:hAnsi="Calibri" w:cs="Calibri"/>
                <w:b/>
                <w:color w:val="000000"/>
                <w:sz w:val="17"/>
              </w:rPr>
              <w:t>en</w:t>
            </w:r>
            <w:proofErr w:type="spellEnd"/>
            <w:r w:rsidRPr="00914B47">
              <w:rPr>
                <w:rFonts w:ascii="Calibri" w:hAnsi="Calibri" w:cs="Calibri"/>
                <w:b/>
                <w:color w:val="000000"/>
                <w:sz w:val="17"/>
              </w:rPr>
              <w:t xml:space="preserve"> bloc</w:t>
            </w:r>
          </w:p>
        </w:tc>
        <w:tc>
          <w:tcPr>
            <w:tcW w:w="1600" w:type="dxa"/>
          </w:tcPr>
          <w:p w14:paraId="032507CF" w14:textId="314DD81C" w:rsidR="00D4666E" w:rsidRPr="00914B47" w:rsidRDefault="00D4666E" w:rsidP="00914B47">
            <w:pPr>
              <w:spacing w:line="200" w:lineRule="auto"/>
              <w:jc w:val="right"/>
              <w:rPr>
                <w:rFonts w:ascii="Calibri" w:hAnsi="Calibri" w:cs="Calibri"/>
                <w:b/>
                <w:color w:val="000000"/>
                <w:sz w:val="17"/>
              </w:rPr>
            </w:pPr>
            <w:r w:rsidRPr="00914B47">
              <w:rPr>
                <w:rFonts w:ascii="Calibri" w:hAnsi="Calibri" w:cs="Calibri"/>
                <w:b/>
                <w:color w:val="000000"/>
                <w:sz w:val="17"/>
              </w:rPr>
              <w:t>4,459</w:t>
            </w:r>
          </w:p>
        </w:tc>
      </w:tr>
    </w:tbl>
    <w:p w14:paraId="157E1A17" w14:textId="77777777" w:rsidR="00D4666E" w:rsidRPr="00914B47" w:rsidRDefault="00D4666E" w:rsidP="00914B47">
      <w:pPr>
        <w:spacing w:after="0" w:line="120" w:lineRule="auto"/>
        <w:rPr>
          <w:rFonts w:ascii="Calibri" w:hAnsi="Calibri" w:cs="Calibri"/>
          <w:sz w:val="12"/>
        </w:rPr>
      </w:pPr>
    </w:p>
    <w:p w14:paraId="4F1BB312" w14:textId="74B19D6A" w:rsidR="00D4666E" w:rsidRPr="00D4666E" w:rsidRDefault="00D4666E" w:rsidP="00D4666E">
      <w:pPr>
        <w:spacing w:before="80" w:after="60" w:line="220" w:lineRule="auto"/>
        <w:rPr>
          <w:rFonts w:ascii="Calibri" w:hAnsi="Calibri" w:cs="Calibri"/>
          <w:sz w:val="19"/>
        </w:rPr>
      </w:pPr>
      <w:r w:rsidRPr="00D4666E">
        <w:rPr>
          <w:rFonts w:ascii="Calibri" w:hAnsi="Calibri" w:cs="Calibri"/>
          <w:sz w:val="19"/>
        </w:rPr>
        <w:t>Redundant assets have been added separately. Surplus cash and the cash surrender value of the corporate-held life insurance policy do not generate operating cash flow and are therefore not captured by the capitalization of operating earnings.</w:t>
      </w:r>
    </w:p>
    <w:p w14:paraId="224A4E63" w14:textId="046A6357" w:rsidR="00D4666E" w:rsidRPr="00D4666E" w:rsidRDefault="00D4666E" w:rsidP="00D4666E">
      <w:pPr>
        <w:spacing w:after="60" w:line="220" w:lineRule="auto"/>
        <w:rPr>
          <w:rFonts w:ascii="Calibri" w:hAnsi="Calibri" w:cs="Calibri"/>
          <w:sz w:val="19"/>
        </w:rPr>
      </w:pPr>
      <w:r w:rsidRPr="00D4666E">
        <w:rPr>
          <w:rFonts w:ascii="Calibri" w:hAnsi="Calibri" w:cs="Calibri"/>
          <w:sz w:val="19"/>
        </w:rPr>
        <w:t>Non-cash working capital is structurally negative in beverage retail, as sales are settled in cash while suppliers extend payment terms. Actual non-cash working capital of $(310) is more negative than the assessed normal level of $(160). The difference of $(150) represents supplier funding that a purchaser would be required to restore, and has been deducted.</w:t>
      </w:r>
    </w:p>
    <w:p w14:paraId="232AD16B" w14:textId="3CB0B70F" w:rsidR="00D4666E" w:rsidRPr="00437876" w:rsidRDefault="00D4666E" w:rsidP="00437876">
      <w:pPr>
        <w:pStyle w:val="Heading1"/>
      </w:pPr>
      <w:r w:rsidRPr="00437876">
        <w:t>6. MARKET APPROACH CROSS-CHECK</w:t>
      </w:r>
    </w:p>
    <w:tbl>
      <w:tblPr>
        <w:tblStyle w:val="TableGrid"/>
        <w:tblW w:w="0" w:type="auto"/>
        <w:tblLook w:val="0480" w:firstRow="0" w:lastRow="0" w:firstColumn="1" w:lastColumn="0" w:noHBand="0" w:noVBand="1"/>
      </w:tblPr>
      <w:tblGrid>
        <w:gridCol w:w="6000"/>
        <w:gridCol w:w="2200"/>
      </w:tblGrid>
      <w:tr w:rsidR="00D4666E" w:rsidRPr="00D4666E" w14:paraId="5F897ECC" w14:textId="77777777" w:rsidTr="00914B47">
        <w:tc>
          <w:tcPr>
            <w:tcW w:w="6000" w:type="dxa"/>
          </w:tcPr>
          <w:p w14:paraId="78F53784" w14:textId="20AFDA58" w:rsidR="00D4666E" w:rsidRPr="00914B47" w:rsidRDefault="00D4666E" w:rsidP="00914B47">
            <w:pPr>
              <w:spacing w:line="200" w:lineRule="auto"/>
              <w:rPr>
                <w:rFonts w:ascii="Calibri" w:hAnsi="Calibri" w:cs="Calibri"/>
                <w:color w:val="000000"/>
                <w:sz w:val="17"/>
              </w:rPr>
            </w:pPr>
            <w:r w:rsidRPr="00914B47">
              <w:rPr>
                <w:rFonts w:ascii="Calibri" w:hAnsi="Calibri" w:cs="Calibri"/>
                <w:color w:val="000000"/>
                <w:sz w:val="17"/>
              </w:rPr>
              <w:t>Private transaction EV/EBITDA, small QSR chains</w:t>
            </w:r>
          </w:p>
        </w:tc>
        <w:tc>
          <w:tcPr>
            <w:tcW w:w="2200" w:type="dxa"/>
          </w:tcPr>
          <w:p w14:paraId="725FC806" w14:textId="15582961"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3.5x – 5.0x</w:t>
            </w:r>
          </w:p>
        </w:tc>
      </w:tr>
      <w:tr w:rsidR="00D4666E" w:rsidRPr="00D4666E" w14:paraId="5E24D33A" w14:textId="77777777" w:rsidTr="00914B47">
        <w:tc>
          <w:tcPr>
            <w:tcW w:w="6000" w:type="dxa"/>
          </w:tcPr>
          <w:p w14:paraId="38D23240" w14:textId="64518768" w:rsidR="00D4666E" w:rsidRPr="00914B47" w:rsidRDefault="00914B47" w:rsidP="00914B47">
            <w:pPr>
              <w:spacing w:line="200" w:lineRule="auto"/>
              <w:ind w:left="240"/>
              <w:rPr>
                <w:rFonts w:ascii="Calibri" w:hAnsi="Calibri" w:cs="Calibri"/>
                <w:color w:val="000000"/>
                <w:sz w:val="17"/>
              </w:rPr>
            </w:pPr>
            <w:r>
              <w:rPr>
                <w:rFonts w:ascii="Calibri" w:hAnsi="Calibri" w:cs="Calibri"/>
                <w:color w:val="000000"/>
                <w:sz w:val="17"/>
              </w:rPr>
              <w:t xml:space="preserve">Implied </w:t>
            </w:r>
            <w:proofErr w:type="spellStart"/>
            <w:r>
              <w:rPr>
                <w:rFonts w:ascii="Calibri" w:hAnsi="Calibri" w:cs="Calibri"/>
                <w:color w:val="000000"/>
                <w:sz w:val="17"/>
              </w:rPr>
              <w:t>en</w:t>
            </w:r>
            <w:proofErr w:type="spellEnd"/>
            <w:r>
              <w:rPr>
                <w:rFonts w:ascii="Calibri" w:hAnsi="Calibri" w:cs="Calibri"/>
                <w:color w:val="000000"/>
                <w:sz w:val="17"/>
              </w:rPr>
              <w:t xml:space="preserve"> bloc enterprise value</w:t>
            </w:r>
          </w:p>
        </w:tc>
        <w:tc>
          <w:tcPr>
            <w:tcW w:w="2200" w:type="dxa"/>
          </w:tcPr>
          <w:p w14:paraId="72DE886E" w14:textId="6F0A944C"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4,918 – 7,025</w:t>
            </w:r>
          </w:p>
        </w:tc>
      </w:tr>
      <w:tr w:rsidR="00D4666E" w:rsidRPr="00D4666E" w14:paraId="0AAC1C7D" w14:textId="77777777" w:rsidTr="00914B47">
        <w:tc>
          <w:tcPr>
            <w:tcW w:w="6000" w:type="dxa"/>
          </w:tcPr>
          <w:p w14:paraId="45C84E3B" w14:textId="03E80CD7" w:rsidR="00D4666E" w:rsidRPr="00914B47" w:rsidRDefault="00D4666E" w:rsidP="00914B47">
            <w:pPr>
              <w:spacing w:line="200" w:lineRule="auto"/>
              <w:rPr>
                <w:rFonts w:ascii="Calibri" w:hAnsi="Calibri" w:cs="Calibri"/>
                <w:color w:val="000000"/>
                <w:sz w:val="17"/>
              </w:rPr>
            </w:pPr>
            <w:r w:rsidRPr="00914B47">
              <w:rPr>
                <w:rFonts w:ascii="Calibri" w:hAnsi="Calibri" w:cs="Calibri"/>
                <w:color w:val="000000"/>
                <w:sz w:val="17"/>
              </w:rPr>
              <w:t>Listed QSR peer EV/EBITDA</w:t>
            </w:r>
          </w:p>
        </w:tc>
        <w:tc>
          <w:tcPr>
            <w:tcW w:w="2200" w:type="dxa"/>
          </w:tcPr>
          <w:p w14:paraId="306E186F" w14:textId="784156DD"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10.0x – 13.0x</w:t>
            </w:r>
          </w:p>
        </w:tc>
      </w:tr>
      <w:tr w:rsidR="00D4666E" w:rsidRPr="00D4666E" w14:paraId="78B61058" w14:textId="77777777" w:rsidTr="00914B47">
        <w:tc>
          <w:tcPr>
            <w:tcW w:w="6000" w:type="dxa"/>
          </w:tcPr>
          <w:p w14:paraId="07CDA9CD" w14:textId="5AB7F666" w:rsidR="00D4666E" w:rsidRPr="00914B47" w:rsidRDefault="00914B47" w:rsidP="00914B47">
            <w:pPr>
              <w:spacing w:line="200" w:lineRule="auto"/>
              <w:ind w:left="240"/>
              <w:rPr>
                <w:rFonts w:ascii="Calibri" w:hAnsi="Calibri" w:cs="Calibri"/>
                <w:color w:val="000000"/>
                <w:sz w:val="17"/>
              </w:rPr>
            </w:pPr>
            <w:r>
              <w:rPr>
                <w:rFonts w:ascii="Calibri" w:hAnsi="Calibri" w:cs="Calibri"/>
                <w:color w:val="000000"/>
                <w:sz w:val="17"/>
              </w:rPr>
              <w:t>Less: size and marketability adjustment</w:t>
            </w:r>
          </w:p>
        </w:tc>
        <w:tc>
          <w:tcPr>
            <w:tcW w:w="2200" w:type="dxa"/>
          </w:tcPr>
          <w:p w14:paraId="77F7CE66" w14:textId="243623B6"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(60%) – (55%)</w:t>
            </w:r>
          </w:p>
        </w:tc>
      </w:tr>
      <w:tr w:rsidR="00D4666E" w:rsidRPr="00D4666E" w14:paraId="453DEF7C" w14:textId="77777777" w:rsidTr="00914B47">
        <w:tc>
          <w:tcPr>
            <w:tcW w:w="6000" w:type="dxa"/>
          </w:tcPr>
          <w:p w14:paraId="7B9DF262" w14:textId="373F5A54" w:rsidR="00D4666E" w:rsidRPr="00914B47" w:rsidRDefault="00914B47" w:rsidP="00914B47">
            <w:pPr>
              <w:spacing w:line="200" w:lineRule="auto"/>
              <w:ind w:left="240"/>
              <w:rPr>
                <w:rFonts w:ascii="Calibri" w:hAnsi="Calibri" w:cs="Calibri"/>
                <w:color w:val="000000"/>
                <w:sz w:val="17"/>
              </w:rPr>
            </w:pPr>
            <w:r>
              <w:rPr>
                <w:rFonts w:ascii="Calibri" w:hAnsi="Calibri" w:cs="Calibri"/>
                <w:color w:val="000000"/>
                <w:sz w:val="17"/>
              </w:rPr>
              <w:t>Adjusted multiple</w:t>
            </w:r>
          </w:p>
        </w:tc>
        <w:tc>
          <w:tcPr>
            <w:tcW w:w="2200" w:type="dxa"/>
          </w:tcPr>
          <w:p w14:paraId="75688186" w14:textId="6B480544"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4.0x – 5.9x</w:t>
            </w:r>
          </w:p>
        </w:tc>
      </w:tr>
      <w:tr w:rsidR="00D4666E" w:rsidRPr="00D4666E" w14:paraId="0F5DE892" w14:textId="77777777" w:rsidTr="00914B47">
        <w:tc>
          <w:tcPr>
            <w:tcW w:w="6000" w:type="dxa"/>
          </w:tcPr>
          <w:p w14:paraId="741940FC" w14:textId="44FF0128" w:rsidR="00D4666E" w:rsidRPr="00914B47" w:rsidRDefault="00D4666E" w:rsidP="00914B47">
            <w:pPr>
              <w:spacing w:line="200" w:lineRule="auto"/>
              <w:rPr>
                <w:rFonts w:ascii="Calibri" w:hAnsi="Calibri" w:cs="Calibri"/>
                <w:b/>
                <w:color w:val="000000"/>
                <w:sz w:val="17"/>
              </w:rPr>
            </w:pPr>
            <w:r w:rsidRPr="00914B47">
              <w:rPr>
                <w:rFonts w:ascii="Calibri" w:hAnsi="Calibri" w:cs="Calibri"/>
                <w:b/>
                <w:color w:val="000000"/>
                <w:sz w:val="17"/>
              </w:rPr>
              <w:t>Income approach implied multiple</w:t>
            </w:r>
          </w:p>
        </w:tc>
        <w:tc>
          <w:tcPr>
            <w:tcW w:w="2200" w:type="dxa"/>
          </w:tcPr>
          <w:p w14:paraId="07DEF4B1" w14:textId="05DC3453" w:rsidR="00D4666E" w:rsidRPr="00914B47" w:rsidRDefault="00D4666E" w:rsidP="00914B47">
            <w:pPr>
              <w:spacing w:line="200" w:lineRule="auto"/>
              <w:jc w:val="right"/>
              <w:rPr>
                <w:rFonts w:ascii="Calibri" w:hAnsi="Calibri" w:cs="Calibri"/>
                <w:b/>
                <w:color w:val="000000"/>
                <w:sz w:val="17"/>
              </w:rPr>
            </w:pPr>
            <w:r w:rsidRPr="00914B47">
              <w:rPr>
                <w:rFonts w:ascii="Calibri" w:hAnsi="Calibri" w:cs="Calibri"/>
                <w:b/>
                <w:color w:val="000000"/>
                <w:sz w:val="17"/>
              </w:rPr>
              <w:t>4.2x</w:t>
            </w:r>
          </w:p>
        </w:tc>
      </w:tr>
    </w:tbl>
    <w:p w14:paraId="560626EE" w14:textId="77777777" w:rsidR="00D4666E" w:rsidRPr="00914B47" w:rsidRDefault="00D4666E" w:rsidP="00914B47">
      <w:pPr>
        <w:spacing w:after="0" w:line="120" w:lineRule="auto"/>
        <w:rPr>
          <w:rFonts w:ascii="Calibri" w:hAnsi="Calibri" w:cs="Calibri"/>
          <w:sz w:val="12"/>
        </w:rPr>
      </w:pPr>
    </w:p>
    <w:p w14:paraId="2828CCFF" w14:textId="5252889A" w:rsidR="00D4666E" w:rsidRPr="00D4666E" w:rsidRDefault="00914B47" w:rsidP="00D4666E">
      <w:pPr>
        <w:spacing w:before="80" w:after="60" w:line="220" w:lineRule="auto"/>
        <w:rPr>
          <w:rFonts w:ascii="Calibri" w:hAnsi="Calibri" w:cs="Calibri"/>
          <w:sz w:val="19"/>
        </w:rPr>
      </w:pPr>
      <w:r>
        <w:rPr>
          <w:rFonts w:ascii="Calibri" w:hAnsi="Calibri" w:cs="Calibri"/>
          <w:sz w:val="19"/>
        </w:rPr>
        <w:t>The implied multiple of 4.2x falls within the private transaction range and within the adjusted listed peer range; the two market-derived ranges overlap at approximately 4.0–5.0x. This corroborates the internal consistency of the assumption set; it is not itself a separate conclusion of value.</w:t>
      </w:r>
    </w:p>
    <w:p w14:paraId="60363C90" w14:textId="1BBE41A6" w:rsidR="00D4666E" w:rsidRPr="00437876" w:rsidRDefault="00D4666E" w:rsidP="00437876">
      <w:pPr>
        <w:pStyle w:val="Heading1"/>
      </w:pPr>
      <w:r w:rsidRPr="00437876">
        <w:t>7. CONCLUSION</w:t>
      </w:r>
    </w:p>
    <w:tbl>
      <w:tblPr>
        <w:tblStyle w:val="TableGrid"/>
        <w:tblW w:w="0" w:type="auto"/>
        <w:tblLook w:val="04A0" w:firstRow="1" w:lastRow="0" w:firstColumn="1" w:lastColumn="0" w:noHBand="0" w:noVBand="1"/>
      </w:tblPr>
      <w:tblGrid>
        <w:gridCol w:w="9350"/>
      </w:tblGrid>
      <w:tr w:rsidR="00D4666E" w:rsidRPr="00D4666E" w14:paraId="62E6FBA5" w14:textId="77777777" w:rsidTr="00914B47">
        <w:tc>
          <w:tcPr>
            <w:tcW w:w="9350" w:type="dxa"/>
            <w:shd w:val="clear" w:color="F2F2F2" w:fill="F2F2F2"/>
          </w:tcPr>
          <w:p w14:paraId="1EFD45A5" w14:textId="77777777" w:rsidR="00D4666E" w:rsidRPr="00914B47" w:rsidRDefault="00D4666E" w:rsidP="00914B47">
            <w:pPr>
              <w:spacing w:after="40" w:line="200" w:lineRule="auto"/>
              <w:rPr>
                <w:rFonts w:ascii="Calibri" w:hAnsi="Calibri" w:cs="Calibri"/>
                <w:color w:val="000000"/>
                <w:sz w:val="19"/>
              </w:rPr>
            </w:pPr>
            <w:r w:rsidRPr="00914B47">
              <w:rPr>
                <w:rFonts w:ascii="Calibri" w:hAnsi="Calibri" w:cs="Calibri"/>
                <w:color w:val="000000"/>
                <w:sz w:val="19"/>
              </w:rPr>
              <w:t xml:space="preserve">Subject to the scope limitations set out in Section 8, it is our calculation that the fair market value of 100% of the common shares of Pacific Pearl Tea Co. Ltd., </w:t>
            </w:r>
            <w:proofErr w:type="spellStart"/>
            <w:r w:rsidRPr="00914B47">
              <w:rPr>
                <w:rFonts w:ascii="Calibri" w:hAnsi="Calibri" w:cs="Calibri"/>
                <w:color w:val="000000"/>
                <w:sz w:val="19"/>
              </w:rPr>
              <w:t>en</w:t>
            </w:r>
            <w:proofErr w:type="spellEnd"/>
            <w:r w:rsidRPr="00914B47">
              <w:rPr>
                <w:rFonts w:ascii="Calibri" w:hAnsi="Calibri" w:cs="Calibri"/>
                <w:color w:val="000000"/>
                <w:sz w:val="19"/>
              </w:rPr>
              <w:t xml:space="preserve"> bloc, as at 31 December 2025, was in the range of:</w:t>
            </w:r>
          </w:p>
          <w:p w14:paraId="52229B5E" w14:textId="14AF59AA" w:rsidR="00D4666E" w:rsidRPr="00914B47" w:rsidRDefault="00D4666E" w:rsidP="00914B47">
            <w:pPr>
              <w:spacing w:before="80" w:after="40" w:line="200" w:lineRule="auto"/>
              <w:jc w:val="center"/>
              <w:rPr>
                <w:rFonts w:ascii="Calibri" w:hAnsi="Calibri" w:cs="Calibri"/>
                <w:b/>
                <w:color w:val="000000"/>
              </w:rPr>
            </w:pPr>
            <w:r w:rsidRPr="00914B47">
              <w:rPr>
                <w:rFonts w:ascii="Calibri" w:hAnsi="Calibri" w:cs="Calibri"/>
                <w:b/>
                <w:color w:val="000000"/>
              </w:rPr>
              <w:t>$4,013,000 to $4,904,000</w:t>
            </w:r>
          </w:p>
          <w:p w14:paraId="3E9C0B98" w14:textId="0375A6BB" w:rsidR="00D4666E" w:rsidRPr="00914B47" w:rsidRDefault="00D4666E" w:rsidP="00914B47">
            <w:pPr>
              <w:spacing w:after="80" w:line="200" w:lineRule="auto"/>
              <w:jc w:val="center"/>
              <w:rPr>
                <w:rFonts w:ascii="Calibri" w:hAnsi="Calibri" w:cs="Calibri"/>
                <w:b/>
                <w:color w:val="000000"/>
                <w:sz w:val="21"/>
              </w:rPr>
            </w:pPr>
            <w:r w:rsidRPr="00914B47">
              <w:rPr>
                <w:rFonts w:ascii="Calibri" w:hAnsi="Calibri" w:cs="Calibri"/>
                <w:b/>
                <w:color w:val="000000"/>
                <w:sz w:val="21"/>
              </w:rPr>
              <w:t>Midpoint: $4,459,000</w:t>
            </w:r>
          </w:p>
          <w:p w14:paraId="673E7A4E" w14:textId="260F938B" w:rsidR="00D4666E" w:rsidRPr="00914B47" w:rsidRDefault="00D4666E" w:rsidP="00914B47">
            <w:pPr>
              <w:spacing w:line="120" w:lineRule="auto"/>
              <w:rPr>
                <w:rFonts w:ascii="Calibri" w:hAnsi="Calibri" w:cs="Calibri"/>
                <w:color w:val="000000"/>
                <w:sz w:val="12"/>
              </w:rPr>
            </w:pPr>
          </w:p>
        </w:tc>
      </w:tr>
    </w:tbl>
    <w:p w14:paraId="48B95D90" w14:textId="77777777" w:rsidR="00D4666E" w:rsidRPr="00914B47" w:rsidRDefault="00D4666E" w:rsidP="00914B47">
      <w:pPr>
        <w:spacing w:after="0" w:line="120" w:lineRule="auto"/>
        <w:rPr>
          <w:rFonts w:ascii="Calibri" w:hAnsi="Calibri" w:cs="Calibri"/>
          <w:sz w:val="12"/>
        </w:rPr>
      </w:pPr>
    </w:p>
    <w:p w14:paraId="71061BEB" w14:textId="1269F5F1" w:rsidR="00D4666E" w:rsidRPr="00D4666E" w:rsidRDefault="00D4666E" w:rsidP="00D4666E">
      <w:pPr>
        <w:spacing w:before="120" w:after="60" w:line="220" w:lineRule="auto"/>
        <w:rPr>
          <w:rFonts w:ascii="Calibri" w:hAnsi="Calibri" w:cs="Calibri"/>
          <w:sz w:val="19"/>
        </w:rPr>
      </w:pPr>
      <w:r w:rsidRPr="00D4666E">
        <w:rPr>
          <w:rFonts w:ascii="Calibri" w:hAnsi="Calibri" w:cs="Calibri"/>
          <w:sz w:val="19"/>
        </w:rPr>
        <w:t>Value is most sensitive to the discount rate. The following table shows equity value across a range of WACC and long-term growth assumptions, with the base case in the centre.</w:t>
      </w:r>
    </w:p>
    <w:tbl>
      <w:tblPr>
        <w:tblStyle w:val="TableGrid"/>
        <w:tblW w:w="0" w:type="auto"/>
        <w:tblLook w:val="04A0" w:firstRow="1" w:lastRow="0" w:firstColumn="1" w:lastColumn="0" w:noHBand="0" w:noVBand="1"/>
      </w:tblPr>
      <w:tblGrid>
        <w:gridCol w:w="1400"/>
        <w:gridCol w:w="1560"/>
        <w:gridCol w:w="1560"/>
        <w:gridCol w:w="1560"/>
        <w:gridCol w:w="1560"/>
        <w:gridCol w:w="1560"/>
      </w:tblGrid>
      <w:tr w:rsidR="00D4666E" w:rsidRPr="00D4666E" w14:paraId="14414392" w14:textId="77777777" w:rsidTr="00914B47">
        <w:trPr>
          <w:tblHeader/>
        </w:trPr>
        <w:tc>
          <w:tcPr>
            <w:tcW w:w="1400" w:type="dxa"/>
          </w:tcPr>
          <w:p w14:paraId="1469B6EA" w14:textId="42EE61B6" w:rsidR="00D4666E" w:rsidRPr="00914B47" w:rsidRDefault="00914B47" w:rsidP="00914B47">
            <w:pPr>
              <w:spacing w:line="200" w:lineRule="auto"/>
              <w:rPr>
                <w:rFonts w:ascii="Calibri" w:hAnsi="Calibri" w:cs="Calibri"/>
                <w:b/>
                <w:color w:val="000000"/>
                <w:sz w:val="17"/>
              </w:rPr>
            </w:pPr>
            <w:r>
              <w:rPr>
                <w:rFonts w:ascii="Calibri" w:hAnsi="Calibri" w:cs="Calibri"/>
                <w:b/>
                <w:color w:val="000000"/>
                <w:sz w:val="17"/>
              </w:rPr>
              <w:t>WACC / growth</w:t>
            </w:r>
          </w:p>
        </w:tc>
        <w:tc>
          <w:tcPr>
            <w:tcW w:w="1560" w:type="dxa"/>
          </w:tcPr>
          <w:p w14:paraId="369AFA9D" w14:textId="1619BA0C" w:rsidR="00D4666E" w:rsidRPr="00914B47" w:rsidRDefault="00D4666E" w:rsidP="00914B47">
            <w:pPr>
              <w:spacing w:line="200" w:lineRule="auto"/>
              <w:jc w:val="right"/>
              <w:rPr>
                <w:rFonts w:ascii="Calibri" w:hAnsi="Calibri" w:cs="Calibri"/>
                <w:b/>
                <w:color w:val="000000"/>
                <w:sz w:val="17"/>
              </w:rPr>
            </w:pPr>
            <w:r w:rsidRPr="00914B47">
              <w:rPr>
                <w:rFonts w:ascii="Calibri" w:hAnsi="Calibri" w:cs="Calibri"/>
                <w:b/>
                <w:color w:val="000000"/>
                <w:sz w:val="17"/>
              </w:rPr>
              <w:t>1.50%</w:t>
            </w:r>
          </w:p>
        </w:tc>
        <w:tc>
          <w:tcPr>
            <w:tcW w:w="1560" w:type="dxa"/>
          </w:tcPr>
          <w:p w14:paraId="728D1713" w14:textId="74032670" w:rsidR="00D4666E" w:rsidRPr="00914B47" w:rsidRDefault="00D4666E" w:rsidP="00914B47">
            <w:pPr>
              <w:spacing w:line="200" w:lineRule="auto"/>
              <w:jc w:val="right"/>
              <w:rPr>
                <w:rFonts w:ascii="Calibri" w:hAnsi="Calibri" w:cs="Calibri"/>
                <w:b/>
                <w:color w:val="000000"/>
                <w:sz w:val="17"/>
              </w:rPr>
            </w:pPr>
            <w:r w:rsidRPr="00914B47">
              <w:rPr>
                <w:rFonts w:ascii="Calibri" w:hAnsi="Calibri" w:cs="Calibri"/>
                <w:b/>
                <w:color w:val="000000"/>
                <w:sz w:val="17"/>
              </w:rPr>
              <w:t>2.00%</w:t>
            </w:r>
          </w:p>
        </w:tc>
        <w:tc>
          <w:tcPr>
            <w:tcW w:w="1560" w:type="dxa"/>
          </w:tcPr>
          <w:p w14:paraId="29BB1D07" w14:textId="37E68CDA" w:rsidR="00D4666E" w:rsidRPr="00914B47" w:rsidRDefault="00D4666E" w:rsidP="00914B47">
            <w:pPr>
              <w:spacing w:line="200" w:lineRule="auto"/>
              <w:jc w:val="right"/>
              <w:rPr>
                <w:rFonts w:ascii="Calibri" w:hAnsi="Calibri" w:cs="Calibri"/>
                <w:b/>
                <w:color w:val="000000"/>
                <w:sz w:val="17"/>
              </w:rPr>
            </w:pPr>
            <w:r w:rsidRPr="00914B47">
              <w:rPr>
                <w:rFonts w:ascii="Calibri" w:hAnsi="Calibri" w:cs="Calibri"/>
                <w:b/>
                <w:color w:val="000000"/>
                <w:sz w:val="17"/>
              </w:rPr>
              <w:t>2.50%</w:t>
            </w:r>
          </w:p>
        </w:tc>
        <w:tc>
          <w:tcPr>
            <w:tcW w:w="1560" w:type="dxa"/>
          </w:tcPr>
          <w:p w14:paraId="0A556964" w14:textId="22B64BE8" w:rsidR="00D4666E" w:rsidRPr="00914B47" w:rsidRDefault="00D4666E" w:rsidP="00914B47">
            <w:pPr>
              <w:spacing w:line="200" w:lineRule="auto"/>
              <w:jc w:val="right"/>
              <w:rPr>
                <w:rFonts w:ascii="Calibri" w:hAnsi="Calibri" w:cs="Calibri"/>
                <w:b/>
                <w:color w:val="000000"/>
                <w:sz w:val="17"/>
              </w:rPr>
            </w:pPr>
            <w:r w:rsidRPr="00914B47">
              <w:rPr>
                <w:rFonts w:ascii="Calibri" w:hAnsi="Calibri" w:cs="Calibri"/>
                <w:b/>
                <w:color w:val="000000"/>
                <w:sz w:val="17"/>
              </w:rPr>
              <w:t>3.00%</w:t>
            </w:r>
          </w:p>
        </w:tc>
        <w:tc>
          <w:tcPr>
            <w:tcW w:w="1560" w:type="dxa"/>
          </w:tcPr>
          <w:p w14:paraId="09B8DEA0" w14:textId="468ACC69" w:rsidR="00D4666E" w:rsidRPr="00914B47" w:rsidRDefault="00D4666E" w:rsidP="00914B47">
            <w:pPr>
              <w:spacing w:line="200" w:lineRule="auto"/>
              <w:jc w:val="right"/>
              <w:rPr>
                <w:rFonts w:ascii="Calibri" w:hAnsi="Calibri" w:cs="Calibri"/>
                <w:b/>
                <w:color w:val="000000"/>
                <w:sz w:val="17"/>
              </w:rPr>
            </w:pPr>
            <w:r w:rsidRPr="00914B47">
              <w:rPr>
                <w:rFonts w:ascii="Calibri" w:hAnsi="Calibri" w:cs="Calibri"/>
                <w:b/>
                <w:color w:val="000000"/>
                <w:sz w:val="17"/>
              </w:rPr>
              <w:t>3.50%</w:t>
            </w:r>
          </w:p>
        </w:tc>
      </w:tr>
      <w:tr w:rsidR="00D4666E" w:rsidRPr="00D4666E" w14:paraId="63FE0191" w14:textId="77777777" w:rsidTr="00914B47">
        <w:tc>
          <w:tcPr>
            <w:tcW w:w="1400" w:type="dxa"/>
          </w:tcPr>
          <w:p w14:paraId="26C9E84B" w14:textId="55D0BCC6" w:rsidR="00D4666E" w:rsidRPr="00914B47" w:rsidRDefault="00D4666E" w:rsidP="00914B47">
            <w:pPr>
              <w:spacing w:line="200" w:lineRule="auto"/>
              <w:rPr>
                <w:rFonts w:ascii="Calibri" w:hAnsi="Calibri" w:cs="Calibri"/>
                <w:b/>
                <w:color w:val="000000"/>
                <w:sz w:val="17"/>
              </w:rPr>
            </w:pPr>
            <w:r w:rsidRPr="00914B47">
              <w:rPr>
                <w:rFonts w:ascii="Calibri" w:hAnsi="Calibri" w:cs="Calibri"/>
                <w:b/>
                <w:color w:val="000000"/>
                <w:sz w:val="17"/>
              </w:rPr>
              <w:t>13.56%</w:t>
            </w:r>
          </w:p>
        </w:tc>
        <w:tc>
          <w:tcPr>
            <w:tcW w:w="1560" w:type="dxa"/>
          </w:tcPr>
          <w:p w14:paraId="2AE15E30" w14:textId="43E6CF99"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5,432</w:t>
            </w:r>
          </w:p>
        </w:tc>
        <w:tc>
          <w:tcPr>
            <w:tcW w:w="1560" w:type="dxa"/>
          </w:tcPr>
          <w:p w14:paraId="22E72238" w14:textId="08B6E7FE"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5,728</w:t>
            </w:r>
          </w:p>
        </w:tc>
        <w:tc>
          <w:tcPr>
            <w:tcW w:w="1560" w:type="dxa"/>
          </w:tcPr>
          <w:p w14:paraId="18187C76" w14:textId="6BEEB2B8"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6,051</w:t>
            </w:r>
          </w:p>
        </w:tc>
        <w:tc>
          <w:tcPr>
            <w:tcW w:w="1560" w:type="dxa"/>
          </w:tcPr>
          <w:p w14:paraId="7E6B8498" w14:textId="3F4B2691"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6,404</w:t>
            </w:r>
          </w:p>
        </w:tc>
        <w:tc>
          <w:tcPr>
            <w:tcW w:w="1560" w:type="dxa"/>
          </w:tcPr>
          <w:p w14:paraId="7DCAB13A" w14:textId="41136DE7"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6,793</w:t>
            </w:r>
          </w:p>
        </w:tc>
      </w:tr>
      <w:tr w:rsidR="00D4666E" w:rsidRPr="00D4666E" w14:paraId="2A041BEC" w14:textId="77777777" w:rsidTr="00914B47">
        <w:tc>
          <w:tcPr>
            <w:tcW w:w="1400" w:type="dxa"/>
          </w:tcPr>
          <w:p w14:paraId="228F0F7D" w14:textId="216C1FF8" w:rsidR="00D4666E" w:rsidRPr="00914B47" w:rsidRDefault="00D4666E" w:rsidP="00914B47">
            <w:pPr>
              <w:spacing w:line="200" w:lineRule="auto"/>
              <w:rPr>
                <w:rFonts w:ascii="Calibri" w:hAnsi="Calibri" w:cs="Calibri"/>
                <w:b/>
                <w:color w:val="000000"/>
                <w:sz w:val="17"/>
              </w:rPr>
            </w:pPr>
            <w:r w:rsidRPr="00914B47">
              <w:rPr>
                <w:rFonts w:ascii="Calibri" w:hAnsi="Calibri" w:cs="Calibri"/>
                <w:b/>
                <w:color w:val="000000"/>
                <w:sz w:val="17"/>
              </w:rPr>
              <w:t>15.06%</w:t>
            </w:r>
          </w:p>
        </w:tc>
        <w:tc>
          <w:tcPr>
            <w:tcW w:w="1560" w:type="dxa"/>
          </w:tcPr>
          <w:p w14:paraId="6551F2E5" w14:textId="4C1339E5"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4,675</w:t>
            </w:r>
          </w:p>
        </w:tc>
        <w:tc>
          <w:tcPr>
            <w:tcW w:w="1560" w:type="dxa"/>
          </w:tcPr>
          <w:p w14:paraId="13E015C8" w14:textId="18A0E700"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4,908</w:t>
            </w:r>
          </w:p>
        </w:tc>
        <w:tc>
          <w:tcPr>
            <w:tcW w:w="1560" w:type="dxa"/>
          </w:tcPr>
          <w:p w14:paraId="16B0644A" w14:textId="6FCAB88C"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5,160</w:t>
            </w:r>
          </w:p>
        </w:tc>
        <w:tc>
          <w:tcPr>
            <w:tcW w:w="1560" w:type="dxa"/>
          </w:tcPr>
          <w:p w14:paraId="08041B11" w14:textId="4F16D2FC"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5,432</w:t>
            </w:r>
          </w:p>
        </w:tc>
        <w:tc>
          <w:tcPr>
            <w:tcW w:w="1560" w:type="dxa"/>
          </w:tcPr>
          <w:p w14:paraId="208F06C9" w14:textId="39A8FEC4"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5,728</w:t>
            </w:r>
          </w:p>
        </w:tc>
      </w:tr>
      <w:tr w:rsidR="00D4666E" w:rsidRPr="00D4666E" w14:paraId="75F57A0C" w14:textId="77777777" w:rsidTr="00914B47">
        <w:tc>
          <w:tcPr>
            <w:tcW w:w="1400" w:type="dxa"/>
          </w:tcPr>
          <w:p w14:paraId="7AAFEA79" w14:textId="23426A4A" w:rsidR="00D4666E" w:rsidRPr="00914B47" w:rsidRDefault="00D4666E" w:rsidP="00914B47">
            <w:pPr>
              <w:spacing w:line="200" w:lineRule="auto"/>
              <w:rPr>
                <w:rFonts w:ascii="Calibri" w:hAnsi="Calibri" w:cs="Calibri"/>
                <w:b/>
                <w:color w:val="000000"/>
                <w:sz w:val="17"/>
              </w:rPr>
            </w:pPr>
            <w:r w:rsidRPr="00914B47">
              <w:rPr>
                <w:rFonts w:ascii="Calibri" w:hAnsi="Calibri" w:cs="Calibri"/>
                <w:b/>
                <w:color w:val="000000"/>
                <w:sz w:val="17"/>
              </w:rPr>
              <w:t>16.56%</w:t>
            </w:r>
          </w:p>
        </w:tc>
        <w:tc>
          <w:tcPr>
            <w:tcW w:w="1560" w:type="dxa"/>
          </w:tcPr>
          <w:p w14:paraId="49C31792" w14:textId="45F45E7E"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4,069</w:t>
            </w:r>
          </w:p>
        </w:tc>
        <w:tc>
          <w:tcPr>
            <w:tcW w:w="1560" w:type="dxa"/>
          </w:tcPr>
          <w:p w14:paraId="5C6C205E" w14:textId="4AD9D7CC"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4,257</w:t>
            </w:r>
          </w:p>
        </w:tc>
        <w:tc>
          <w:tcPr>
            <w:tcW w:w="1560" w:type="dxa"/>
            <w:shd w:val="clear" w:color="FFF2CC" w:fill="FFF2CC"/>
          </w:tcPr>
          <w:p w14:paraId="3B22984E" w14:textId="223886A7" w:rsidR="00D4666E" w:rsidRPr="00914B47" w:rsidRDefault="00D4666E" w:rsidP="00914B47">
            <w:pPr>
              <w:spacing w:line="200" w:lineRule="auto"/>
              <w:jc w:val="right"/>
              <w:rPr>
                <w:rFonts w:ascii="Calibri" w:hAnsi="Calibri" w:cs="Calibri"/>
                <w:b/>
                <w:color w:val="000000"/>
                <w:sz w:val="17"/>
              </w:rPr>
            </w:pPr>
            <w:r w:rsidRPr="00914B47">
              <w:rPr>
                <w:rFonts w:ascii="Calibri" w:hAnsi="Calibri" w:cs="Calibri"/>
                <w:b/>
                <w:color w:val="000000"/>
                <w:sz w:val="17"/>
              </w:rPr>
              <w:t>4,459</w:t>
            </w:r>
          </w:p>
        </w:tc>
        <w:tc>
          <w:tcPr>
            <w:tcW w:w="1560" w:type="dxa"/>
          </w:tcPr>
          <w:p w14:paraId="3939C03A" w14:textId="6D926A77"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4,675</w:t>
            </w:r>
          </w:p>
        </w:tc>
        <w:tc>
          <w:tcPr>
            <w:tcW w:w="1560" w:type="dxa"/>
          </w:tcPr>
          <w:p w14:paraId="77904D61" w14:textId="250B411B"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4,908</w:t>
            </w:r>
          </w:p>
        </w:tc>
      </w:tr>
      <w:tr w:rsidR="00D4666E" w:rsidRPr="00D4666E" w14:paraId="0F0CBBC2" w14:textId="77777777" w:rsidTr="00914B47">
        <w:tc>
          <w:tcPr>
            <w:tcW w:w="1400" w:type="dxa"/>
          </w:tcPr>
          <w:p w14:paraId="65580948" w14:textId="3BCD759C" w:rsidR="00D4666E" w:rsidRPr="00914B47" w:rsidRDefault="00D4666E" w:rsidP="00914B47">
            <w:pPr>
              <w:spacing w:line="200" w:lineRule="auto"/>
              <w:rPr>
                <w:rFonts w:ascii="Calibri" w:hAnsi="Calibri" w:cs="Calibri"/>
                <w:b/>
                <w:color w:val="000000"/>
                <w:sz w:val="17"/>
              </w:rPr>
            </w:pPr>
            <w:r w:rsidRPr="00914B47">
              <w:rPr>
                <w:rFonts w:ascii="Calibri" w:hAnsi="Calibri" w:cs="Calibri"/>
                <w:b/>
                <w:color w:val="000000"/>
                <w:sz w:val="17"/>
              </w:rPr>
              <w:t>18.06%</w:t>
            </w:r>
          </w:p>
        </w:tc>
        <w:tc>
          <w:tcPr>
            <w:tcW w:w="1560" w:type="dxa"/>
          </w:tcPr>
          <w:p w14:paraId="7D68F0C9" w14:textId="5425C27A"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3,572</w:t>
            </w:r>
          </w:p>
        </w:tc>
        <w:tc>
          <w:tcPr>
            <w:tcW w:w="1560" w:type="dxa"/>
          </w:tcPr>
          <w:p w14:paraId="3DEA42DC" w14:textId="47A2B63C"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3,728</w:t>
            </w:r>
          </w:p>
        </w:tc>
        <w:tc>
          <w:tcPr>
            <w:tcW w:w="1560" w:type="dxa"/>
          </w:tcPr>
          <w:p w14:paraId="5F13C4DE" w14:textId="4835F590"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3,893</w:t>
            </w:r>
          </w:p>
        </w:tc>
        <w:tc>
          <w:tcPr>
            <w:tcW w:w="1560" w:type="dxa"/>
          </w:tcPr>
          <w:p w14:paraId="1474556A" w14:textId="591A6004"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4,069</w:t>
            </w:r>
          </w:p>
        </w:tc>
        <w:tc>
          <w:tcPr>
            <w:tcW w:w="1560" w:type="dxa"/>
          </w:tcPr>
          <w:p w14:paraId="4DFD720A" w14:textId="63E256F6"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4,257</w:t>
            </w:r>
          </w:p>
        </w:tc>
      </w:tr>
      <w:tr w:rsidR="00D4666E" w:rsidRPr="00D4666E" w14:paraId="7DC1A8FD" w14:textId="77777777" w:rsidTr="00914B47">
        <w:tc>
          <w:tcPr>
            <w:tcW w:w="1400" w:type="dxa"/>
          </w:tcPr>
          <w:p w14:paraId="768BB7F2" w14:textId="7D2F0F94" w:rsidR="00D4666E" w:rsidRPr="00914B47" w:rsidRDefault="00D4666E" w:rsidP="00914B47">
            <w:pPr>
              <w:spacing w:line="200" w:lineRule="auto"/>
              <w:rPr>
                <w:rFonts w:ascii="Calibri" w:hAnsi="Calibri" w:cs="Calibri"/>
                <w:b/>
                <w:color w:val="000000"/>
                <w:sz w:val="17"/>
              </w:rPr>
            </w:pPr>
            <w:r w:rsidRPr="00914B47">
              <w:rPr>
                <w:rFonts w:ascii="Calibri" w:hAnsi="Calibri" w:cs="Calibri"/>
                <w:b/>
                <w:color w:val="000000"/>
                <w:sz w:val="17"/>
              </w:rPr>
              <w:t>19.56%</w:t>
            </w:r>
          </w:p>
        </w:tc>
        <w:tc>
          <w:tcPr>
            <w:tcW w:w="1560" w:type="dxa"/>
          </w:tcPr>
          <w:p w14:paraId="691CC123" w14:textId="11759668"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3,159</w:t>
            </w:r>
          </w:p>
        </w:tc>
        <w:tc>
          <w:tcPr>
            <w:tcW w:w="1560" w:type="dxa"/>
          </w:tcPr>
          <w:p w14:paraId="0F2A503B" w14:textId="6717CE26"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3,289</w:t>
            </w:r>
          </w:p>
        </w:tc>
        <w:tc>
          <w:tcPr>
            <w:tcW w:w="1560" w:type="dxa"/>
          </w:tcPr>
          <w:p w14:paraId="6554AC37" w14:textId="174C74C1"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3,426</w:t>
            </w:r>
          </w:p>
        </w:tc>
        <w:tc>
          <w:tcPr>
            <w:tcW w:w="1560" w:type="dxa"/>
          </w:tcPr>
          <w:p w14:paraId="7C5FB070" w14:textId="6B27C7A2"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3,572</w:t>
            </w:r>
          </w:p>
        </w:tc>
        <w:tc>
          <w:tcPr>
            <w:tcW w:w="1560" w:type="dxa"/>
          </w:tcPr>
          <w:p w14:paraId="7E00BF8E" w14:textId="7022828B" w:rsidR="00D4666E" w:rsidRPr="00914B47" w:rsidRDefault="00D4666E" w:rsidP="00914B47">
            <w:pPr>
              <w:spacing w:line="200" w:lineRule="auto"/>
              <w:jc w:val="right"/>
              <w:rPr>
                <w:rFonts w:ascii="Calibri" w:hAnsi="Calibri" w:cs="Calibri"/>
                <w:color w:val="000000"/>
                <w:sz w:val="17"/>
              </w:rPr>
            </w:pPr>
            <w:r w:rsidRPr="00914B47">
              <w:rPr>
                <w:rFonts w:ascii="Calibri" w:hAnsi="Calibri" w:cs="Calibri"/>
                <w:color w:val="000000"/>
                <w:sz w:val="17"/>
              </w:rPr>
              <w:t>3,728</w:t>
            </w:r>
          </w:p>
        </w:tc>
      </w:tr>
    </w:tbl>
    <w:p w14:paraId="378E4970" w14:textId="77777777" w:rsidR="00D4666E" w:rsidRPr="00914B47" w:rsidRDefault="00D4666E" w:rsidP="00914B47">
      <w:pPr>
        <w:spacing w:after="0" w:line="120" w:lineRule="auto"/>
        <w:rPr>
          <w:rFonts w:ascii="Calibri" w:hAnsi="Calibri" w:cs="Calibri"/>
          <w:sz w:val="12"/>
        </w:rPr>
      </w:pPr>
    </w:p>
    <w:p w14:paraId="7A4FF092" w14:textId="343F8B47" w:rsidR="00D4666E" w:rsidRPr="00D4666E" w:rsidRDefault="00D4666E" w:rsidP="00D4666E">
      <w:pPr>
        <w:spacing w:before="80" w:after="60" w:line="220" w:lineRule="auto"/>
        <w:rPr>
          <w:rFonts w:ascii="Calibri" w:hAnsi="Calibri" w:cs="Calibri"/>
          <w:sz w:val="19"/>
        </w:rPr>
      </w:pPr>
      <w:r w:rsidRPr="00D4666E">
        <w:rPr>
          <w:rFonts w:ascii="Calibri" w:hAnsi="Calibri" w:cs="Calibri"/>
          <w:sz w:val="19"/>
        </w:rPr>
        <w:t xml:space="preserve">A 1.5 percentage point movement in the discount rate changes equity value by approximately </w:t>
      </w:r>
      <w:r w:rsidR="00437876" w:rsidRPr="00437876">
        <w:rPr>
          <w:rFonts w:ascii="Calibri" w:hAnsi="Calibri" w:cs="Calibri"/>
          <w:sz w:val="19"/>
        </w:rPr>
        <w:t>−13% to +16</w:t>
      </w:r>
      <w:r w:rsidRPr="00D4666E">
        <w:rPr>
          <w:rFonts w:ascii="Calibri" w:hAnsi="Calibri" w:cs="Calibri"/>
          <w:sz w:val="19"/>
        </w:rPr>
        <w:t>%. Since the company-specific risk premium is the most judgmental component of the discount rate, it is the single largest source of uncertainty in the conclusion.</w:t>
      </w:r>
    </w:p>
    <w:p w14:paraId="4B08F44C" w14:textId="3190DD1B" w:rsidR="00D4666E" w:rsidRPr="00437876" w:rsidRDefault="00D4666E" w:rsidP="00437876">
      <w:pPr>
        <w:pStyle w:val="Heading1"/>
      </w:pPr>
      <w:r w:rsidRPr="00437876">
        <w:lastRenderedPageBreak/>
        <w:t>8. SCOPE LIMITATIONS AND MATTERS NOT ADDRESSED</w:t>
      </w:r>
    </w:p>
    <w:p w14:paraId="2EE07982" w14:textId="11C0D730" w:rsidR="00D4666E" w:rsidRPr="00D4666E" w:rsidRDefault="00D4666E" w:rsidP="00D4666E">
      <w:pPr>
        <w:pStyle w:val="ListNumber"/>
        <w:spacing w:after="20" w:line="220" w:lineRule="auto"/>
        <w:rPr>
          <w:rFonts w:ascii="Calibri" w:hAnsi="Calibri" w:cs="Calibri"/>
          <w:sz w:val="19"/>
        </w:rPr>
      </w:pPr>
      <w:r w:rsidRPr="00D4666E">
        <w:rPr>
          <w:rFonts w:ascii="Calibri" w:hAnsi="Calibri" w:cs="Calibri"/>
          <w:sz w:val="19"/>
        </w:rPr>
        <w:t xml:space="preserve">Basis of interest valued. Value is stated on an </w:t>
      </w:r>
      <w:proofErr w:type="spellStart"/>
      <w:r w:rsidRPr="00D4666E">
        <w:rPr>
          <w:rFonts w:ascii="Calibri" w:hAnsi="Calibri" w:cs="Calibri"/>
          <w:sz w:val="19"/>
        </w:rPr>
        <w:t>en</w:t>
      </w:r>
      <w:proofErr w:type="spellEnd"/>
      <w:r w:rsidRPr="00D4666E">
        <w:rPr>
          <w:rFonts w:ascii="Calibri" w:hAnsi="Calibri" w:cs="Calibri"/>
          <w:sz w:val="19"/>
        </w:rPr>
        <w:t xml:space="preserve"> bloc controlling basis. A minority interest would attract a discount for lack of control and a discount for lack of marketability. Canadian practice generally applies a single composite minority discount rather than the two-stage approach used in some other jurisdictions. Neither discount has been quantified, as the engagement scope is a controlling interest.</w:t>
      </w:r>
    </w:p>
    <w:p w14:paraId="2F67C7C1" w14:textId="3B670005" w:rsidR="00D4666E" w:rsidRPr="00D4666E" w:rsidRDefault="00D4666E" w:rsidP="00D4666E">
      <w:pPr>
        <w:pStyle w:val="ListNumber"/>
        <w:spacing w:after="20" w:line="220" w:lineRule="auto"/>
        <w:rPr>
          <w:rFonts w:ascii="Calibri" w:hAnsi="Calibri" w:cs="Calibri"/>
          <w:sz w:val="19"/>
        </w:rPr>
      </w:pPr>
      <w:r w:rsidRPr="00D4666E">
        <w:rPr>
          <w:rFonts w:ascii="Calibri" w:hAnsi="Calibri" w:cs="Calibri"/>
          <w:sz w:val="19"/>
        </w:rPr>
        <w:t>Report level. This is a Calculation of Value. Procedures were limited. No site visit, no management interviews and no independent verification of the underlying accounting records were performed.</w:t>
      </w:r>
    </w:p>
    <w:p w14:paraId="2127852A" w14:textId="042C629F" w:rsidR="00D4666E" w:rsidRPr="00D4666E" w:rsidRDefault="00D4666E" w:rsidP="00D4666E">
      <w:pPr>
        <w:pStyle w:val="ListNumber"/>
        <w:spacing w:after="20" w:line="220" w:lineRule="auto"/>
        <w:rPr>
          <w:rFonts w:ascii="Calibri" w:hAnsi="Calibri" w:cs="Calibri"/>
          <w:sz w:val="19"/>
        </w:rPr>
      </w:pPr>
      <w:r w:rsidRPr="00D4666E">
        <w:rPr>
          <w:rFonts w:ascii="Calibri" w:hAnsi="Calibri" w:cs="Calibri"/>
          <w:sz w:val="19"/>
        </w:rPr>
        <w:t>Normalization adjustments. Market compensation and market rent have been assumed rather than supported by third-party compensation surveys or a rental appraisal. In an engagement of higher assurance these would be substantiated externally.</w:t>
      </w:r>
    </w:p>
    <w:p w14:paraId="0A112FEF" w14:textId="586A0C2B" w:rsidR="00D4666E" w:rsidRPr="00D4666E" w:rsidRDefault="00D4666E" w:rsidP="00D4666E">
      <w:pPr>
        <w:pStyle w:val="ListNumber"/>
        <w:spacing w:after="20" w:line="220" w:lineRule="auto"/>
        <w:rPr>
          <w:rFonts w:ascii="Calibri" w:hAnsi="Calibri" w:cs="Calibri"/>
          <w:sz w:val="19"/>
        </w:rPr>
      </w:pPr>
      <w:r w:rsidRPr="00D4666E">
        <w:rPr>
          <w:rFonts w:ascii="Calibri" w:hAnsi="Calibri" w:cs="Calibri"/>
          <w:sz w:val="19"/>
        </w:rPr>
        <w:t>Identification of adjustments. Adjustments were identified from the information provided. A full engagement would extend to scanning the general ledger for related-party and shareholder accounts, reviewing year-over-year account variances, and examining directors’ resolutions and shareholder loan activity.</w:t>
      </w:r>
    </w:p>
    <w:p w14:paraId="6C59DD84" w14:textId="4E941401" w:rsidR="00D4666E" w:rsidRPr="00D4666E" w:rsidRDefault="00D4666E" w:rsidP="00D4666E">
      <w:pPr>
        <w:pStyle w:val="ListNumber"/>
        <w:spacing w:after="20" w:line="220" w:lineRule="auto"/>
        <w:rPr>
          <w:rFonts w:ascii="Calibri" w:hAnsi="Calibri" w:cs="Calibri"/>
          <w:sz w:val="19"/>
        </w:rPr>
      </w:pPr>
      <w:r w:rsidRPr="00D4666E">
        <w:rPr>
          <w:rFonts w:ascii="Calibri" w:hAnsi="Calibri" w:cs="Calibri"/>
          <w:sz w:val="19"/>
        </w:rPr>
        <w:t>Risk premium inputs. Size and industry premiums follow published convention. The company-specific risk premium is judgmental and is the largest single source of value sensitivity.</w:t>
      </w:r>
    </w:p>
    <w:p w14:paraId="4C0F24FF" w14:textId="5249B094" w:rsidR="00D4666E" w:rsidRPr="00D4666E" w:rsidRDefault="00D4666E" w:rsidP="00D4666E">
      <w:pPr>
        <w:pStyle w:val="ListNumber"/>
        <w:spacing w:after="20" w:line="220" w:lineRule="auto"/>
        <w:rPr>
          <w:rFonts w:ascii="Calibri" w:hAnsi="Calibri" w:cs="Calibri"/>
          <w:sz w:val="19"/>
        </w:rPr>
      </w:pPr>
      <w:r w:rsidRPr="00D4666E">
        <w:rPr>
          <w:rFonts w:ascii="Calibri" w:hAnsi="Calibri" w:cs="Calibri"/>
          <w:sz w:val="19"/>
        </w:rPr>
        <w:t>Recurrence of relocation costs. Store relocation costs were incurred in both FY2024 and FY2025. For a nine-location operator with rolling lease expiries these may represent a normal cost of business rather than a non-recurring item. A more conservative treatment would retain them in maintainable earnings.</w:t>
      </w:r>
    </w:p>
    <w:p w14:paraId="7D81BDAA" w14:textId="75562CD9" w:rsidR="00D4666E" w:rsidRPr="00D4666E" w:rsidRDefault="00D4666E" w:rsidP="00D4666E">
      <w:pPr>
        <w:pStyle w:val="ListNumber"/>
        <w:spacing w:after="20" w:line="220" w:lineRule="auto"/>
        <w:rPr>
          <w:rFonts w:ascii="Calibri" w:hAnsi="Calibri" w:cs="Calibri"/>
          <w:sz w:val="19"/>
        </w:rPr>
      </w:pPr>
      <w:r w:rsidRPr="00D4666E">
        <w:rPr>
          <w:rFonts w:ascii="Calibri" w:hAnsi="Calibri" w:cs="Calibri"/>
          <w:sz w:val="19"/>
        </w:rPr>
        <w:t>Redundant assets. The shareholder-held real estate is outside the subject entity and has not been valued.</w:t>
      </w:r>
    </w:p>
    <w:p w14:paraId="4E211789" w14:textId="6690BEEE" w:rsidR="00D4666E" w:rsidRPr="00D4666E" w:rsidRDefault="00D4666E" w:rsidP="00D4666E">
      <w:pPr>
        <w:pStyle w:val="ListNumber"/>
        <w:spacing w:after="20" w:line="220" w:lineRule="auto"/>
        <w:rPr>
          <w:rFonts w:ascii="Calibri" w:hAnsi="Calibri" w:cs="Calibri"/>
          <w:sz w:val="19"/>
        </w:rPr>
      </w:pPr>
      <w:r w:rsidRPr="00D4666E">
        <w:rPr>
          <w:rFonts w:ascii="Calibri" w:hAnsi="Calibri" w:cs="Calibri"/>
          <w:sz w:val="19"/>
        </w:rPr>
        <w:t>Tax structuring. No consideration has been given to safe income, the capital dividend account, the lifetime capital gains exemption, or share-versus-asset sale structuring.</w:t>
      </w:r>
    </w:p>
    <w:p w14:paraId="743AD88A" w14:textId="0603780C" w:rsidR="00D4666E" w:rsidRPr="00914B47" w:rsidRDefault="00D4666E" w:rsidP="00914B47">
      <w:pPr>
        <w:spacing w:after="0" w:line="120" w:lineRule="auto"/>
        <w:rPr>
          <w:sz w:val="12"/>
        </w:rPr>
      </w:pPr>
    </w:p>
    <w:sectPr w:rsidR="00D4666E" w:rsidRPr="00914B47" w:rsidSect="00D4666E">
      <w:headerReference w:type="even" r:id="rId7"/>
      <w:headerReference w:type="default" r:id="rId8"/>
      <w:footerReference w:type="even" r:id="rId9"/>
      <w:footerReference w:type="default" r:id="rId10"/>
      <w:headerReference w:type="first" r:id="rId11"/>
      <w:footerReference w:type="first" r:id="rId12"/>
      <w:pgSz w:w="12240" w:h="15840"/>
      <w:pgMar w:top="900" w:right="1080" w:bottom="90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4D2FF" w14:textId="77777777" w:rsidR="00495940" w:rsidRDefault="00495940" w:rsidP="00D4666E">
      <w:pPr>
        <w:spacing w:after="0" w:line="240" w:lineRule="auto"/>
      </w:pPr>
      <w:r>
        <w:separator/>
      </w:r>
    </w:p>
  </w:endnote>
  <w:endnote w:type="continuationSeparator" w:id="0">
    <w:p w14:paraId="54B5DB83" w14:textId="77777777" w:rsidR="00495940" w:rsidRDefault="00495940" w:rsidP="00D466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9D4EB" w14:textId="77777777" w:rsidR="00D4666E" w:rsidRDefault="00D466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89CDB" w14:textId="77777777" w:rsidR="00D4666E" w:rsidRDefault="00D4666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90F95" w14:textId="77777777" w:rsidR="00D4666E" w:rsidRDefault="00D466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D9470A" w14:textId="77777777" w:rsidR="00495940" w:rsidRDefault="00495940" w:rsidP="00D4666E">
      <w:pPr>
        <w:spacing w:after="0" w:line="240" w:lineRule="auto"/>
      </w:pPr>
      <w:r>
        <w:separator/>
      </w:r>
    </w:p>
  </w:footnote>
  <w:footnote w:type="continuationSeparator" w:id="0">
    <w:p w14:paraId="4BA0F4E4" w14:textId="77777777" w:rsidR="00495940" w:rsidRDefault="00495940" w:rsidP="00D466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A95DE" w14:textId="77777777" w:rsidR="00D4666E" w:rsidRDefault="00D4666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E236A" w14:textId="77777777" w:rsidR="00D4666E" w:rsidRDefault="00D4666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55660" w14:textId="77777777" w:rsidR="00D4666E" w:rsidRDefault="00D466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5F7A5E36"/>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935254F4"/>
    <w:lvl w:ilvl="0">
      <w:start w:val="1"/>
      <w:numFmt w:val="bullet"/>
      <w:pStyle w:val="ListBullet"/>
      <w:lvlText w:val=""/>
      <w:lvlJc w:val="left"/>
      <w:pPr>
        <w:tabs>
          <w:tab w:val="num" w:pos="360"/>
        </w:tabs>
        <w:ind w:left="360" w:hanging="360"/>
      </w:pPr>
      <w:rPr>
        <w:rFonts w:ascii="Symbol" w:hAnsi="Symbol" w:hint="default"/>
      </w:rPr>
    </w:lvl>
  </w:abstractNum>
  <w:num w:numId="1" w16cid:durableId="2006547742">
    <w:abstractNumId w:val="1"/>
  </w:num>
  <w:num w:numId="2" w16cid:durableId="8324476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66E"/>
    <w:rsid w:val="00135F67"/>
    <w:rsid w:val="00355094"/>
    <w:rsid w:val="00437876"/>
    <w:rsid w:val="00495940"/>
    <w:rsid w:val="004A39F7"/>
    <w:rsid w:val="00727047"/>
    <w:rsid w:val="00794106"/>
    <w:rsid w:val="00914B47"/>
    <w:rsid w:val="00A87D21"/>
    <w:rsid w:val="00AF7A35"/>
    <w:rsid w:val="00B029F9"/>
    <w:rsid w:val="00B75CC8"/>
    <w:rsid w:val="00BC1E62"/>
    <w:rsid w:val="00C10F93"/>
    <w:rsid w:val="00D4666E"/>
    <w:rsid w:val="00D67161"/>
    <w:rsid w:val="00EA392A"/>
    <w:rsid w:val="00FB2D0F"/>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DB5BC"/>
  <w15:chartTrackingRefBased/>
  <w15:docId w15:val="{5FC91E45-86F3-4359-8A6D-CFB1873ED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666E"/>
    <w:pPr>
      <w:keepNext/>
      <w:keepLines/>
      <w:spacing w:before="120" w:after="60"/>
      <w:outlineLvl w:val="0"/>
    </w:pPr>
    <w:rPr>
      <w:rFonts w:ascii="Calibri" w:eastAsiaTheme="majorEastAsia" w:hAnsi="Calibri" w:cs="Calibri"/>
      <w:b/>
      <w:color w:val="1F3864"/>
      <w:sz w:val="22"/>
      <w:szCs w:val="40"/>
    </w:rPr>
  </w:style>
  <w:style w:type="paragraph" w:styleId="Heading2">
    <w:name w:val="heading 2"/>
    <w:basedOn w:val="Normal"/>
    <w:next w:val="Normal"/>
    <w:link w:val="Heading2Char"/>
    <w:uiPriority w:val="9"/>
    <w:semiHidden/>
    <w:unhideWhenUsed/>
    <w:qFormat/>
    <w:rsid w:val="00D466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66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66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66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66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66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66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66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666E"/>
    <w:rPr>
      <w:rFonts w:ascii="Calibri" w:eastAsiaTheme="majorEastAsia" w:hAnsi="Calibri" w:cs="Calibri"/>
      <w:b/>
      <w:color w:val="1F3864"/>
      <w:sz w:val="22"/>
      <w:szCs w:val="40"/>
    </w:rPr>
  </w:style>
  <w:style w:type="character" w:customStyle="1" w:styleId="Heading2Char">
    <w:name w:val="Heading 2 Char"/>
    <w:basedOn w:val="DefaultParagraphFont"/>
    <w:link w:val="Heading2"/>
    <w:uiPriority w:val="9"/>
    <w:semiHidden/>
    <w:rsid w:val="00D466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66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66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66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66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66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66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666E"/>
    <w:rPr>
      <w:rFonts w:eastAsiaTheme="majorEastAsia" w:cstheme="majorBidi"/>
      <w:color w:val="272727" w:themeColor="text1" w:themeTint="D8"/>
    </w:rPr>
  </w:style>
  <w:style w:type="paragraph" w:styleId="Title">
    <w:name w:val="Title"/>
    <w:basedOn w:val="Normal"/>
    <w:next w:val="Normal"/>
    <w:link w:val="TitleChar"/>
    <w:uiPriority w:val="10"/>
    <w:qFormat/>
    <w:rsid w:val="00D4666E"/>
    <w:pPr>
      <w:keepNext/>
      <w:spacing w:after="40" w:line="240" w:lineRule="auto"/>
      <w:contextualSpacing/>
      <w:jc w:val="center"/>
    </w:pPr>
    <w:rPr>
      <w:rFonts w:ascii="Calibri" w:eastAsiaTheme="majorEastAsia" w:hAnsi="Calibri" w:cs="Calibri"/>
      <w:b/>
      <w:color w:val="1F3864"/>
      <w:spacing w:val="-10"/>
      <w:kern w:val="28"/>
      <w:sz w:val="32"/>
      <w:szCs w:val="56"/>
    </w:rPr>
  </w:style>
  <w:style w:type="character" w:customStyle="1" w:styleId="TitleChar">
    <w:name w:val="Title Char"/>
    <w:basedOn w:val="DefaultParagraphFont"/>
    <w:link w:val="Title"/>
    <w:uiPriority w:val="10"/>
    <w:rsid w:val="00D4666E"/>
    <w:rPr>
      <w:rFonts w:ascii="Calibri" w:eastAsiaTheme="majorEastAsia" w:hAnsi="Calibri" w:cs="Calibri"/>
      <w:b/>
      <w:color w:val="1F3864"/>
      <w:spacing w:val="-10"/>
      <w:kern w:val="28"/>
      <w:sz w:val="32"/>
      <w:szCs w:val="56"/>
    </w:rPr>
  </w:style>
  <w:style w:type="paragraph" w:styleId="Subtitle">
    <w:name w:val="Subtitle"/>
    <w:basedOn w:val="Normal"/>
    <w:next w:val="Normal"/>
    <w:link w:val="SubtitleChar"/>
    <w:uiPriority w:val="11"/>
    <w:qFormat/>
    <w:rsid w:val="00D466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66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666E"/>
    <w:pPr>
      <w:spacing w:before="160"/>
      <w:jc w:val="center"/>
    </w:pPr>
    <w:rPr>
      <w:i/>
      <w:iCs/>
      <w:color w:val="404040" w:themeColor="text1" w:themeTint="BF"/>
    </w:rPr>
  </w:style>
  <w:style w:type="character" w:customStyle="1" w:styleId="QuoteChar">
    <w:name w:val="Quote Char"/>
    <w:basedOn w:val="DefaultParagraphFont"/>
    <w:link w:val="Quote"/>
    <w:uiPriority w:val="29"/>
    <w:rsid w:val="00D4666E"/>
    <w:rPr>
      <w:i/>
      <w:iCs/>
      <w:color w:val="404040" w:themeColor="text1" w:themeTint="BF"/>
    </w:rPr>
  </w:style>
  <w:style w:type="paragraph" w:styleId="ListParagraph">
    <w:name w:val="List Paragraph"/>
    <w:basedOn w:val="Normal"/>
    <w:uiPriority w:val="34"/>
    <w:qFormat/>
    <w:rsid w:val="00D4666E"/>
    <w:pPr>
      <w:ind w:left="720"/>
      <w:contextualSpacing/>
    </w:pPr>
  </w:style>
  <w:style w:type="character" w:styleId="IntenseEmphasis">
    <w:name w:val="Intense Emphasis"/>
    <w:basedOn w:val="DefaultParagraphFont"/>
    <w:uiPriority w:val="21"/>
    <w:qFormat/>
    <w:rsid w:val="00D4666E"/>
    <w:rPr>
      <w:i/>
      <w:iCs/>
      <w:color w:val="2F5496" w:themeColor="accent1" w:themeShade="BF"/>
    </w:rPr>
  </w:style>
  <w:style w:type="paragraph" w:styleId="IntenseQuote">
    <w:name w:val="Intense Quote"/>
    <w:basedOn w:val="Normal"/>
    <w:next w:val="Normal"/>
    <w:link w:val="IntenseQuoteChar"/>
    <w:uiPriority w:val="30"/>
    <w:qFormat/>
    <w:rsid w:val="00D466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666E"/>
    <w:rPr>
      <w:i/>
      <w:iCs/>
      <w:color w:val="2F5496" w:themeColor="accent1" w:themeShade="BF"/>
    </w:rPr>
  </w:style>
  <w:style w:type="character" w:styleId="IntenseReference">
    <w:name w:val="Intense Reference"/>
    <w:basedOn w:val="DefaultParagraphFont"/>
    <w:uiPriority w:val="32"/>
    <w:qFormat/>
    <w:rsid w:val="00D4666E"/>
    <w:rPr>
      <w:b/>
      <w:bCs/>
      <w:smallCaps/>
      <w:color w:val="2F5496" w:themeColor="accent1" w:themeShade="BF"/>
      <w:spacing w:val="5"/>
    </w:rPr>
  </w:style>
  <w:style w:type="paragraph" w:styleId="Header">
    <w:name w:val="header"/>
    <w:basedOn w:val="Normal"/>
    <w:link w:val="HeaderChar"/>
    <w:uiPriority w:val="99"/>
    <w:unhideWhenUsed/>
    <w:rsid w:val="00D466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666E"/>
  </w:style>
  <w:style w:type="paragraph" w:styleId="Footer">
    <w:name w:val="footer"/>
    <w:basedOn w:val="Normal"/>
    <w:link w:val="FooterChar"/>
    <w:uiPriority w:val="99"/>
    <w:unhideWhenUsed/>
    <w:rsid w:val="00D466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666E"/>
  </w:style>
  <w:style w:type="table" w:styleId="TableGrid">
    <w:name w:val="Table Grid"/>
    <w:basedOn w:val="TableNormal"/>
    <w:uiPriority w:val="39"/>
    <w:rsid w:val="00D466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D4666E"/>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ListBullet">
    <w:name w:val="List Bullet"/>
    <w:basedOn w:val="Normal"/>
    <w:uiPriority w:val="99"/>
    <w:unhideWhenUsed/>
    <w:rsid w:val="00D4666E"/>
    <w:pPr>
      <w:numPr>
        <w:numId w:val="1"/>
      </w:numPr>
      <w:contextualSpacing/>
    </w:pPr>
  </w:style>
  <w:style w:type="paragraph" w:styleId="ListNumber">
    <w:name w:val="List Number"/>
    <w:basedOn w:val="Normal"/>
    <w:uiPriority w:val="99"/>
    <w:unhideWhenUsed/>
    <w:rsid w:val="00D4666E"/>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18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F3FC844-4E9A-4AD4-8CF2-4A77B7881139}">
  <we:reference id="wa200010453" version="1.0.0.1" store="en-US" storeType="OMEX"/>
  <we:alternateReferences>
    <we:reference id="wa200010453" version="1.0.0.1" store="wa200010453" storeType="OMEX"/>
  </we:alternateReferences>
  <we:properties>
    <we:property name="claude.fileId" value="&quot;3cbd7878-d42a-4e9d-914f-efd9877cad26&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75</TotalTime>
  <Pages>4</Pages>
  <Words>2046</Words>
  <Characters>11807</Characters>
  <Application>Microsoft Office Word</Application>
  <DocSecurity>0</DocSecurity>
  <Lines>380</Lines>
  <Paragraphs>322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Austin Lee</dc:creator>
  <cp:keywords/>
  <dc:description/>
  <cp:lastModifiedBy>Austin Lee</cp:lastModifiedBy>
  <cp:revision>2</cp:revision>
  <cp:lastPrinted>2026-08-18T12:49:00Z</cp:lastPrinted>
  <dcterms:created xsi:type="dcterms:W3CDTF">2026-08-18T14:05:00Z</dcterms:created>
  <dcterms:modified xsi:type="dcterms:W3CDTF">2026-08-18T14:05:00Z</dcterms:modified>
</cp:coreProperties>
</file>