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9338EB">
        <w:trPr>
          <w:trHeight w:hRule="exact" w:val="590"/>
        </w:trPr>
        <w:tc>
          <w:tcPr>
            <w:tcW w:w="9490" w:type="dxa"/>
            <w:vAlign w:val="center"/>
          </w:tcPr>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0" w:name="_Toc467046352"/>
                                  <w:bookmarkStart w:id="1" w:name="_Toc514761889"/>
                                  <w:bookmarkStart w:id="2" w:name="_Toc11834254"/>
                                  <w:r>
                                    <w:t>Income Capitalization Approach</w:t>
                                  </w:r>
                                  <w:bookmarkEnd w:id="0"/>
                                  <w:bookmarkEnd w:id="1"/>
                                  <w:bookmarkEnd w:id="2"/>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3" w:name="_Toc467046352"/>
                            <w:bookmarkStart w:id="4" w:name="_Toc514761889"/>
                            <w:bookmarkStart w:id="5" w:name="_Toc11834254"/>
                            <w:r>
                              <w:t>Income Capitalization Approach</w:t>
                            </w:r>
                            <w:bookmarkEnd w:id="3"/>
                            <w:bookmarkEnd w:id="4"/>
                            <w:bookmarkEnd w:id="5"/>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0BF546B4"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Methodology</w:t>
      </w:r>
    </w:p>
    <w:p w14:paraId="5BA61A6A" w14:textId="473A4AAD" w:rsidR="005A24B3" w:rsidRPr="00087E8D" w:rsidRDefault="005A24B3" w:rsidP="005A24B3">
      <w:pPr>
        <w:rPr>
          <w:rFonts w:cs="Arial"/>
          <w:szCs w:val="22"/>
        </w:rPr>
      </w:pPr>
      <w:r w:rsidRPr="00087E8D">
        <w:rPr>
          <w:rFonts w:cs="Arial"/>
          <w:szCs w:val="22"/>
        </w:rPr>
        <w:t xml:space="preserve">The market valuation of the subject property is summarized in this section via the </w:t>
      </w:r>
      <w:r w:rsidRPr="00087E8D">
        <w:rPr>
          <w:rFonts w:cs="Arial"/>
          <w:b/>
          <w:szCs w:val="22"/>
        </w:rPr>
        <w:t>Direct Capitalization Method</w:t>
      </w:r>
      <w:r w:rsidRPr="00087E8D">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0E504919" w14:textId="77777777" w:rsidR="005A24B3" w:rsidRPr="00087E8D"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Potential Gross Rental Income</w:t>
      </w:r>
    </w:p>
    <w:p w14:paraId="3ABA83BA" w14:textId="2BE672FE" w:rsidR="005A24B3" w:rsidRPr="00A219FB" w:rsidRDefault="005A24B3" w:rsidP="005A24B3">
      <w:pPr>
        <w:rPr>
          <w:rFonts w:cs="Arial"/>
          <w:szCs w:val="22"/>
        </w:rPr>
      </w:pPr>
      <w:r w:rsidRPr="00087E8D">
        <w:rPr>
          <w:rFonts w:cs="Arial"/>
          <w:szCs w:val="22"/>
        </w:rPr>
        <w:t xml:space="preserve">The first step in the Income Approach is to estimate the subject's potential gross income, which reflects </w:t>
      </w:r>
      <w:r w:rsidRPr="00A219FB">
        <w:rPr>
          <w:rFonts w:cs="Arial"/>
          <w:szCs w:val="22"/>
        </w:rPr>
        <w:t xml:space="preserve">its market rent if currently leased in the marketplace. The analysis is conducted on the basis of a monthly dollar per square foot rental, which is then applied to the gross leasable area (GLA) of the property. Hence, we have anticipated that all future rent for the subject would be payable on this basis. </w:t>
      </w:r>
    </w:p>
    <w:p w14:paraId="35D81EEB" w14:textId="77777777" w:rsidR="00A219FB" w:rsidRPr="00A219FB" w:rsidRDefault="00A219FB" w:rsidP="005A24B3">
      <w:pPr>
        <w:rPr>
          <w:rFonts w:cs="Arial"/>
          <w:szCs w:val="22"/>
        </w:rPr>
      </w:pPr>
      <w:bookmarkStart w:id="3" w:name="_Hlk41200879"/>
    </w:p>
    <w:p w14:paraId="0F5ECDA1" w14:textId="7884A123" w:rsidR="00600D1B" w:rsidRPr="00087E8D" w:rsidRDefault="00600D1B" w:rsidP="005A24B3">
      <w:pPr>
        <w:rPr>
          <w:rFonts w:cs="Arial"/>
          <w:szCs w:val="22"/>
        </w:rPr>
      </w:pPr>
      <w:r w:rsidRPr="00A219FB">
        <w:rPr>
          <w:rFonts w:cs="Arial"/>
          <w:szCs w:val="22"/>
        </w:rPr>
        <w:t xml:space="preserve">A review of current subject market trends indicates that </w:t>
      </w:r>
      <w:r w:rsidR="000972F8" w:rsidRPr="00F823F7">
        <w:rPr>
          <w:rFonts w:cs="Arial"/>
          <w:szCs w:val="22"/>
        </w:rPr>
        <w:t>typical</w:t>
      </w:r>
      <w:r w:rsidR="000972F8">
        <w:rPr>
          <w:rFonts w:cs="Arial"/>
          <w:szCs w:val="22"/>
        </w:rPr>
        <w:t xml:space="preserve"> multi-tenant industrial</w:t>
      </w:r>
      <w:r w:rsidR="000972F8" w:rsidRPr="00F823F7">
        <w:rPr>
          <w:rFonts w:cs="Arial"/>
          <w:szCs w:val="22"/>
        </w:rPr>
        <w:t xml:space="preserve"> leases </w:t>
      </w:r>
      <w:r w:rsidR="00A219FB">
        <w:rPr>
          <w:rFonts w:cs="Arial"/>
          <w:szCs w:val="22"/>
        </w:rPr>
        <w:t>for newer industrial properties</w:t>
      </w:r>
      <w:r w:rsidR="00A219FB" w:rsidRPr="00A219FB">
        <w:rPr>
          <w:rFonts w:cs="Arial"/>
          <w:szCs w:val="22"/>
        </w:rPr>
        <w:t xml:space="preserve"> </w:t>
      </w:r>
      <w:r w:rsidRPr="00A219FB">
        <w:rPr>
          <w:rFonts w:cs="Arial"/>
          <w:szCs w:val="22"/>
        </w:rPr>
        <w:t xml:space="preserve">in the subject market area are written on </w:t>
      </w:r>
      <w:r w:rsidR="00A219FB" w:rsidRPr="00A219FB">
        <w:rPr>
          <w:rFonts w:cs="Arial"/>
          <w:bCs/>
          <w:szCs w:val="22"/>
        </w:rPr>
        <w:t xml:space="preserve">an </w:t>
      </w:r>
      <w:r w:rsidR="00A219FB">
        <w:rPr>
          <w:rFonts w:cs="Arial"/>
          <w:b/>
          <w:szCs w:val="22"/>
        </w:rPr>
        <w:t>absolute t</w:t>
      </w:r>
      <w:r w:rsidRPr="00A219FB">
        <w:rPr>
          <w:rFonts w:cs="Arial"/>
          <w:b/>
          <w:szCs w:val="22"/>
        </w:rPr>
        <w:t xml:space="preserve">riple net </w:t>
      </w:r>
      <w:r w:rsidRPr="00A219FB">
        <w:rPr>
          <w:rFonts w:cs="Arial"/>
          <w:szCs w:val="22"/>
        </w:rPr>
        <w:t>rental basis.</w:t>
      </w:r>
      <w:r w:rsidR="00A219FB">
        <w:rPr>
          <w:rFonts w:cs="Arial"/>
          <w:szCs w:val="22"/>
        </w:rPr>
        <w:t xml:space="preserve"> Such t</w:t>
      </w:r>
      <w:r w:rsidRPr="00A219FB">
        <w:rPr>
          <w:rFonts w:cs="Arial"/>
          <w:szCs w:val="22"/>
        </w:rPr>
        <w:t xml:space="preserve">riple net tenant rents include </w:t>
      </w:r>
      <w:r w:rsidR="00A219FB">
        <w:rPr>
          <w:rFonts w:cs="Arial"/>
          <w:szCs w:val="22"/>
        </w:rPr>
        <w:t xml:space="preserve">not </w:t>
      </w:r>
      <w:r w:rsidRPr="00A219FB">
        <w:rPr>
          <w:rFonts w:cs="Arial"/>
          <w:szCs w:val="22"/>
        </w:rPr>
        <w:t xml:space="preserve">only the net base rent, with the tenant typically </w:t>
      </w:r>
      <w:r w:rsidR="00A219FB">
        <w:rPr>
          <w:rFonts w:cs="Arial"/>
          <w:szCs w:val="22"/>
        </w:rPr>
        <w:t xml:space="preserve">also </w:t>
      </w:r>
      <w:r w:rsidRPr="00A219FB">
        <w:rPr>
          <w:rFonts w:cs="Arial"/>
          <w:szCs w:val="22"/>
        </w:rPr>
        <w:t>responsible for all building operating expenses (</w:t>
      </w:r>
      <w:r w:rsidR="00A219FB" w:rsidRPr="00F823F7">
        <w:rPr>
          <w:rFonts w:cs="Arial"/>
          <w:szCs w:val="22"/>
        </w:rPr>
        <w:t>(</w:t>
      </w:r>
      <w:sdt>
        <w:sdtPr>
          <w:rPr>
            <w:highlight w:val="green"/>
          </w:rPr>
          <w:alias w:val="Including or Excluding"/>
          <w:tag w:val="Including or Excluding"/>
          <w:id w:val="-385188248"/>
          <w:placeholder>
            <w:docPart w:val="B774326D833B489AB495B6F36B16526C"/>
          </w:placeholder>
          <w:dropDownList>
            <w:listItem w:value="Choose an item."/>
            <w:listItem w:displayText="excluding" w:value="excluding"/>
            <w:listItem w:displayText="including" w:value="including"/>
          </w:dropDownList>
        </w:sdtPr>
        <w:sdtEndPr/>
        <w:sdtContent>
          <w:r w:rsidR="00A219FB">
            <w:rPr>
              <w:highlight w:val="green"/>
            </w:rPr>
            <w:t>including</w:t>
          </w:r>
        </w:sdtContent>
      </w:sdt>
      <w:r w:rsidR="00A219FB" w:rsidRPr="00F823F7">
        <w:rPr>
          <w:rFonts w:cs="Arial"/>
          <w:szCs w:val="22"/>
        </w:rPr>
        <w:t xml:space="preserve"> </w:t>
      </w:r>
      <w:r w:rsidR="00A219FB" w:rsidRPr="00E14FDB">
        <w:t>manage</w:t>
      </w:r>
      <w:r w:rsidR="00A219FB">
        <w:t>m</w:t>
      </w:r>
      <w:r w:rsidR="00A219FB" w:rsidRPr="00E14FDB">
        <w:t>ent fees and reserves for capital expenditures</w:t>
      </w:r>
      <w:r w:rsidR="00A219FB" w:rsidRPr="00F823F7">
        <w:rPr>
          <w:rFonts w:cs="Arial"/>
          <w:szCs w:val="22"/>
        </w:rPr>
        <w:t>).</w:t>
      </w:r>
      <w:r w:rsidR="00A219FB">
        <w:rPr>
          <w:rFonts w:cs="Arial"/>
          <w:szCs w:val="22"/>
        </w:rPr>
        <w:t xml:space="preserve"> </w:t>
      </w:r>
      <w:r w:rsidRPr="00A219FB">
        <w:rPr>
          <w:rFonts w:cs="Arial"/>
          <w:szCs w:val="22"/>
        </w:rPr>
        <w:t>Hence, we have anticipated that all future rent for the subject would be payable on this basis.</w:t>
      </w:r>
      <w:r w:rsidRPr="000754FA">
        <w:rPr>
          <w:rFonts w:cs="Arial"/>
          <w:szCs w:val="22"/>
        </w:rPr>
        <w:t xml:space="preserve"> </w:t>
      </w:r>
    </w:p>
    <w:bookmarkEnd w:id="3"/>
    <w:p w14:paraId="205C4B17" w14:textId="77777777" w:rsidR="005A24B3" w:rsidRPr="00B323A6" w:rsidRDefault="005A24B3" w:rsidP="005A24B3">
      <w:pPr>
        <w:pStyle w:val="Heading20"/>
        <w:rPr>
          <w:rFonts w:asciiTheme="minorHAnsi" w:hAnsiTheme="minorHAnsi" w:cs="Arial"/>
          <w:b w:val="0"/>
          <w:color w:val="1E4959"/>
          <w:spacing w:val="0"/>
          <w:kern w:val="20"/>
          <w:sz w:val="28"/>
          <w:szCs w:val="22"/>
        </w:rPr>
      </w:pPr>
      <w:r w:rsidRPr="00087E8D">
        <w:rPr>
          <w:rFonts w:asciiTheme="minorHAnsi" w:hAnsiTheme="minorHAnsi" w:cs="Arial"/>
          <w:b w:val="0"/>
          <w:color w:val="1E4959"/>
          <w:spacing w:val="0"/>
          <w:kern w:val="20"/>
          <w:sz w:val="28"/>
          <w:szCs w:val="22"/>
        </w:rPr>
        <w:t>Comparable Rent Analysis</w:t>
      </w:r>
    </w:p>
    <w:p w14:paraId="0FB98700" w14:textId="2B9F1529" w:rsidR="005A24B3" w:rsidRPr="00B323A6" w:rsidRDefault="005A24B3" w:rsidP="005A24B3">
      <w:pPr>
        <w:widowControl w:val="0"/>
        <w:rPr>
          <w:rFonts w:cs="Arial"/>
          <w:szCs w:val="22"/>
        </w:rPr>
      </w:pPr>
      <w:bookmarkStart w:id="4" w:name="_Hlk41136440"/>
      <w:r w:rsidRPr="00B323A6">
        <w:rPr>
          <w:rFonts w:cs="Arial"/>
          <w:szCs w:val="22"/>
        </w:rPr>
        <w:t>In order to estimate the current market rent for the subject</w:t>
      </w:r>
      <w:r>
        <w:rPr>
          <w:rFonts w:cs="Arial"/>
          <w:szCs w:val="22"/>
        </w:rPr>
        <w:t xml:space="preserve"> industrial</w:t>
      </w:r>
      <w:r w:rsidRPr="00B323A6">
        <w:rPr>
          <w:rFonts w:cs="Arial"/>
          <w:szCs w:val="22"/>
        </w:rPr>
        <w:t xml:space="preserve"> property, we conducted a survey of reasonably comparable tenant leases </w:t>
      </w:r>
      <w:r w:rsidRPr="00BA4BC4">
        <w:rPr>
          <w:rFonts w:cs="Arial"/>
          <w:szCs w:val="22"/>
        </w:rPr>
        <w:t xml:space="preserve">of </w:t>
      </w:r>
      <w:r>
        <w:rPr>
          <w:rFonts w:cs="Arial"/>
          <w:szCs w:val="22"/>
        </w:rPr>
        <w:t xml:space="preserve">industrial </w:t>
      </w:r>
      <w:r w:rsidRPr="00BA4BC4">
        <w:rPr>
          <w:rFonts w:cs="Arial"/>
          <w:szCs w:val="22"/>
        </w:rPr>
        <w:t>buildings</w:t>
      </w:r>
      <w:r w:rsidRPr="00B323A6">
        <w:rPr>
          <w:rFonts w:cs="Arial"/>
          <w:szCs w:val="22"/>
        </w:rPr>
        <w:t xml:space="preserve"> located in </w:t>
      </w:r>
      <w:r w:rsidRPr="00600D1B">
        <w:rPr>
          <w:rFonts w:cs="Arial"/>
          <w:szCs w:val="22"/>
          <w:highlight w:val="yellow"/>
        </w:rPr>
        <w:t xml:space="preserve">the </w:t>
      </w:r>
      <w:sdt>
        <w:sdtPr>
          <w:rPr>
            <w:rFonts w:cs="Arial"/>
            <w:szCs w:val="22"/>
            <w:highlight w:val="green"/>
          </w:rPr>
          <w:alias w:val="Location"/>
          <w:tag w:val="Location"/>
          <w:id w:val="-668336917"/>
          <w:placeholder>
            <w:docPart w:val="DefaultPlaceholder_-1854013438"/>
          </w:placeholder>
          <w:dropDownList>
            <w:listItem w:value="Choose an item."/>
            <w:listItem w:displayText="local" w:value="local"/>
            <w:listItem w:displayText="immediate to expanded" w:value="immediate to expanded"/>
            <w:listItem w:displayText="competitive" w:value="competitive"/>
          </w:dropDownList>
        </w:sdtPr>
        <w:sdtEndPr/>
        <w:sdtContent>
          <w:r w:rsidR="00447014">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The result of this survey is summarized on the</w:t>
      </w:r>
      <w:r w:rsidR="001F5F7E" w:rsidRPr="001F5F7E">
        <w:rPr>
          <w:rFonts w:cs="Arial"/>
          <w:szCs w:val="22"/>
        </w:rPr>
        <w:t xml:space="preserve"> </w:t>
      </w:r>
      <w:r w:rsidR="001F5F7E">
        <w:rPr>
          <w:rFonts w:cs="Arial"/>
          <w:szCs w:val="22"/>
        </w:rPr>
        <w:t>following</w:t>
      </w:r>
      <w:r w:rsidR="001F5F7E" w:rsidRPr="00B323A6">
        <w:rPr>
          <w:rFonts w:cs="Arial"/>
          <w:szCs w:val="22"/>
        </w:rPr>
        <w:t xml:space="preserve"> </w:t>
      </w:r>
      <w:r w:rsidRPr="00B323A6">
        <w:rPr>
          <w:rFonts w:cs="Arial"/>
          <w:szCs w:val="22"/>
        </w:rPr>
        <w:t>pages, along with a location map and photographs of the buildings relating to each lease comparable.</w:t>
      </w:r>
    </w:p>
    <w:bookmarkEnd w:id="4"/>
    <w:p w14:paraId="5B7CD614"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B323A6">
        <w:rPr>
          <w:rFonts w:eastAsiaTheme="majorEastAsia" w:cs="Arial"/>
          <w:color w:val="1E4959"/>
          <w:sz w:val="24"/>
          <w:szCs w:val="22"/>
          <w:u w:val="single"/>
        </w:rPr>
        <w:t>Rental Adjustments</w:t>
      </w:r>
    </w:p>
    <w:p w14:paraId="5F2D9741" w14:textId="77777777" w:rsidR="005A24B3" w:rsidRDefault="005A24B3" w:rsidP="005A24B3">
      <w:pPr>
        <w:rPr>
          <w:rFonts w:cs="Arial"/>
          <w:szCs w:val="22"/>
        </w:rPr>
      </w:pPr>
      <w:r w:rsidRPr="00AA44C4">
        <w:rPr>
          <w:rFonts w:cs="Arial"/>
          <w:szCs w:val="22"/>
        </w:rPr>
        <w:t>Depending on market conditions, free rent,</w:t>
      </w:r>
      <w:r>
        <w:rPr>
          <w:rFonts w:cs="Arial"/>
          <w:szCs w:val="22"/>
        </w:rPr>
        <w:t xml:space="preserve"> </w:t>
      </w:r>
      <w:r w:rsidRPr="00AA44C4">
        <w:rPr>
          <w:rFonts w:cs="Arial"/>
          <w:szCs w:val="22"/>
        </w:rPr>
        <w:t xml:space="preserve">or other incentives are used to attract tenants. When applicable, the comparable rents are adjusted to reflect current market terms with </w:t>
      </w:r>
      <w:r w:rsidRPr="00BA6391">
        <w:rPr>
          <w:rFonts w:cs="Arial"/>
          <w:szCs w:val="22"/>
        </w:rPr>
        <w:t xml:space="preserve">an effective rent to the property owner. </w:t>
      </w:r>
      <w:r>
        <w:rPr>
          <w:rFonts w:cs="Arial"/>
          <w:szCs w:val="22"/>
        </w:rPr>
        <w:t xml:space="preserve"> </w:t>
      </w:r>
    </w:p>
    <w:p w14:paraId="73107838" w14:textId="77777777" w:rsidR="005A24B3" w:rsidRPr="000754FA" w:rsidRDefault="005A24B3" w:rsidP="005A24B3">
      <w:pPr>
        <w:rPr>
          <w:rFonts w:cs="Arial"/>
          <w:szCs w:val="22"/>
        </w:rPr>
      </w:pP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25F7E79C" w14:textId="77777777" w:rsidR="005A24B3" w:rsidRDefault="00B46DD4" w:rsidP="005A24B3">
      <w:pPr>
        <w:ind w:left="-720"/>
        <w:jc w:val="center"/>
        <w:rPr>
          <w:noProof/>
        </w:rPr>
        <w:sectPr w:rsidR="005A24B3" w:rsidSect="00AD7FDD">
          <w:pgSz w:w="12240" w:h="15840"/>
          <w:pgMar w:top="1440" w:right="1440" w:bottom="720" w:left="1440" w:header="720" w:footer="720" w:gutter="0"/>
          <w:cols w:space="720"/>
          <w:vAlign w:val="center"/>
          <w:docGrid w:linePitch="360"/>
        </w:sectPr>
      </w:pPr>
      <w:r w:rsidRPr="00B46DD4">
        <w:rPr>
          <w:noProof/>
        </w:rPr>
        <w:lastRenderedPageBreak/>
        <w:drawing>
          <wp:inline distT="0" distB="0" distL="0" distR="0" wp14:anchorId="49EA8B1E" wp14:editId="45E7E6DF">
            <wp:extent cx="6863859" cy="5306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057" cy="531185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p w14:paraId="327D175A" w14:textId="77777777" w:rsidR="005A24B3" w:rsidRDefault="005A24B3" w:rsidP="005A24B3">
      <w:pPr>
        <w:ind w:left="-720"/>
        <w:jc w:val="center"/>
        <w:sectPr w:rsidR="005A24B3" w:rsidSect="00AD7FDD">
          <w:pgSz w:w="12240" w:h="15840"/>
          <w:pgMar w:top="1440" w:right="1440" w:bottom="720" w:left="1440" w:header="720" w:footer="720" w:gutter="0"/>
          <w:cols w:space="720"/>
          <w:vAlign w:val="center"/>
          <w:docGrid w:linePitch="360"/>
        </w:sectPr>
      </w:pPr>
      <w:r w:rsidRPr="00117877">
        <w:lastRenderedPageBreak/>
        <w:t xml:space="preserve"> </w:t>
      </w:r>
      <w:r w:rsidR="00B46DD4" w:rsidRPr="00B46DD4">
        <w:rPr>
          <w:noProof/>
        </w:rPr>
        <w:drawing>
          <wp:inline distT="0" distB="0" distL="0" distR="0" wp14:anchorId="6C90E535" wp14:editId="0DB60730">
            <wp:extent cx="6834628" cy="527858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9991" cy="5282724"/>
                    </a:xfrm>
                    <a:prstGeom prst="rect">
                      <a:avLst/>
                    </a:prstGeom>
                    <a:noFill/>
                    <a:ln>
                      <a:noFill/>
                    </a:ln>
                  </pic:spPr>
                </pic:pic>
              </a:graphicData>
            </a:graphic>
          </wp:inline>
        </w:drawing>
      </w:r>
      <w:r w:rsidRPr="007D705F">
        <w:t xml:space="preserve"> </w:t>
      </w:r>
      <w:r w:rsidRPr="005C00A7">
        <w:t xml:space="preserve"> </w:t>
      </w:r>
      <w:r w:rsidRPr="00034A44">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08544F">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4D08C3">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09EA56F5"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Comparable Rent Analysis</w:t>
      </w:r>
    </w:p>
    <w:p w14:paraId="7E16A22F" w14:textId="77777777" w:rsidR="005A24B3" w:rsidRDefault="005A24B3" w:rsidP="005A24B3">
      <w:pPr>
        <w:widowControl w:val="0"/>
        <w:rPr>
          <w:rFonts w:cs="Arial"/>
          <w:szCs w:val="22"/>
        </w:rPr>
      </w:pPr>
      <w:r w:rsidRPr="004A610D">
        <w:rPr>
          <w:rFonts w:cs="Arial"/>
          <w:szCs w:val="22"/>
        </w:rPr>
        <w:t xml:space="preserve">Industrial lease rates in the area are typically segmented between rents for the building shell and a surcharge for the interior office build-out, which together, form a blended or effective rental rate. For ease of comparison, our analysis of the subject will be segmented between analyses of the </w:t>
      </w:r>
      <w:r w:rsidRPr="004A610D">
        <w:rPr>
          <w:rFonts w:cs="Arial"/>
          <w:szCs w:val="22"/>
          <w:u w:val="single"/>
        </w:rPr>
        <w:t>shell and office surcharge rent</w:t>
      </w:r>
      <w:r w:rsidRPr="004A610D">
        <w:rPr>
          <w:rFonts w:cs="Arial"/>
          <w:szCs w:val="22"/>
        </w:rPr>
        <w:t xml:space="preserve"> for each area. An analysis of the office build-out surcharge rent will follow the shell rent analysis.</w:t>
      </w:r>
    </w:p>
    <w:p w14:paraId="4558D338" w14:textId="77777777" w:rsidR="005A24B3" w:rsidRPr="004E1CD2" w:rsidRDefault="005A24B3" w:rsidP="005A24B3">
      <w:pPr>
        <w:widowControl w:val="0"/>
        <w:rPr>
          <w:rFonts w:cs="Arial"/>
          <w:szCs w:val="22"/>
        </w:rPr>
      </w:pPr>
    </w:p>
    <w:p w14:paraId="7BABE5C7" w14:textId="77777777" w:rsidR="005A24B3" w:rsidRDefault="005A24B3" w:rsidP="005A24B3">
      <w:pPr>
        <w:widowControl w:val="0"/>
        <w:rPr>
          <w:rFonts w:cs="Arial"/>
          <w:szCs w:val="22"/>
        </w:rPr>
      </w:pPr>
      <w:r w:rsidRPr="00A617DD">
        <w:rPr>
          <w:rFonts w:cs="Arial"/>
          <w:szCs w:val="22"/>
        </w:rPr>
        <w:t xml:space="preserve">From our rental survey we selected leases of industrial building space most similar to the subject property.  The leases commenced between </w:t>
      </w:r>
      <w:r w:rsidR="00B46DD4" w:rsidRPr="00B46DD4">
        <w:rPr>
          <w:rFonts w:cs="Arial"/>
          <w:szCs w:val="22"/>
          <w:highlight w:val="yellow"/>
        </w:rPr>
        <w:t>_______</w:t>
      </w:r>
      <w:r w:rsidRPr="00B46DD4">
        <w:rPr>
          <w:rFonts w:cs="Arial"/>
          <w:szCs w:val="22"/>
          <w:highlight w:val="yellow"/>
        </w:rPr>
        <w:t xml:space="preserve"> 2018 and an </w:t>
      </w:r>
      <w:r w:rsidR="00B46DD4" w:rsidRPr="00B46DD4">
        <w:rPr>
          <w:rFonts w:cs="Arial"/>
          <w:szCs w:val="22"/>
          <w:highlight w:val="yellow"/>
        </w:rPr>
        <w:t>_____________</w:t>
      </w:r>
      <w:r w:rsidRPr="00B46DD4">
        <w:rPr>
          <w:rFonts w:cs="Arial"/>
          <w:szCs w:val="22"/>
          <w:highlight w:val="yellow"/>
        </w:rPr>
        <w:t xml:space="preserve"> 2020</w:t>
      </w:r>
      <w:r w:rsidRPr="00A617DD">
        <w:rPr>
          <w:rFonts w:cs="Arial"/>
          <w:szCs w:val="22"/>
        </w:rPr>
        <w:t xml:space="preserve">. The comparables provide a reasonable basis for concluding a market rent for the subject property. The leased space ranges from </w:t>
      </w:r>
      <w:r w:rsidR="00B46DD4" w:rsidRPr="00B46DD4">
        <w:rPr>
          <w:rFonts w:cs="Arial"/>
          <w:szCs w:val="22"/>
          <w:highlight w:val="yellow"/>
        </w:rPr>
        <w:t>___________</w:t>
      </w:r>
      <w:r w:rsidRPr="00B46DD4">
        <w:rPr>
          <w:rFonts w:cs="Arial"/>
          <w:szCs w:val="22"/>
          <w:highlight w:val="yellow"/>
        </w:rPr>
        <w:t xml:space="preserve"> SF to </w:t>
      </w:r>
      <w:r w:rsidR="00B46DD4" w:rsidRPr="00B46DD4">
        <w:rPr>
          <w:rFonts w:cs="Arial"/>
          <w:szCs w:val="22"/>
          <w:highlight w:val="yellow"/>
        </w:rPr>
        <w:t>___________</w:t>
      </w:r>
      <w:r w:rsidRPr="00B46DD4">
        <w:rPr>
          <w:rFonts w:cs="Arial"/>
          <w:szCs w:val="22"/>
          <w:highlight w:val="yellow"/>
        </w:rPr>
        <w:t xml:space="preserve"> SF</w:t>
      </w:r>
      <w:r w:rsidRPr="00A617DD">
        <w:rPr>
          <w:rFonts w:cs="Arial"/>
          <w:szCs w:val="22"/>
        </w:rPr>
        <w:t xml:space="preserve"> and have rental shell rates ranging from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to $</w:t>
      </w:r>
      <w:r w:rsidR="00B46DD4" w:rsidRPr="00B46DD4">
        <w:rPr>
          <w:rFonts w:cs="Arial"/>
          <w:szCs w:val="22"/>
          <w:highlight w:val="yellow"/>
        </w:rPr>
        <w:t>_____</w:t>
      </w:r>
      <w:r w:rsidRPr="00B46DD4">
        <w:rPr>
          <w:rFonts w:cs="Arial"/>
          <w:szCs w:val="22"/>
          <w:highlight w:val="yellow"/>
        </w:rPr>
        <w:t xml:space="preserve"> per SF NNN</w:t>
      </w:r>
      <w:r w:rsidRPr="00A617DD">
        <w:rPr>
          <w:rFonts w:cs="Arial"/>
          <w:szCs w:val="22"/>
        </w:rPr>
        <w:t xml:space="preserve"> with industrial building lease rates in the area typically quoted on a monthly rental rate basis.  The following analysis is presented</w:t>
      </w:r>
      <w:r w:rsidRPr="004E1CD2">
        <w:rPr>
          <w:rFonts w:cs="Arial"/>
          <w:szCs w:val="22"/>
        </w:rPr>
        <w:t>.</w:t>
      </w:r>
    </w:p>
    <w:p w14:paraId="0C9B0CB7" w14:textId="77777777" w:rsidR="005A24B3" w:rsidRDefault="005A24B3" w:rsidP="005A24B3">
      <w:pPr>
        <w:widowControl w:val="0"/>
        <w:rPr>
          <w:rFonts w:cs="Arial"/>
          <w:szCs w:val="22"/>
        </w:rPr>
      </w:pPr>
    </w:p>
    <w:p w14:paraId="3343810D" w14:textId="77777777" w:rsidR="00B46DD4" w:rsidRDefault="00B46DD4" w:rsidP="00B46DD4">
      <w:pPr>
        <w:rPr>
          <w:rFonts w:ascii="Calibri" w:hAnsi="Calibri" w:cs="Segoe UI"/>
        </w:rPr>
      </w:pPr>
      <w:r w:rsidRPr="00447014">
        <w:rPr>
          <w:rFonts w:ascii="Calibri" w:hAnsi="Calibri" w:cs="Segoe UI"/>
          <w:highlight w:val="green"/>
        </w:rPr>
        <w:t>Merge &amp; Insert Rent Comp Data Analysis Output</w:t>
      </w:r>
    </w:p>
    <w:p w14:paraId="3FBAAEE2" w14:textId="77777777" w:rsidR="00B46DD4" w:rsidRDefault="00B46DD4" w:rsidP="005A24B3">
      <w:pPr>
        <w:widowControl w:val="0"/>
        <w:rPr>
          <w:rFonts w:cs="Arial"/>
          <w:szCs w:val="22"/>
        </w:rPr>
      </w:pPr>
    </w:p>
    <w:p w14:paraId="77D3E1CD" w14:textId="77777777" w:rsidR="00B46DD4" w:rsidRDefault="00B46DD4" w:rsidP="005A24B3">
      <w:pPr>
        <w:widowControl w:val="0"/>
        <w:rPr>
          <w:rFonts w:cs="Arial"/>
          <w:szCs w:val="22"/>
        </w:rPr>
      </w:pPr>
    </w:p>
    <w:p w14:paraId="168A5D2D" w14:textId="77777777" w:rsidR="005A24B3" w:rsidRPr="007D705F" w:rsidRDefault="005A24B3" w:rsidP="005A24B3">
      <w:pPr>
        <w:keepNext/>
        <w:keepLines/>
        <w:spacing w:before="260"/>
        <w:outlineLvl w:val="1"/>
        <w:rPr>
          <w:rFonts w:cs="Arial"/>
          <w:iCs/>
          <w:color w:val="1E4959"/>
          <w:sz w:val="28"/>
          <w:szCs w:val="22"/>
        </w:rPr>
      </w:pPr>
      <w:r w:rsidRPr="007D705F">
        <w:rPr>
          <w:rFonts w:cs="Arial"/>
          <w:iCs/>
          <w:color w:val="1E4959"/>
          <w:sz w:val="28"/>
          <w:szCs w:val="22"/>
        </w:rPr>
        <w:t>Additional Quantitative Analysis</w:t>
      </w:r>
    </w:p>
    <w:p w14:paraId="552549CF" w14:textId="7ACC5C7C" w:rsidR="005A24B3" w:rsidRDefault="005A24B3" w:rsidP="005A24B3">
      <w:pPr>
        <w:pStyle w:val="Footer"/>
        <w:rPr>
          <w:rFonts w:cs="Arial"/>
          <w:kern w:val="20"/>
          <w:szCs w:val="22"/>
        </w:rPr>
      </w:pPr>
      <w:r w:rsidRPr="007D705F">
        <w:rPr>
          <w:rFonts w:cs="Arial"/>
          <w:kern w:val="20"/>
          <w:szCs w:val="22"/>
        </w:rPr>
        <w:t xml:space="preserve">A comparable adjustment grid for the rents is provided as additional analysis in a preceding chart.  The comparables indicate an adjusted shell rental range of between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and $</w:t>
      </w:r>
      <w:r w:rsidR="00B46DD4">
        <w:rPr>
          <w:rFonts w:cs="Arial"/>
          <w:kern w:val="20"/>
          <w:szCs w:val="22"/>
          <w:highlight w:val="yellow"/>
        </w:rPr>
        <w:t>0.</w:t>
      </w:r>
      <w:r w:rsidR="00B46DD4" w:rsidRPr="00B46DD4">
        <w:rPr>
          <w:rFonts w:cs="Arial"/>
          <w:kern w:val="20"/>
          <w:szCs w:val="22"/>
          <w:highlight w:val="yellow"/>
        </w:rPr>
        <w:t xml:space="preserve">_____ </w:t>
      </w:r>
      <w:r w:rsidRPr="00B46DD4">
        <w:rPr>
          <w:rFonts w:cs="Arial"/>
          <w:kern w:val="20"/>
          <w:szCs w:val="22"/>
          <w:highlight w:val="yellow"/>
        </w:rPr>
        <w:t>per SF</w:t>
      </w:r>
      <w:r w:rsidRPr="007D705F">
        <w:rPr>
          <w:rFonts w:cs="Arial"/>
          <w:kern w:val="20"/>
          <w:szCs w:val="22"/>
        </w:rPr>
        <w:t xml:space="preserve"> GLA with an average shell rent of </w:t>
      </w:r>
      <w:r w:rsidRPr="00B46DD4">
        <w:rPr>
          <w:rFonts w:cs="Arial"/>
          <w:kern w:val="20"/>
          <w:szCs w:val="22"/>
          <w:highlight w:val="yellow"/>
        </w:rPr>
        <w:t>$</w:t>
      </w:r>
      <w:r w:rsidR="00B46DD4">
        <w:rPr>
          <w:rFonts w:cs="Arial"/>
          <w:kern w:val="20"/>
          <w:szCs w:val="22"/>
          <w:highlight w:val="yellow"/>
        </w:rPr>
        <w:t>0.</w:t>
      </w:r>
      <w:r w:rsidR="00B46DD4" w:rsidRPr="00B46DD4">
        <w:rPr>
          <w:rFonts w:cs="Arial"/>
          <w:kern w:val="20"/>
          <w:szCs w:val="22"/>
          <w:highlight w:val="yellow"/>
        </w:rPr>
        <w:t>_____</w:t>
      </w:r>
      <w:r w:rsidRPr="00B46DD4">
        <w:rPr>
          <w:rFonts w:cs="Arial"/>
          <w:kern w:val="20"/>
          <w:szCs w:val="22"/>
          <w:highlight w:val="yellow"/>
        </w:rPr>
        <w:t xml:space="preserve"> per SF</w:t>
      </w:r>
      <w:r w:rsidRPr="007D705F">
        <w:rPr>
          <w:rFonts w:cs="Arial"/>
          <w:kern w:val="20"/>
          <w:szCs w:val="22"/>
        </w:rPr>
        <w:t xml:space="preserve"> and median shell rent of </w:t>
      </w:r>
      <w:r w:rsidRPr="00B46DD4">
        <w:rPr>
          <w:rFonts w:cs="Arial"/>
          <w:kern w:val="20"/>
          <w:szCs w:val="22"/>
          <w:highlight w:val="yellow"/>
        </w:rPr>
        <w:t>$0</w:t>
      </w:r>
      <w:r w:rsidR="00B46DD4">
        <w:rPr>
          <w:rFonts w:cs="Arial"/>
          <w:kern w:val="20"/>
          <w:szCs w:val="22"/>
          <w:highlight w:val="yellow"/>
        </w:rPr>
        <w:t>.</w:t>
      </w:r>
      <w:r w:rsidR="00B46DD4" w:rsidRPr="00B46DD4">
        <w:rPr>
          <w:rFonts w:cs="Arial"/>
          <w:kern w:val="20"/>
          <w:szCs w:val="22"/>
          <w:highlight w:val="yellow"/>
        </w:rPr>
        <w:t>_____</w:t>
      </w:r>
      <w:r w:rsidRPr="00B46DD4">
        <w:rPr>
          <w:rFonts w:cs="Arial"/>
          <w:kern w:val="20"/>
          <w:szCs w:val="22"/>
          <w:highlight w:val="yellow"/>
        </w:rPr>
        <w:t>per SF</w:t>
      </w:r>
      <w:r w:rsidRPr="007D705F">
        <w:rPr>
          <w:rFonts w:cs="Arial"/>
          <w:kern w:val="20"/>
          <w:szCs w:val="22"/>
        </w:rPr>
        <w:t xml:space="preserve">.  Note that a </w:t>
      </w:r>
      <w:r w:rsidRPr="00B46DD4">
        <w:rPr>
          <w:rFonts w:cs="Arial"/>
          <w:kern w:val="20"/>
          <w:szCs w:val="22"/>
          <w:highlight w:val="yellow"/>
        </w:rPr>
        <w:t>3.0%</w:t>
      </w:r>
      <w:r w:rsidRPr="007D705F">
        <w:rPr>
          <w:rFonts w:cs="Arial"/>
          <w:kern w:val="20"/>
          <w:szCs w:val="22"/>
        </w:rPr>
        <w:t xml:space="preserve"> per year market conditions adjustment was applied in this </w:t>
      </w:r>
      <w:sdt>
        <w:sdtPr>
          <w:rPr>
            <w:rFonts w:cs="Arial"/>
            <w:kern w:val="20"/>
            <w:szCs w:val="22"/>
            <w:highlight w:val="green"/>
          </w:rPr>
          <w:alias w:val="Inflation"/>
          <w:tag w:val="Inflation"/>
          <w:id w:val="472414936"/>
          <w:placeholder>
            <w:docPart w:val="B8EA887ABF534E0EAB42E341509EC404"/>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Content>
          <w:r w:rsidR="003C0F77">
            <w:rPr>
              <w:rFonts w:cs="Arial"/>
              <w:kern w:val="20"/>
              <w:szCs w:val="22"/>
              <w:highlight w:val="green"/>
            </w:rPr>
            <w:t>analysis</w:t>
          </w:r>
        </w:sdtContent>
      </w:sdt>
      <w:r w:rsidR="003C0F77" w:rsidRPr="009A5B6F">
        <w:rPr>
          <w:rFonts w:cs="Arial"/>
          <w:kern w:val="20"/>
          <w:szCs w:val="22"/>
        </w:rPr>
        <w:t xml:space="preserve">. </w:t>
      </w:r>
      <w:r w:rsidRPr="007D705F">
        <w:rPr>
          <w:rFonts w:cs="Arial"/>
          <w:kern w:val="20"/>
          <w:szCs w:val="22"/>
        </w:rPr>
        <w:t>The adjusted rental range provides additional</w:t>
      </w:r>
      <w:r w:rsidRPr="00786EDC">
        <w:rPr>
          <w:rFonts w:cs="Arial"/>
          <w:kern w:val="20"/>
          <w:szCs w:val="22"/>
        </w:rPr>
        <w:t xml:space="preserve"> support for the following final </w:t>
      </w:r>
      <w:r>
        <w:rPr>
          <w:rFonts w:cs="Arial"/>
          <w:kern w:val="20"/>
          <w:szCs w:val="22"/>
        </w:rPr>
        <w:t xml:space="preserve">market shell rent </w:t>
      </w:r>
      <w:r w:rsidRPr="00786EDC">
        <w:rPr>
          <w:rFonts w:cs="Arial"/>
          <w:kern w:val="20"/>
          <w:szCs w:val="22"/>
        </w:rPr>
        <w:t>conclusion.</w:t>
      </w:r>
      <w:r>
        <w:rPr>
          <w:rFonts w:cs="Arial"/>
          <w:kern w:val="20"/>
          <w:szCs w:val="22"/>
        </w:rPr>
        <w:t xml:space="preserve">  </w:t>
      </w:r>
    </w:p>
    <w:p w14:paraId="0F9EE87A" w14:textId="77777777" w:rsidR="000B5457" w:rsidRPr="0056440C" w:rsidRDefault="000B5457" w:rsidP="000B5457">
      <w:pPr>
        <w:keepNext/>
        <w:keepLines/>
        <w:spacing w:before="260"/>
        <w:outlineLvl w:val="1"/>
        <w:rPr>
          <w:rFonts w:cs="Segoe UI"/>
          <w:bCs/>
          <w:color w:val="1E4959"/>
          <w:sz w:val="24"/>
          <w:u w:val="single" w:color="1E4959"/>
        </w:rPr>
      </w:pPr>
      <w:r w:rsidRPr="0056440C">
        <w:rPr>
          <w:rFonts w:cs="Segoe UI"/>
          <w:bCs/>
          <w:color w:val="1E4959"/>
          <w:sz w:val="24"/>
          <w:u w:val="single" w:color="1E4959"/>
        </w:rPr>
        <w:t>Recent Subject Leasing Activity</w:t>
      </w:r>
    </w:p>
    <w:p w14:paraId="5E4943CC" w14:textId="77777777" w:rsidR="000B5457" w:rsidRPr="000B5457" w:rsidRDefault="000B5457" w:rsidP="000B5457">
      <w:pPr>
        <w:rPr>
          <w:rFonts w:cs="Arial"/>
          <w:szCs w:val="22"/>
          <w:highlight w:val="yellow"/>
        </w:rPr>
      </w:pPr>
      <w:r w:rsidRPr="000B5457">
        <w:rPr>
          <w:rFonts w:cs="Arial"/>
          <w:szCs w:val="22"/>
          <w:highlight w:val="yellow"/>
        </w:rPr>
        <w:t>With regard to leasing activity at the subject, the 2009 building forming the north space of the subject property (20,400 SF GLA; 5,882 SF of office, 28.8%) was leased to Farmer Bros. Co. (dba West Coast Coffee).  Note that this tenant’s lease indicates a GLA of 20,500 SF.  However, this space (the original building portion built in 2009) measures 170’ x 120’, which is equal to 20,400 SF which is used in our analysis. The lease commenced for a 3-year term in February 2017, as part of the sale of the business to Farmer Bros. Co., with the business owners retaining ownership of the property.  The current monthly contract rent is $16,400 per month or $0.804 per SF, NNN and escalates on February 7, 2021 at 2.5% annually over the current 3-year option period. Applying a reasonable office surcharge of $0.850 / SF infers a contract shell rate of $0.561 per SF over the next 12-month period.</w:t>
      </w:r>
    </w:p>
    <w:p w14:paraId="3BBAC649" w14:textId="77777777" w:rsidR="000B5457" w:rsidRPr="000B5457" w:rsidRDefault="000B5457" w:rsidP="000B5457">
      <w:pPr>
        <w:rPr>
          <w:rFonts w:cs="Arial"/>
          <w:szCs w:val="22"/>
          <w:highlight w:val="yellow"/>
        </w:rPr>
      </w:pPr>
    </w:p>
    <w:p w14:paraId="0755A029" w14:textId="77777777" w:rsidR="000B5457" w:rsidRDefault="000B5457" w:rsidP="000B5457">
      <w:pPr>
        <w:rPr>
          <w:rFonts w:cs="Arial"/>
          <w:szCs w:val="22"/>
        </w:rPr>
      </w:pPr>
      <w:r w:rsidRPr="000B5457">
        <w:rPr>
          <w:rFonts w:cs="Arial"/>
          <w:szCs w:val="22"/>
          <w:highlight w:val="yellow"/>
        </w:rPr>
        <w:t>The 2017 building addition (15,000 SF GLA; 1,988 SF of office, 13.3%) forming the south space of the subject property is leased to Thermo Fisher Scientific.  The lease commenced for a 7-year and 2-month term in December 2018.  The current monthly rate is $10,444 per month or $0.696 per SF, NNN with 3.0% annual escalations and 2 months free rent (already incurred in 2019). Applying a reasonable office surcharge of $0.850 / SF infers a contract shell rate of $0.595 per SF over the next 12-month period.</w:t>
      </w:r>
      <w:r>
        <w:rPr>
          <w:rFonts w:cs="Arial"/>
          <w:szCs w:val="22"/>
        </w:rPr>
        <w:t xml:space="preserve"> </w:t>
      </w:r>
    </w:p>
    <w:p w14:paraId="7AEDFCDD" w14:textId="77777777" w:rsidR="000B5457" w:rsidRDefault="000B5457" w:rsidP="000B5457">
      <w:pPr>
        <w:rPr>
          <w:rFonts w:cs="Arial"/>
          <w:szCs w:val="22"/>
        </w:rPr>
      </w:pPr>
    </w:p>
    <w:p w14:paraId="170A9E6D" w14:textId="77777777" w:rsidR="000B5457" w:rsidRDefault="000B5457" w:rsidP="000B5457">
      <w:pPr>
        <w:rPr>
          <w:rFonts w:cs="Arial"/>
          <w:szCs w:val="22"/>
        </w:rPr>
      </w:pPr>
      <w:r>
        <w:rPr>
          <w:rFonts w:cs="Arial"/>
          <w:szCs w:val="22"/>
        </w:rPr>
        <w:t>The current subject rent roll is provided on the following page, while copies of the tenant leases are contained on file in our office.</w:t>
      </w:r>
    </w:p>
    <w:p w14:paraId="0D6C840F" w14:textId="77777777" w:rsidR="000B5457" w:rsidRDefault="000B5457" w:rsidP="000B5457">
      <w:pPr>
        <w:rPr>
          <w:rFonts w:cs="Arial"/>
          <w:szCs w:val="22"/>
        </w:rPr>
      </w:pPr>
    </w:p>
    <w:p w14:paraId="1712D95E" w14:textId="77777777" w:rsidR="000B5457" w:rsidRDefault="000B5457" w:rsidP="000B5457">
      <w:pPr>
        <w:ind w:left="-720"/>
        <w:rPr>
          <w:rFonts w:cs="Arial"/>
          <w:szCs w:val="22"/>
        </w:rPr>
      </w:pPr>
      <w:r w:rsidRPr="00823BC7">
        <w:rPr>
          <w:noProof/>
        </w:rPr>
        <w:lastRenderedPageBreak/>
        <w:drawing>
          <wp:inline distT="0" distB="0" distL="0" distR="0" wp14:anchorId="2A573188" wp14:editId="6E13EB65">
            <wp:extent cx="6754280" cy="33793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761834" cy="3383085"/>
                    </a:xfrm>
                    <a:prstGeom prst="rect">
                      <a:avLst/>
                    </a:prstGeom>
                    <a:noFill/>
                    <a:ln>
                      <a:noFill/>
                    </a:ln>
                  </pic:spPr>
                </pic:pic>
              </a:graphicData>
            </a:graphic>
          </wp:inline>
        </w:drawing>
      </w:r>
    </w:p>
    <w:p w14:paraId="49299B2D" w14:textId="77777777" w:rsidR="000B5457" w:rsidRDefault="000B5457" w:rsidP="000B5457">
      <w:pPr>
        <w:rPr>
          <w:rFonts w:cs="Arial"/>
          <w:szCs w:val="22"/>
        </w:rPr>
      </w:pPr>
    </w:p>
    <w:p w14:paraId="02243DC3" w14:textId="18E38DA6" w:rsidR="005A24B3" w:rsidRPr="00FF1F4B" w:rsidRDefault="005A24B3" w:rsidP="005A24B3">
      <w:pPr>
        <w:widowControl w:val="0"/>
        <w:tabs>
          <w:tab w:val="left" w:pos="3744"/>
        </w:tabs>
        <w:rPr>
          <w:rFonts w:cs="Segoe UI"/>
        </w:rPr>
      </w:pPr>
      <w:bookmarkStart w:id="5" w:name="_Hlk41136270"/>
      <w:r>
        <w:t>Based on the preceding,</w:t>
      </w:r>
      <w:r w:rsidRPr="0061766B">
        <w:t xml:space="preserve"> the tenants</w:t>
      </w:r>
      <w:r w:rsidR="000B5457">
        <w:t>’</w:t>
      </w:r>
      <w:r w:rsidRPr="0061766B">
        <w:t xml:space="preserve"> contract rent is considered </w:t>
      </w:r>
      <w:sdt>
        <w:sdtPr>
          <w:rPr>
            <w:highlight w:val="green"/>
          </w:rPr>
          <w:alias w:val="Above or Below Mkt Rent"/>
          <w:tag w:val="Above or Below Mkt Rent"/>
          <w:id w:val="-1121612385"/>
          <w:placeholder>
            <w:docPart w:val="DefaultPlaceholder_-1854013438"/>
          </w:placeholder>
          <w:dropDownList>
            <w:listItem w:value="Choose an item."/>
            <w:listItem w:displayText="above market" w:value="above market"/>
            <w:listItem w:displayText="below market" w:value="below market"/>
            <w:listItem w:displayText="at market" w:value="at market"/>
          </w:dropDownList>
        </w:sdtPr>
        <w:sdtEndPr/>
        <w:sdtContent>
          <w:r w:rsidRPr="000B5457">
            <w:rPr>
              <w:highlight w:val="green"/>
            </w:rPr>
            <w:t>below market</w:t>
          </w:r>
        </w:sdtContent>
      </w:sdt>
      <w:r w:rsidRPr="0061766B">
        <w:t xml:space="preserve"> with </w:t>
      </w:r>
      <w:sdt>
        <w:sdtPr>
          <w:rPr>
            <w:highlight w:val="green"/>
          </w:rPr>
          <w:alias w:val="LH Interest"/>
          <w:tag w:val="LH Interest"/>
          <w:id w:val="31089777"/>
          <w:placeholder>
            <w:docPart w:val="DefaultPlaceholder_-1854013438"/>
          </w:placeholder>
          <w:dropDownList>
            <w:listItem w:value="Choose an item."/>
            <w:listItem w:displayText="no measurable" w:value="no measurable"/>
            <w:listItem w:displayText="a measurable positive" w:value="a measurable positive"/>
            <w:listItem w:displayText="a measurable negative" w:value="a measurable negative"/>
          </w:dropDownList>
        </w:sdtPr>
        <w:sdtEndPr/>
        <w:sdtContent>
          <w:r w:rsidR="000B5457">
            <w:rPr>
              <w:highlight w:val="green"/>
            </w:rPr>
            <w:t>a measurable positive</w:t>
          </w:r>
        </w:sdtContent>
      </w:sdt>
      <w:r w:rsidRPr="0061766B">
        <w:t xml:space="preserve"> leasehold interest noted. Therefore, the </w:t>
      </w:r>
      <w:r w:rsidRPr="0061766B">
        <w:rPr>
          <w:rFonts w:ascii="Calibri" w:hAnsi="Calibri" w:cs="Calibri"/>
          <w:szCs w:val="22"/>
        </w:rPr>
        <w:t xml:space="preserve">value of fee simple interest is </w:t>
      </w:r>
      <w:sdt>
        <w:sdtPr>
          <w:rPr>
            <w:rFonts w:ascii="Calibri" w:hAnsi="Calibri" w:cs="Calibri"/>
            <w:szCs w:val="22"/>
            <w:highlight w:val="green"/>
          </w:rPr>
          <w:alias w:val="Greater of Less Than"/>
          <w:tag w:val="Greater of Less Than"/>
          <w:id w:val="654882922"/>
          <w:placeholder>
            <w:docPart w:val="DefaultPlaceholder_-1854013438"/>
          </w:placeholder>
          <w:dropDownList>
            <w:listItem w:value="Choose an item."/>
            <w:listItem w:displayText="equal to" w:value="equal to"/>
            <w:listItem w:displayText="greater than" w:value="greater than"/>
            <w:listItem w:displayText="less than" w:value="less than"/>
          </w:dropDownList>
        </w:sdtPr>
        <w:sdtEndPr/>
        <w:sdtContent>
          <w:r w:rsidR="000B5457">
            <w:rPr>
              <w:rFonts w:ascii="Calibri" w:hAnsi="Calibri" w:cs="Calibri"/>
              <w:szCs w:val="22"/>
              <w:highlight w:val="green"/>
            </w:rPr>
            <w:t>less than</w:t>
          </w:r>
        </w:sdtContent>
      </w:sdt>
      <w:r w:rsidRPr="0061766B">
        <w:rPr>
          <w:rFonts w:ascii="Calibri" w:hAnsi="Calibri" w:cs="Calibri"/>
          <w:szCs w:val="22"/>
        </w:rPr>
        <w:t xml:space="preserve"> the leased fee interest</w:t>
      </w:r>
      <w:r w:rsidRPr="00447014">
        <w:rPr>
          <w:rFonts w:ascii="Calibri" w:hAnsi="Calibri" w:cs="Calibri"/>
          <w:szCs w:val="22"/>
          <w:highlight w:val="yellow"/>
        </w:rPr>
        <w:t>.</w:t>
      </w:r>
      <w:r w:rsidR="00447014" w:rsidRPr="00447014">
        <w:rPr>
          <w:rFonts w:ascii="Calibri" w:hAnsi="Calibri" w:cs="Calibri"/>
          <w:szCs w:val="22"/>
          <w:highlight w:val="yellow"/>
        </w:rPr>
        <w:t xml:space="preserve"> A valuation of the subject</w:t>
      </w:r>
      <w:r w:rsidR="00447014">
        <w:rPr>
          <w:rFonts w:ascii="Calibri" w:hAnsi="Calibri" w:cs="Calibri"/>
          <w:szCs w:val="22"/>
        </w:rPr>
        <w:t xml:space="preserve"> </w:t>
      </w:r>
      <w:sdt>
        <w:sdtPr>
          <w:rPr>
            <w:rFonts w:ascii="Calibri" w:hAnsi="Calibri" w:cs="Calibri"/>
            <w:szCs w:val="22"/>
            <w:highlight w:val="green"/>
          </w:rPr>
          <w:alias w:val="LH Interest"/>
          <w:tag w:val="LH Interest"/>
          <w:id w:val="-646278994"/>
          <w:placeholder>
            <w:docPart w:val="DefaultPlaceholder_-1854013438"/>
          </w:placeholder>
          <w:dropDownList>
            <w:listItem w:value="Choose an item."/>
            <w:listItem w:displayText="positive" w:value="positive"/>
            <w:listItem w:displayText="negative" w:value="negative"/>
          </w:dropDownList>
        </w:sdtPr>
        <w:sdtEndPr/>
        <w:sdtContent>
          <w:r w:rsidR="00447014" w:rsidRPr="00447014">
            <w:rPr>
              <w:rFonts w:ascii="Calibri" w:hAnsi="Calibri" w:cs="Calibri"/>
              <w:szCs w:val="22"/>
              <w:highlight w:val="green"/>
            </w:rPr>
            <w:t>positive</w:t>
          </w:r>
        </w:sdtContent>
      </w:sdt>
      <w:r w:rsidR="00447014">
        <w:rPr>
          <w:rFonts w:ascii="Calibri" w:hAnsi="Calibri" w:cs="Calibri"/>
          <w:szCs w:val="22"/>
        </w:rPr>
        <w:t xml:space="preserve"> </w:t>
      </w:r>
      <w:r w:rsidR="00447014" w:rsidRPr="00447014">
        <w:rPr>
          <w:rFonts w:ascii="Calibri" w:hAnsi="Calibri" w:cs="Calibri"/>
          <w:szCs w:val="22"/>
          <w:highlight w:val="yellow"/>
        </w:rPr>
        <w:t>leasehold interest is provided at the end of the Reconciliation section</w:t>
      </w:r>
      <w:r w:rsidR="00447014">
        <w:rPr>
          <w:rFonts w:ascii="Calibri" w:hAnsi="Calibri" w:cs="Calibri"/>
          <w:szCs w:val="22"/>
        </w:rPr>
        <w:t>.</w:t>
      </w:r>
    </w:p>
    <w:bookmarkEnd w:id="5"/>
    <w:p w14:paraId="4362140B" w14:textId="77777777" w:rsidR="005A24B3" w:rsidRPr="002B71DD" w:rsidRDefault="005A24B3" w:rsidP="005A24B3">
      <w:pPr>
        <w:spacing w:before="240"/>
        <w:rPr>
          <w:rFonts w:cs="Arial"/>
          <w:color w:val="1E4959"/>
          <w:sz w:val="28"/>
          <w:szCs w:val="22"/>
        </w:rPr>
      </w:pPr>
      <w:r w:rsidRPr="002B71DD">
        <w:rPr>
          <w:rFonts w:cs="Arial"/>
          <w:color w:val="1E4959"/>
          <w:sz w:val="28"/>
          <w:szCs w:val="22"/>
        </w:rPr>
        <w:t>Market Rent Conclusion</w:t>
      </w:r>
    </w:p>
    <w:p w14:paraId="24A7C6AC" w14:textId="77777777" w:rsidR="005A24B3" w:rsidRPr="00FF1F4B" w:rsidRDefault="005A24B3" w:rsidP="005A24B3">
      <w:pPr>
        <w:tabs>
          <w:tab w:val="left" w:pos="0"/>
          <w:tab w:val="left" w:pos="259"/>
          <w:tab w:val="left" w:pos="3600"/>
          <w:tab w:val="left" w:pos="6283"/>
        </w:tabs>
        <w:rPr>
          <w:rFonts w:cs="Segoe UI"/>
        </w:rPr>
      </w:pPr>
      <w:r w:rsidRPr="008324E9">
        <w:rPr>
          <w:rFonts w:cs="Segoe UI"/>
        </w:rPr>
        <w:t xml:space="preserve">The rent comparables provide a range of </w:t>
      </w:r>
      <w:r>
        <w:rPr>
          <w:rFonts w:cs="Segoe UI"/>
          <w:b/>
        </w:rPr>
        <w:t>market s</w:t>
      </w:r>
      <w:r w:rsidRPr="008324E9">
        <w:rPr>
          <w:rFonts w:cs="Segoe UI"/>
          <w:b/>
        </w:rPr>
        <w:t>hell rate</w:t>
      </w:r>
      <w:r w:rsidRPr="008324E9">
        <w:rPr>
          <w:rFonts w:cs="Segoe UI"/>
        </w:rPr>
        <w:t xml:space="preserve"> indicators from </w:t>
      </w:r>
      <w:r w:rsidRPr="00B46DD4">
        <w:rPr>
          <w:rFonts w:cs="Segoe UI"/>
          <w:kern w:val="24"/>
          <w:highlight w:val="yellow"/>
        </w:rPr>
        <w:t>$0.</w:t>
      </w:r>
      <w:r w:rsidR="00B46DD4" w:rsidRPr="00B46DD4">
        <w:rPr>
          <w:rFonts w:cs="Segoe UI"/>
          <w:kern w:val="24"/>
          <w:highlight w:val="yellow"/>
        </w:rPr>
        <w:t>____</w:t>
      </w:r>
      <w:r w:rsidRPr="00B46DD4">
        <w:rPr>
          <w:rFonts w:cs="Segoe UI"/>
          <w:kern w:val="24"/>
          <w:highlight w:val="yellow"/>
        </w:rPr>
        <w:t xml:space="preserve"> to $0.</w:t>
      </w:r>
      <w:r w:rsidR="00B46DD4" w:rsidRPr="00B46DD4">
        <w:rPr>
          <w:rFonts w:cs="Segoe UI"/>
          <w:kern w:val="24"/>
          <w:highlight w:val="yellow"/>
        </w:rPr>
        <w:t>____</w:t>
      </w:r>
      <w:r w:rsidRPr="00B46DD4">
        <w:rPr>
          <w:rFonts w:cs="Segoe UI"/>
          <w:kern w:val="24"/>
          <w:highlight w:val="yellow"/>
        </w:rPr>
        <w:t xml:space="preserve"> </w:t>
      </w:r>
      <w:r w:rsidRPr="00B46DD4">
        <w:rPr>
          <w:rFonts w:cs="Segoe UI"/>
          <w:highlight w:val="yellow"/>
        </w:rPr>
        <w:t>per SF</w:t>
      </w:r>
      <w:r w:rsidRPr="008324E9">
        <w:rPr>
          <w:rFonts w:cs="Segoe UI"/>
        </w:rPr>
        <w:t xml:space="preserve"> per month NNN</w:t>
      </w:r>
      <w:r>
        <w:rPr>
          <w:rFonts w:cs="Segoe UI"/>
        </w:rPr>
        <w:t xml:space="preserve">.  </w:t>
      </w:r>
      <w:r w:rsidR="00B46DD4" w:rsidRPr="00B46DD4">
        <w:rPr>
          <w:rFonts w:cs="Segoe UI"/>
          <w:highlight w:val="yellow"/>
        </w:rPr>
        <w:t>Based on the following reasoning _________________</w:t>
      </w:r>
      <w:r w:rsidRPr="00B46DD4">
        <w:rPr>
          <w:rFonts w:cs="Segoe UI"/>
          <w:highlight w:val="yellow"/>
        </w:rPr>
        <w:t>,</w:t>
      </w:r>
      <w:r>
        <w:rPr>
          <w:rFonts w:cs="Segoe UI"/>
        </w:rPr>
        <w:t xml:space="preserve"> </w:t>
      </w:r>
      <w:r w:rsidRPr="00BB15EC">
        <w:rPr>
          <w:rFonts w:cs="Segoe UI"/>
        </w:rPr>
        <w:t xml:space="preserve">it is the appraiser’s opinion that the comparables provide support </w:t>
      </w:r>
      <w:r w:rsidRPr="000A0706">
        <w:rPr>
          <w:rFonts w:cs="Segoe UI"/>
        </w:rPr>
        <w:t xml:space="preserve">for a </w:t>
      </w:r>
      <w:r w:rsidRPr="000A0706">
        <w:rPr>
          <w:rFonts w:cs="Segoe UI"/>
          <w:u w:val="single"/>
        </w:rPr>
        <w:t>shell rate</w:t>
      </w:r>
      <w:r w:rsidRPr="000A0706">
        <w:rPr>
          <w:rFonts w:cs="Segoe UI"/>
        </w:rPr>
        <w:t xml:space="preserve"> of </w:t>
      </w:r>
      <w:r w:rsidRPr="00B46DD4">
        <w:rPr>
          <w:rFonts w:cs="Segoe UI"/>
          <w:b/>
          <w:highlight w:val="yellow"/>
        </w:rPr>
        <w:t>$0.</w:t>
      </w:r>
      <w:r w:rsidR="00B46DD4" w:rsidRPr="00B46DD4">
        <w:rPr>
          <w:rFonts w:cs="Segoe UI"/>
          <w:b/>
          <w:highlight w:val="yellow"/>
        </w:rPr>
        <w:t>______</w:t>
      </w:r>
      <w:r w:rsidRPr="00B46DD4">
        <w:rPr>
          <w:rFonts w:cs="Segoe UI"/>
          <w:b/>
          <w:highlight w:val="yellow"/>
        </w:rPr>
        <w:t xml:space="preserve"> per SF</w:t>
      </w:r>
      <w:r w:rsidRPr="000A0706">
        <w:rPr>
          <w:rFonts w:cs="Segoe UI"/>
        </w:rPr>
        <w:t xml:space="preserve">.  The rate is well supported </w:t>
      </w:r>
      <w:r>
        <w:rPr>
          <w:rFonts w:cs="Segoe UI"/>
        </w:rPr>
        <w:t>just above</w:t>
      </w:r>
      <w:r w:rsidRPr="000A0706">
        <w:rPr>
          <w:rFonts w:cs="Segoe UI"/>
        </w:rPr>
        <w:t xml:space="preserve"> the average adjusted shell rental rate of </w:t>
      </w:r>
      <w:r w:rsidRPr="00B46DD4">
        <w:rPr>
          <w:rFonts w:cs="Segoe UI"/>
          <w:highlight w:val="yellow"/>
        </w:rPr>
        <w:t>$0.</w:t>
      </w:r>
      <w:r w:rsidR="00B46DD4" w:rsidRPr="00B46DD4">
        <w:rPr>
          <w:rFonts w:cs="Segoe UI"/>
          <w:highlight w:val="yellow"/>
        </w:rPr>
        <w:t>____</w:t>
      </w:r>
      <w:r w:rsidRPr="00B46DD4">
        <w:rPr>
          <w:rFonts w:cs="Segoe UI"/>
          <w:highlight w:val="yellow"/>
        </w:rPr>
        <w:t xml:space="preserve"> per SF</w:t>
      </w:r>
      <w:r w:rsidRPr="000A0706">
        <w:rPr>
          <w:rFonts w:cs="Segoe UI"/>
        </w:rPr>
        <w:t xml:space="preserve"> and median of </w:t>
      </w:r>
      <w:r w:rsidRPr="00B46DD4">
        <w:rPr>
          <w:rFonts w:cs="Segoe UI"/>
          <w:highlight w:val="yellow"/>
        </w:rPr>
        <w:t>$0.</w:t>
      </w:r>
      <w:r w:rsidR="00B46DD4" w:rsidRPr="00B46DD4">
        <w:rPr>
          <w:rFonts w:cs="Segoe UI"/>
          <w:highlight w:val="yellow"/>
        </w:rPr>
        <w:t>_____</w:t>
      </w:r>
      <w:r w:rsidRPr="00B46DD4">
        <w:rPr>
          <w:rFonts w:cs="Segoe UI"/>
          <w:highlight w:val="yellow"/>
        </w:rPr>
        <w:t xml:space="preserve"> per SF</w:t>
      </w:r>
      <w:r w:rsidRPr="000A0706">
        <w:rPr>
          <w:rFonts w:cs="Segoe UI"/>
        </w:rPr>
        <w:t>.</w:t>
      </w:r>
      <w:r w:rsidRPr="00FF1F4B">
        <w:rPr>
          <w:rFonts w:cs="Segoe UI"/>
        </w:rPr>
        <w:t xml:space="preserve">  </w:t>
      </w:r>
    </w:p>
    <w:p w14:paraId="537D827C" w14:textId="77777777" w:rsidR="005A24B3" w:rsidRPr="00FF1F4B" w:rsidRDefault="005A24B3" w:rsidP="005A24B3">
      <w:pPr>
        <w:tabs>
          <w:tab w:val="left" w:pos="0"/>
          <w:tab w:val="left" w:pos="259"/>
          <w:tab w:val="left" w:pos="3600"/>
          <w:tab w:val="left" w:pos="6283"/>
        </w:tabs>
        <w:rPr>
          <w:rFonts w:cs="Segoe UI"/>
        </w:rPr>
      </w:pPr>
    </w:p>
    <w:p w14:paraId="1103AC43" w14:textId="77777777" w:rsidR="005A24B3" w:rsidRPr="00FF1F4B" w:rsidRDefault="005A24B3" w:rsidP="005A24B3">
      <w:pPr>
        <w:widowControl w:val="0"/>
        <w:tabs>
          <w:tab w:val="left" w:pos="3744"/>
        </w:tabs>
        <w:rPr>
          <w:rFonts w:cs="Segoe UI"/>
        </w:rPr>
      </w:pPr>
      <w:r w:rsidRPr="00FF1F4B">
        <w:rPr>
          <w:rFonts w:cs="Segoe UI"/>
        </w:rPr>
        <w:t xml:space="preserve">Regarding the </w:t>
      </w:r>
      <w:r w:rsidRPr="00FF1F4B">
        <w:rPr>
          <w:rFonts w:cs="Segoe UI"/>
          <w:b/>
        </w:rPr>
        <w:t>office build-out</w:t>
      </w:r>
      <w:r w:rsidRPr="00FF1F4B">
        <w:rPr>
          <w:rFonts w:cs="Segoe UI"/>
        </w:rPr>
        <w:t xml:space="preserve"> premium, the subject has office space that is well maintained and in average condition.  The comparables indicate </w:t>
      </w:r>
      <w:r>
        <w:rPr>
          <w:rFonts w:cs="Segoe UI"/>
        </w:rPr>
        <w:t xml:space="preserve">an </w:t>
      </w:r>
      <w:r w:rsidRPr="00FF1F4B">
        <w:rPr>
          <w:rFonts w:cs="Segoe UI"/>
        </w:rPr>
        <w:t xml:space="preserve">office of surcharges from </w:t>
      </w:r>
      <w:r w:rsidRPr="00B46DD4">
        <w:rPr>
          <w:rFonts w:cs="Segoe UI"/>
          <w:highlight w:val="yellow"/>
        </w:rPr>
        <w:t>$0.</w:t>
      </w:r>
      <w:r w:rsidR="00B46DD4" w:rsidRPr="00B46DD4">
        <w:rPr>
          <w:rFonts w:cs="Segoe UI"/>
          <w:highlight w:val="yellow"/>
        </w:rPr>
        <w:t>____</w:t>
      </w:r>
      <w:r w:rsidRPr="00B46DD4">
        <w:rPr>
          <w:rFonts w:cs="Segoe UI"/>
          <w:highlight w:val="yellow"/>
        </w:rPr>
        <w:t xml:space="preserve"> to $0.</w:t>
      </w:r>
      <w:r w:rsidR="00B46DD4" w:rsidRPr="00B46DD4">
        <w:rPr>
          <w:rFonts w:cs="Segoe UI"/>
          <w:highlight w:val="yellow"/>
        </w:rPr>
        <w:t>____</w:t>
      </w:r>
      <w:r w:rsidRPr="00B46DD4">
        <w:rPr>
          <w:rFonts w:cs="Segoe UI"/>
          <w:highlight w:val="yellow"/>
        </w:rPr>
        <w:t xml:space="preserve"> per SF</w:t>
      </w:r>
      <w:r w:rsidRPr="00FF1F4B">
        <w:rPr>
          <w:rFonts w:cs="Segoe UI"/>
        </w:rPr>
        <w:t xml:space="preserve">. </w:t>
      </w:r>
      <w:r>
        <w:rPr>
          <w:rFonts w:cs="Segoe UI"/>
        </w:rPr>
        <w:t xml:space="preserve"> Given the higher than typical percentage of office build-out ratio of </w:t>
      </w:r>
      <w:r w:rsidR="00B46DD4" w:rsidRPr="00B46DD4">
        <w:rPr>
          <w:rFonts w:cs="Segoe UI"/>
          <w:highlight w:val="yellow"/>
        </w:rPr>
        <w:t>____</w:t>
      </w:r>
      <w:r w:rsidRPr="00B46DD4">
        <w:rPr>
          <w:rFonts w:cs="Segoe UI"/>
          <w:highlight w:val="yellow"/>
        </w:rPr>
        <w:t>%</w:t>
      </w:r>
      <w:r>
        <w:rPr>
          <w:rFonts w:cs="Segoe UI"/>
        </w:rPr>
        <w:t xml:space="preserve"> and generally average quality, a mid-range </w:t>
      </w:r>
      <w:r w:rsidRPr="007A2688">
        <w:rPr>
          <w:rFonts w:cs="Segoe UI"/>
          <w:b/>
        </w:rPr>
        <w:t>market office surcharge</w:t>
      </w:r>
      <w:r>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w:t>
      </w:r>
      <w:r>
        <w:rPr>
          <w:rFonts w:cs="Segoe UI"/>
        </w:rPr>
        <w:t xml:space="preserve"> is considered applicable in this analysis.</w:t>
      </w:r>
    </w:p>
    <w:p w14:paraId="54F43851" w14:textId="77777777" w:rsidR="005A24B3" w:rsidRPr="00FF1F4B" w:rsidRDefault="005A24B3" w:rsidP="005A24B3">
      <w:pPr>
        <w:widowControl w:val="0"/>
        <w:tabs>
          <w:tab w:val="left" w:pos="3744"/>
        </w:tabs>
        <w:rPr>
          <w:rFonts w:cs="Segoe UI"/>
        </w:rPr>
      </w:pPr>
    </w:p>
    <w:p w14:paraId="38215B2F" w14:textId="77777777" w:rsidR="005A24B3" w:rsidRDefault="005A24B3" w:rsidP="005A24B3">
      <w:pPr>
        <w:widowControl w:val="0"/>
        <w:tabs>
          <w:tab w:val="left" w:pos="3744"/>
        </w:tabs>
        <w:rPr>
          <w:rFonts w:cs="Segoe UI"/>
        </w:rPr>
      </w:pPr>
      <w:r w:rsidRPr="00FF1F4B">
        <w:rPr>
          <w:rFonts w:cs="Segoe UI"/>
        </w:rPr>
        <w:t xml:space="preserve">Combined, the shell and office rents result in a </w:t>
      </w:r>
      <w:r w:rsidRPr="00FF1F4B">
        <w:rPr>
          <w:rFonts w:cs="Segoe UI"/>
          <w:b/>
        </w:rPr>
        <w:t>blended monthly rate</w:t>
      </w:r>
      <w:r w:rsidRPr="00FF1F4B">
        <w:rPr>
          <w:rFonts w:cs="Segoe UI"/>
        </w:rPr>
        <w:t xml:space="preserve"> of </w:t>
      </w:r>
      <w:r w:rsidRPr="00B46DD4">
        <w:rPr>
          <w:rFonts w:cs="Segoe UI"/>
          <w:b/>
          <w:highlight w:val="yellow"/>
        </w:rPr>
        <w:t>$0.</w:t>
      </w:r>
      <w:r w:rsidR="00B46DD4" w:rsidRPr="00B46DD4">
        <w:rPr>
          <w:rFonts w:cs="Segoe UI"/>
          <w:b/>
          <w:highlight w:val="yellow"/>
        </w:rPr>
        <w:t>____</w:t>
      </w:r>
      <w:r w:rsidRPr="00B46DD4">
        <w:rPr>
          <w:rFonts w:cs="Segoe UI"/>
          <w:b/>
          <w:highlight w:val="yellow"/>
        </w:rPr>
        <w:t xml:space="preserve"> per SF GLA</w:t>
      </w:r>
      <w:r w:rsidRPr="00FF1F4B">
        <w:rPr>
          <w:rFonts w:cs="Segoe UI"/>
        </w:rPr>
        <w:t xml:space="preserve"> which, as the Market Analysis section suggests, is reasonable</w:t>
      </w:r>
      <w:r>
        <w:rPr>
          <w:rFonts w:cs="Segoe UI"/>
        </w:rPr>
        <w:t xml:space="preserve"> and well bracketed by the lease comparables. </w:t>
      </w:r>
    </w:p>
    <w:p w14:paraId="72B3F928"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Potential Gross</w:t>
      </w:r>
      <w:r>
        <w:rPr>
          <w:rFonts w:asciiTheme="minorHAnsi" w:hAnsiTheme="minorHAnsi" w:cs="Arial"/>
          <w:b w:val="0"/>
          <w:color w:val="1E4959"/>
          <w:spacing w:val="0"/>
          <w:kern w:val="20"/>
          <w:sz w:val="28"/>
          <w:szCs w:val="22"/>
        </w:rPr>
        <w:t xml:space="preserve"> Rental</w:t>
      </w:r>
      <w:r w:rsidRPr="009B6E44">
        <w:rPr>
          <w:rFonts w:asciiTheme="minorHAnsi" w:hAnsiTheme="minorHAnsi" w:cs="Arial"/>
          <w:b w:val="0"/>
          <w:color w:val="1E4959"/>
          <w:spacing w:val="0"/>
          <w:kern w:val="20"/>
          <w:sz w:val="28"/>
          <w:szCs w:val="22"/>
        </w:rPr>
        <w:t xml:space="preserve"> Income</w:t>
      </w:r>
    </w:p>
    <w:p w14:paraId="7D6A60A0" w14:textId="74C0DCD3" w:rsidR="005A24B3" w:rsidRDefault="005A24B3" w:rsidP="005A24B3">
      <w:pPr>
        <w:rPr>
          <w:rFonts w:cs="Arial"/>
          <w:szCs w:val="22"/>
        </w:rPr>
      </w:pPr>
      <w:r w:rsidRPr="000754FA">
        <w:rPr>
          <w:rFonts w:cs="Arial"/>
          <w:szCs w:val="22"/>
        </w:rPr>
        <w:t xml:space="preserve">Applying the market rent estimates results in an annual potential gross rental income of </w:t>
      </w:r>
      <w:r w:rsidRPr="00B46DD4">
        <w:rPr>
          <w:rFonts w:cs="Arial"/>
          <w:b/>
          <w:szCs w:val="22"/>
          <w:highlight w:val="yellow"/>
        </w:rPr>
        <w:t>$</w:t>
      </w:r>
      <w:r w:rsidR="00B46DD4" w:rsidRPr="00B46DD4">
        <w:rPr>
          <w:rFonts w:cs="Arial"/>
          <w:b/>
          <w:szCs w:val="22"/>
          <w:highlight w:val="yellow"/>
        </w:rPr>
        <w:t>__________</w:t>
      </w:r>
      <w:r w:rsidRPr="00B46DD4">
        <w:rPr>
          <w:rFonts w:cs="Arial"/>
          <w:b/>
          <w:szCs w:val="22"/>
          <w:highlight w:val="yellow"/>
        </w:rPr>
        <w:t xml:space="preserve"> </w:t>
      </w:r>
      <w:r w:rsidRPr="00B46DD4">
        <w:rPr>
          <w:rFonts w:cs="Arial"/>
          <w:szCs w:val="22"/>
          <w:highlight w:val="yellow"/>
        </w:rPr>
        <w:t>($</w:t>
      </w:r>
      <w:r w:rsidR="00B46DD4" w:rsidRPr="00B46DD4">
        <w:rPr>
          <w:rFonts w:cs="Arial"/>
          <w:szCs w:val="22"/>
          <w:highlight w:val="yellow"/>
        </w:rPr>
        <w:t>_____</w:t>
      </w:r>
      <w:r w:rsidRPr="00B46DD4">
        <w:rPr>
          <w:rFonts w:cs="Arial"/>
          <w:szCs w:val="22"/>
          <w:highlight w:val="yellow"/>
        </w:rPr>
        <w:t xml:space="preserve"> per SF GLA)</w:t>
      </w:r>
      <w:r w:rsidRPr="000754FA">
        <w:rPr>
          <w:rFonts w:cs="Arial"/>
          <w:szCs w:val="22"/>
        </w:rPr>
        <w:t>,</w:t>
      </w:r>
      <w:r w:rsidR="004F62BA">
        <w:rPr>
          <w:rFonts w:cs="Arial"/>
          <w:b/>
          <w:szCs w:val="22"/>
        </w:rPr>
        <w:t xml:space="preserve"> </w:t>
      </w:r>
      <w:r w:rsidR="004F62BA">
        <w:rPr>
          <w:rFonts w:cs="Arial"/>
          <w:szCs w:val="22"/>
        </w:rPr>
        <w:t>as i</w:t>
      </w:r>
      <w:r w:rsidRPr="000754FA">
        <w:rPr>
          <w:rFonts w:cs="Arial"/>
          <w:szCs w:val="22"/>
        </w:rPr>
        <w:t>ndicated in the following stabilized income and expense statement for the subject property (at the end of this section).</w:t>
      </w:r>
    </w:p>
    <w:p w14:paraId="288863A6" w14:textId="77777777" w:rsidR="00FD697C" w:rsidRPr="00D60C30" w:rsidRDefault="00FD697C" w:rsidP="00FD697C">
      <w:pPr>
        <w:pStyle w:val="Heading20"/>
        <w:rPr>
          <w:rFonts w:asciiTheme="minorHAnsi" w:hAnsiTheme="minorHAnsi" w:cs="Arial"/>
          <w:b w:val="0"/>
          <w:color w:val="1E4959"/>
          <w:spacing w:val="0"/>
          <w:kern w:val="20"/>
          <w:sz w:val="28"/>
          <w:szCs w:val="22"/>
        </w:rPr>
      </w:pPr>
      <w:r w:rsidRPr="00D60C30">
        <w:rPr>
          <w:rFonts w:asciiTheme="minorHAnsi" w:hAnsiTheme="minorHAnsi" w:cs="Arial"/>
          <w:b w:val="0"/>
          <w:color w:val="1E4959"/>
          <w:spacing w:val="0"/>
          <w:kern w:val="20"/>
          <w:sz w:val="28"/>
          <w:szCs w:val="22"/>
        </w:rPr>
        <w:t>Reimbursable Expenses</w:t>
      </w:r>
    </w:p>
    <w:p w14:paraId="13639E44" w14:textId="73805077" w:rsidR="00FD697C" w:rsidRPr="0009550B" w:rsidRDefault="00FD697C" w:rsidP="00FD697C">
      <w:pPr>
        <w:widowControl w:val="0"/>
      </w:pPr>
      <w:r>
        <w:t xml:space="preserve">For purposes of this cash flow projection, and consistent with the subject leases in place, we have assumed </w:t>
      </w:r>
      <w:r w:rsidRPr="00D60C30">
        <w:t xml:space="preserve">the subject leases </w:t>
      </w:r>
      <w:r>
        <w:t>will continue to be</w:t>
      </w:r>
      <w:r w:rsidRPr="00D60C30">
        <w:t xml:space="preserve"> </w:t>
      </w:r>
      <w:r>
        <w:t xml:space="preserve">payable </w:t>
      </w:r>
      <w:r w:rsidRPr="00D60C30">
        <w:t xml:space="preserve">on </w:t>
      </w:r>
      <w:r>
        <w:t>a</w:t>
      </w:r>
      <w:r w:rsidR="007D5F82">
        <w:t>n absolute</w:t>
      </w:r>
      <w:r>
        <w:t xml:space="preserve"> triple </w:t>
      </w:r>
      <w:r w:rsidRPr="00D60C30">
        <w:t xml:space="preserve">net expenses basis. </w:t>
      </w:r>
      <w:r>
        <w:t xml:space="preserve"> Consistent with the most common market expense terms for </w:t>
      </w:r>
      <w:r w:rsidRPr="00A219FB">
        <w:rPr>
          <w:highlight w:val="yellow"/>
        </w:rPr>
        <w:t>newer multi-tenant industrial</w:t>
      </w:r>
      <w:r>
        <w:t xml:space="preserve"> in the subject marketplace,</w:t>
      </w:r>
      <w:r w:rsidRPr="00D60C30">
        <w:t xml:space="preserve"> the </w:t>
      </w:r>
      <w:r w:rsidRPr="00D60C30">
        <w:lastRenderedPageBreak/>
        <w:t>tenants are</w:t>
      </w:r>
      <w:r>
        <w:t xml:space="preserve"> assumed</w:t>
      </w:r>
      <w:r w:rsidRPr="00D60C30">
        <w:t xml:space="preserve"> responsible for paying all operating expenses including real estate taxes, building (fire and flood) insurance, </w:t>
      </w:r>
      <w:r>
        <w:t>and c</w:t>
      </w:r>
      <w:r w:rsidRPr="00D60C30">
        <w:t>ommon area maintenance (CAM) expenses</w:t>
      </w:r>
      <w:r>
        <w:t xml:space="preserve">. </w:t>
      </w:r>
      <w:r w:rsidR="00A219FB">
        <w:t>Also g</w:t>
      </w:r>
      <w:r w:rsidRPr="00E14FDB">
        <w:t xml:space="preserve">enerally </w:t>
      </w:r>
      <w:sdt>
        <w:sdtPr>
          <w:rPr>
            <w:highlight w:val="green"/>
          </w:rPr>
          <w:alias w:val="Included or Excluded"/>
          <w:tag w:val="Included or Excluded"/>
          <w:id w:val="1937940840"/>
          <w:placeholder>
            <w:docPart w:val="DefaultPlaceholder_-1854013438"/>
          </w:placeholder>
          <w:dropDownList>
            <w:listItem w:value="Choose an item."/>
            <w:listItem w:displayText="excluded" w:value="excluded"/>
            <w:listItem w:displayText="included" w:value="included"/>
          </w:dropDownList>
        </w:sdtPr>
        <w:sdtEndPr/>
        <w:sdtContent>
          <w:r w:rsidR="00A219FB">
            <w:rPr>
              <w:highlight w:val="green"/>
            </w:rPr>
            <w:t>included</w:t>
          </w:r>
        </w:sdtContent>
      </w:sdt>
      <w:r w:rsidRPr="00E14FDB">
        <w:t xml:space="preserve"> are management fees and reserves for capital expenditures.</w:t>
      </w:r>
      <w:r>
        <w:t xml:space="preserve">  </w:t>
      </w:r>
      <w:r w:rsidRPr="00D60C30">
        <w:t xml:space="preserve">This reimbursement income is presented as an income item which is offset by a like operating expense amount. The actual expense to the ownership position </w:t>
      </w:r>
      <w:r w:rsidRPr="0009550B">
        <w:t>relates to operating expense associated with vacant space, which is treated by applying vacancy and credit loss to the expense reimbursement income.</w:t>
      </w:r>
    </w:p>
    <w:p w14:paraId="6FBB4AB3" w14:textId="77777777" w:rsidR="00FD697C" w:rsidRPr="0009550B" w:rsidRDefault="00FD697C" w:rsidP="00FD697C">
      <w:pPr>
        <w:rPr>
          <w:kern w:val="24"/>
          <w:u w:val="single"/>
        </w:rPr>
      </w:pPr>
    </w:p>
    <w:p w14:paraId="7F2DB779" w14:textId="77331C69" w:rsidR="00FD697C" w:rsidRPr="002C02B7" w:rsidRDefault="00FD697C" w:rsidP="00FD697C">
      <w:r w:rsidRPr="0009550B">
        <w:rPr>
          <w:kern w:val="24"/>
        </w:rPr>
        <w:t>The</w:t>
      </w:r>
      <w:r w:rsidRPr="0009550B">
        <w:t xml:space="preserve"> client has provided historical operating expenses for </w:t>
      </w:r>
      <w:r w:rsidRPr="00FD697C">
        <w:rPr>
          <w:highlight w:val="yellow"/>
        </w:rPr>
        <w:t>2018 and 2019</w:t>
      </w:r>
      <w:r w:rsidRPr="0009550B">
        <w:t xml:space="preserve">, as well as CAM budget for YTD </w:t>
      </w:r>
      <w:r w:rsidRPr="00447014">
        <w:rPr>
          <w:highlight w:val="yellow"/>
        </w:rPr>
        <w:t>2020</w:t>
      </w:r>
      <w:r w:rsidRPr="0009550B">
        <w:t xml:space="preserve">, with these documents considered in this analysis (see Addenda).  In addition, we relied up our interviews with the market participants, as well as general market analysis to determine a reasonable level of reimbursable income for the subject property.  Since our recoverable expense analysis assumes nearly 100% expense recovery, which is a reasonable assumption for the subject property, we have projected such </w:t>
      </w:r>
      <w:r w:rsidRPr="0009550B">
        <w:rPr>
          <w:b/>
          <w:bCs/>
        </w:rPr>
        <w:t>reimbursable income</w:t>
      </w:r>
      <w:r w:rsidRPr="0009550B">
        <w:t xml:space="preserve"> for the subject project at </w:t>
      </w:r>
      <w:r w:rsidRPr="00FD697C">
        <w:rPr>
          <w:b/>
          <w:bCs/>
          <w:highlight w:val="yellow"/>
        </w:rPr>
        <w:t>$________</w:t>
      </w:r>
      <w:r w:rsidRPr="00FD697C">
        <w:rPr>
          <w:highlight w:val="yellow"/>
        </w:rPr>
        <w:t>, or $_______ per SF GLA ($0.</w:t>
      </w:r>
      <w:r w:rsidR="00447014">
        <w:rPr>
          <w:highlight w:val="yellow"/>
        </w:rPr>
        <w:t>0</w:t>
      </w:r>
      <w:r w:rsidRPr="00FD697C">
        <w:rPr>
          <w:highlight w:val="yellow"/>
        </w:rPr>
        <w:t>__ / SF</w:t>
      </w:r>
      <w:r w:rsidRPr="0009550B">
        <w:t xml:space="preserve"> / mo.). Note that this </w:t>
      </w:r>
      <w:r w:rsidRPr="00447014">
        <w:rPr>
          <w:highlight w:val="yellow"/>
        </w:rPr>
        <w:t>falls near the low end</w:t>
      </w:r>
      <w:r w:rsidRPr="0009550B">
        <w:t xml:space="preserve"> of typical expense reimbursements for in-house rent comparables, as well as the surveyed rent comps, of between</w:t>
      </w:r>
      <w:r w:rsidRPr="002C02B7">
        <w:t xml:space="preserve"> </w:t>
      </w:r>
      <w:r w:rsidRPr="00447014">
        <w:rPr>
          <w:highlight w:val="yellow"/>
        </w:rPr>
        <w:t>$0.15 and $0.27</w:t>
      </w:r>
      <w:r w:rsidRPr="002C02B7">
        <w:t xml:space="preserve"> per SF.  Overall, our projection of reimbursable income appears to be reasonable.</w:t>
      </w:r>
    </w:p>
    <w:p w14:paraId="17E4A64E" w14:textId="77777777" w:rsidR="00FD697C" w:rsidRPr="002C02B7" w:rsidRDefault="00FD697C" w:rsidP="00FD697C">
      <w:pPr>
        <w:pStyle w:val="Heading20"/>
        <w:rPr>
          <w:rFonts w:asciiTheme="minorHAnsi" w:hAnsiTheme="minorHAnsi" w:cs="Arial"/>
          <w:b w:val="0"/>
          <w:color w:val="1E4959"/>
          <w:spacing w:val="0"/>
          <w:kern w:val="20"/>
          <w:sz w:val="28"/>
          <w:szCs w:val="22"/>
        </w:rPr>
      </w:pPr>
      <w:r w:rsidRPr="002C02B7">
        <w:rPr>
          <w:rFonts w:asciiTheme="minorHAnsi" w:hAnsiTheme="minorHAnsi" w:cs="Arial"/>
          <w:b w:val="0"/>
          <w:color w:val="1E4959"/>
          <w:spacing w:val="0"/>
          <w:kern w:val="20"/>
          <w:sz w:val="28"/>
          <w:szCs w:val="22"/>
        </w:rPr>
        <w:t>Potential Gross Income</w:t>
      </w:r>
    </w:p>
    <w:p w14:paraId="39CCAFDD" w14:textId="14F4C029" w:rsidR="00FD697C" w:rsidRDefault="00FD697C" w:rsidP="00FD697C">
      <w:pPr>
        <w:rPr>
          <w:rFonts w:cs="Arial"/>
          <w:szCs w:val="22"/>
        </w:rPr>
      </w:pPr>
      <w:r w:rsidRPr="002C02B7">
        <w:rPr>
          <w:rFonts w:cs="Arial"/>
          <w:szCs w:val="22"/>
        </w:rPr>
        <w:t xml:space="preserve">Combining the projected market </w:t>
      </w:r>
      <w:r>
        <w:rPr>
          <w:rFonts w:cs="Arial"/>
          <w:szCs w:val="22"/>
        </w:rPr>
        <w:t xml:space="preserve">/ contract </w:t>
      </w:r>
      <w:r w:rsidRPr="002C02B7">
        <w:rPr>
          <w:rFonts w:cs="Arial"/>
          <w:szCs w:val="22"/>
        </w:rPr>
        <w:t>rents with the</w:t>
      </w:r>
      <w:r>
        <w:rPr>
          <w:rFonts w:cs="Arial"/>
          <w:szCs w:val="22"/>
        </w:rPr>
        <w:t xml:space="preserve"> forecast expense reimbursements</w:t>
      </w:r>
      <w:r w:rsidRPr="002921E3">
        <w:rPr>
          <w:rFonts w:cs="Arial"/>
          <w:szCs w:val="22"/>
        </w:rPr>
        <w:t xml:space="preserve"> indicates a total </w:t>
      </w:r>
      <w:r w:rsidRPr="00A65F63">
        <w:rPr>
          <w:rFonts w:cs="Arial"/>
          <w:b/>
          <w:szCs w:val="22"/>
        </w:rPr>
        <w:t>potential gross income</w:t>
      </w:r>
      <w:r w:rsidRPr="002921E3">
        <w:rPr>
          <w:rFonts w:cs="Arial"/>
          <w:szCs w:val="22"/>
        </w:rPr>
        <w:t xml:space="preserve"> for the subject property of </w:t>
      </w:r>
      <w:r w:rsidRPr="00FD697C">
        <w:rPr>
          <w:rFonts w:cs="Arial"/>
          <w:b/>
          <w:szCs w:val="22"/>
          <w:highlight w:val="yellow"/>
        </w:rPr>
        <w:t xml:space="preserve">$_________ </w:t>
      </w:r>
      <w:r w:rsidRPr="00FD697C">
        <w:rPr>
          <w:rFonts w:cs="Arial"/>
          <w:szCs w:val="22"/>
          <w:highlight w:val="yellow"/>
        </w:rPr>
        <w:t>($_______</w:t>
      </w:r>
      <w:r w:rsidRPr="00994D88">
        <w:rPr>
          <w:rFonts w:cs="Arial"/>
          <w:szCs w:val="22"/>
        </w:rPr>
        <w:t xml:space="preserve"> per SF </w:t>
      </w:r>
      <w:r>
        <w:rPr>
          <w:rFonts w:cs="Arial"/>
          <w:szCs w:val="22"/>
        </w:rPr>
        <w:t>GLA</w:t>
      </w:r>
      <w:r w:rsidRPr="00994D88">
        <w:rPr>
          <w:rFonts w:cs="Arial"/>
          <w:szCs w:val="22"/>
        </w:rPr>
        <w:t>)</w:t>
      </w:r>
      <w:r w:rsidRPr="002921E3">
        <w:rPr>
          <w:rFonts w:cs="Arial"/>
          <w:szCs w:val="22"/>
        </w:rPr>
        <w:t>.</w:t>
      </w:r>
      <w:r>
        <w:rPr>
          <w:rFonts w:cs="Arial"/>
          <w:szCs w:val="22"/>
        </w:rPr>
        <w:t xml:space="preserve"> </w:t>
      </w:r>
      <w:r w:rsidRPr="002921E3">
        <w:rPr>
          <w:rFonts w:cs="Arial"/>
          <w:szCs w:val="22"/>
        </w:rPr>
        <w:t xml:space="preserve"> This amount is indicated in the following stabilized income and expense statement for the subject property, presented at the end of this section.</w:t>
      </w:r>
      <w:r>
        <w:rPr>
          <w:rFonts w:cs="Arial"/>
          <w:szCs w:val="22"/>
        </w:rPr>
        <w:t xml:space="preserve"> </w:t>
      </w:r>
    </w:p>
    <w:p w14:paraId="7509C5F2" w14:textId="77777777" w:rsidR="005A24B3" w:rsidRPr="009B6E44" w:rsidRDefault="005A24B3" w:rsidP="005A24B3">
      <w:pPr>
        <w:pStyle w:val="Heading20"/>
        <w:spacing w:before="24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12FBBD71" w14:textId="77777777" w:rsidR="005A24B3" w:rsidRDefault="005A24B3" w:rsidP="005A24B3">
      <w:pPr>
        <w:rPr>
          <w:rFonts w:cs="Arial"/>
          <w:szCs w:val="22"/>
        </w:rPr>
      </w:pPr>
      <w:r w:rsidRPr="009B6E44">
        <w:rPr>
          <w:rFonts w:cs="Arial"/>
          <w:szCs w:val="22"/>
        </w:rPr>
        <w:t xml:space="preserve">This expense category accounts for the time period between tenants, as well as possible prolonged vacancies under slow market conditions.  The assignment will reflect the probable vacancy during the economic life of the property. </w:t>
      </w:r>
    </w:p>
    <w:p w14:paraId="5E9F5A83" w14:textId="0EC7FF2D" w:rsidR="005A24B3" w:rsidRDefault="005A24B3" w:rsidP="005A24B3">
      <w:pPr>
        <w:rPr>
          <w:rFonts w:cs="Arial"/>
          <w:szCs w:val="22"/>
        </w:rPr>
      </w:pPr>
    </w:p>
    <w:p w14:paraId="7713E165" w14:textId="77777777" w:rsidR="006F11A7" w:rsidRDefault="006F11A7" w:rsidP="006F11A7">
      <w:pPr>
        <w:rPr>
          <w:rFonts w:cs="Arial"/>
          <w:szCs w:val="22"/>
        </w:rPr>
      </w:pPr>
      <w:r w:rsidRPr="00C655DD">
        <w:rPr>
          <w:rFonts w:cs="Arial"/>
          <w:szCs w:val="22"/>
          <w:highlight w:val="green"/>
        </w:rPr>
        <w:t xml:space="preserve">Copy this paragraph directly from </w:t>
      </w:r>
      <w:r w:rsidRPr="00FF34F3">
        <w:rPr>
          <w:rFonts w:cs="Arial"/>
          <w:szCs w:val="22"/>
          <w:highlight w:val="green"/>
        </w:rPr>
        <w:t>Market Analysis</w:t>
      </w:r>
    </w:p>
    <w:p w14:paraId="226031DA" w14:textId="4C0FA209" w:rsidR="005A24B3" w:rsidRDefault="005A24B3" w:rsidP="005A24B3">
      <w:pPr>
        <w:rPr>
          <w:rFonts w:cs="Arial"/>
          <w:szCs w:val="22"/>
        </w:rPr>
      </w:pPr>
      <w:r w:rsidRPr="00A219FB">
        <w:rPr>
          <w:rFonts w:cs="Arial"/>
          <w:szCs w:val="22"/>
          <w:highlight w:val="yellow"/>
        </w:rPr>
        <w:t xml:space="preserve">The appraiser used </w:t>
      </w:r>
      <w:r w:rsidRPr="00A219FB">
        <w:rPr>
          <w:rFonts w:cs="Arial"/>
          <w:b/>
          <w:szCs w:val="22"/>
          <w:highlight w:val="yellow"/>
        </w:rPr>
        <w:t>CoStar</w:t>
      </w:r>
      <w:r w:rsidRPr="00A219FB">
        <w:rPr>
          <w:rFonts w:cs="Arial"/>
          <w:szCs w:val="22"/>
          <w:highlight w:val="yellow"/>
        </w:rPr>
        <w:t xml:space="preserve"> to produce a search of the subject’s immediate / competing </w:t>
      </w:r>
      <w:r w:rsidRPr="00A219FB">
        <w:rPr>
          <w:rFonts w:cs="Arial"/>
          <w:szCs w:val="22"/>
          <w:highlight w:val="yellow"/>
          <w:u w:val="single"/>
        </w:rPr>
        <w:t>Clackamas / Milwaukie -Industrial Market</w:t>
      </w:r>
      <w:r w:rsidRPr="00A219FB">
        <w:rPr>
          <w:rFonts w:cs="Arial"/>
          <w:szCs w:val="22"/>
          <w:highlight w:val="yellow"/>
        </w:rPr>
        <w:t xml:space="preserve">.  As of the beginning of June 2019, the search shows a current </w:t>
      </w:r>
      <w:r w:rsidRPr="00A219FB">
        <w:rPr>
          <w:rFonts w:cs="Arial"/>
          <w:b/>
          <w:szCs w:val="22"/>
          <w:highlight w:val="yellow"/>
        </w:rPr>
        <w:t>industrial vacancy</w:t>
      </w:r>
      <w:r w:rsidRPr="00A219FB">
        <w:rPr>
          <w:rFonts w:cs="Arial"/>
          <w:szCs w:val="22"/>
          <w:highlight w:val="yellow"/>
        </w:rPr>
        <w:t xml:space="preserve"> of 2.5% </w:t>
      </w:r>
      <w:r w:rsidRPr="00A219FB">
        <w:rPr>
          <w:rFonts w:cs="Arial"/>
          <w:iCs/>
          <w:szCs w:val="22"/>
          <w:highlight w:val="yellow"/>
        </w:rPr>
        <w:t>(598,476</w:t>
      </w:r>
      <w:r w:rsidRPr="00A219FB">
        <w:rPr>
          <w:rFonts w:cs="Arial"/>
          <w:szCs w:val="22"/>
          <w:highlight w:val="yellow"/>
        </w:rPr>
        <w:t xml:space="preserve"> SF out of 23,774,295 SF; 617 properties surveyed). The trend has been on a bell-shaped curve in 2018 with the beginning and ending the year rate around 2% and peaking at just over 4% in the first quarter. The rate is still below the 5-year average of 3.9%. Absorption was somewhat mixed with the previous 12 months indicating a positive net absorption of 581,077 SF, above the 5-year average of 209,086 SF. In addition, 12-month total leasing was reported at 1,735,363 SF, above the 5-year average of 1,409,368 SF.</w:t>
      </w:r>
      <w:r w:rsidR="00BC65DD">
        <w:rPr>
          <w:rFonts w:cs="Arial"/>
          <w:szCs w:val="22"/>
        </w:rPr>
        <w:t xml:space="preserve">  </w:t>
      </w:r>
    </w:p>
    <w:p w14:paraId="5F653F00" w14:textId="77777777" w:rsidR="005A24B3" w:rsidRDefault="005A24B3" w:rsidP="005A24B3">
      <w:pPr>
        <w:rPr>
          <w:rFonts w:cs="Arial"/>
          <w:szCs w:val="22"/>
        </w:rPr>
      </w:pPr>
    </w:p>
    <w:p w14:paraId="4A2ED5CA" w14:textId="77777777" w:rsidR="005A24B3" w:rsidRPr="000754FA" w:rsidRDefault="005A24B3" w:rsidP="005A24B3">
      <w:pPr>
        <w:rPr>
          <w:rFonts w:cs="Arial"/>
          <w:szCs w:val="22"/>
        </w:rPr>
      </w:pPr>
      <w:r w:rsidRPr="000754FA">
        <w:rPr>
          <w:rFonts w:cs="Arial"/>
          <w:szCs w:val="22"/>
        </w:rPr>
        <w:t xml:space="preserve">Based on the subject's good industrial location, as well as prevalent </w:t>
      </w:r>
      <w:r>
        <w:rPr>
          <w:rFonts w:cs="Arial"/>
          <w:szCs w:val="22"/>
        </w:rPr>
        <w:t xml:space="preserve">long-term </w:t>
      </w:r>
      <w:r w:rsidRPr="000754FA">
        <w:rPr>
          <w:rFonts w:cs="Arial"/>
          <w:szCs w:val="22"/>
        </w:rPr>
        <w:t xml:space="preserve">market expectations, a </w:t>
      </w:r>
      <w:r w:rsidRPr="000754FA">
        <w:rPr>
          <w:rFonts w:cs="Arial"/>
          <w:b/>
          <w:bCs/>
          <w:szCs w:val="22"/>
        </w:rPr>
        <w:t xml:space="preserve">stabilized vacancy and credit loss </w:t>
      </w:r>
      <w:r w:rsidRPr="000754FA">
        <w:rPr>
          <w:rFonts w:cs="Arial"/>
          <w:szCs w:val="22"/>
        </w:rPr>
        <w:t xml:space="preserve">of </w:t>
      </w:r>
      <w:r w:rsidRPr="00B46DD4">
        <w:rPr>
          <w:rFonts w:cs="Arial"/>
          <w:b/>
          <w:bCs/>
          <w:szCs w:val="22"/>
          <w:highlight w:val="yellow"/>
        </w:rPr>
        <w:t>5.0%</w:t>
      </w:r>
      <w:r w:rsidRPr="000754FA">
        <w:rPr>
          <w:rFonts w:cs="Arial"/>
          <w:b/>
          <w:bCs/>
          <w:szCs w:val="22"/>
        </w:rPr>
        <w:t xml:space="preserve"> </w:t>
      </w:r>
      <w:r w:rsidRPr="000754FA">
        <w:rPr>
          <w:rFonts w:cs="Arial"/>
          <w:szCs w:val="22"/>
        </w:rPr>
        <w:t xml:space="preserve">is considered applicable for the subject property. The concluded rate is equivalent to </w:t>
      </w:r>
      <w:r w:rsidRPr="00B46DD4">
        <w:rPr>
          <w:rFonts w:cs="Arial"/>
          <w:szCs w:val="22"/>
          <w:highlight w:val="yellow"/>
        </w:rPr>
        <w:t>6 months</w:t>
      </w:r>
      <w:r w:rsidRPr="000754FA">
        <w:rPr>
          <w:rFonts w:cs="Arial"/>
          <w:szCs w:val="22"/>
        </w:rPr>
        <w:t xml:space="preserve"> of rent loss every 10 years. </w:t>
      </w:r>
    </w:p>
    <w:p w14:paraId="01CC8AB7" w14:textId="77777777" w:rsidR="005A24B3" w:rsidRPr="009B6E44" w:rsidRDefault="005A24B3" w:rsidP="005A24B3">
      <w:pPr>
        <w:pStyle w:val="Heading20"/>
        <w:rPr>
          <w:rFonts w:asciiTheme="minorHAnsi" w:hAnsiTheme="minorHAnsi" w:cs="Arial"/>
          <w:b w:val="0"/>
          <w:color w:val="1E4959"/>
          <w:spacing w:val="0"/>
          <w:kern w:val="20"/>
          <w:sz w:val="28"/>
          <w:szCs w:val="22"/>
        </w:rPr>
      </w:pPr>
      <w:r w:rsidRPr="000E04ED">
        <w:rPr>
          <w:rFonts w:asciiTheme="minorHAnsi" w:hAnsiTheme="minorHAnsi" w:cs="Arial"/>
          <w:b w:val="0"/>
          <w:color w:val="1E4959"/>
          <w:spacing w:val="0"/>
          <w:kern w:val="20"/>
          <w:sz w:val="28"/>
          <w:szCs w:val="22"/>
        </w:rPr>
        <w:t>Effective Gross Income</w:t>
      </w:r>
    </w:p>
    <w:p w14:paraId="1EF24A47" w14:textId="77777777" w:rsidR="005A24B3" w:rsidRDefault="005A24B3" w:rsidP="005A24B3">
      <w:pPr>
        <w:widowControl w:val="0"/>
        <w:rPr>
          <w:rFonts w:cs="Arial"/>
          <w:szCs w:val="22"/>
        </w:rPr>
      </w:pPr>
      <w:r w:rsidRPr="00994D88">
        <w:rPr>
          <w:rFonts w:cs="Arial"/>
          <w:szCs w:val="22"/>
        </w:rPr>
        <w:t xml:space="preserve">Based on the preceding, </w:t>
      </w:r>
      <w:r w:rsidRPr="00994D88">
        <w:rPr>
          <w:rFonts w:cs="Arial"/>
          <w:b/>
          <w:szCs w:val="22"/>
        </w:rPr>
        <w:t>effective gross rental income</w:t>
      </w:r>
      <w:r w:rsidRPr="00994D88">
        <w:rPr>
          <w:rFonts w:cs="Arial"/>
          <w:szCs w:val="22"/>
        </w:rPr>
        <w:t xml:space="preserve"> for the subject property is estimated at </w:t>
      </w:r>
      <w:r w:rsidR="00B46DD4" w:rsidRPr="00B46DD4">
        <w:rPr>
          <w:rFonts w:cs="Arial"/>
          <w:b/>
          <w:szCs w:val="22"/>
          <w:highlight w:val="yellow"/>
        </w:rPr>
        <w:t xml:space="preserve">$__________ </w:t>
      </w:r>
      <w:r w:rsidR="00B46DD4" w:rsidRPr="00B46DD4">
        <w:rPr>
          <w:rFonts w:cs="Arial"/>
          <w:szCs w:val="22"/>
          <w:highlight w:val="yellow"/>
        </w:rPr>
        <w:t>($_____ per SF GLA)</w:t>
      </w:r>
      <w:r w:rsidRPr="00994D88">
        <w:rPr>
          <w:rFonts w:cs="Arial"/>
          <w:szCs w:val="22"/>
        </w:rPr>
        <w:t>.</w:t>
      </w:r>
    </w:p>
    <w:p w14:paraId="163DF8B0" w14:textId="77777777" w:rsidR="00C655DD" w:rsidRPr="000754FA" w:rsidRDefault="00C655DD" w:rsidP="00C655D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Projected Operating Expenses</w:t>
      </w:r>
    </w:p>
    <w:p w14:paraId="627A3082" w14:textId="77777777" w:rsidR="00C655DD" w:rsidRPr="000754FA" w:rsidRDefault="00C655DD" w:rsidP="00C655DD">
      <w:pPr>
        <w:rPr>
          <w:rFonts w:cs="Segoe UI"/>
          <w:color w:val="000000"/>
          <w:szCs w:val="22"/>
        </w:rPr>
      </w:pPr>
      <w:r w:rsidRPr="000754FA">
        <w:rPr>
          <w:rFonts w:cs="Segoe UI"/>
          <w:color w:val="000000"/>
          <w:szCs w:val="22"/>
        </w:rPr>
        <w:t xml:space="preserve">The market rent conclusion has been based on a typical triple net lease for industrial properties similar in age to the subject, in which only </w:t>
      </w:r>
      <w:r w:rsidRPr="000754FA">
        <w:rPr>
          <w:rFonts w:cs="Segoe UI"/>
          <w:szCs w:val="22"/>
        </w:rPr>
        <w:t>a reserve allowance for the replacement of capital items</w:t>
      </w:r>
      <w:r w:rsidRPr="000754FA">
        <w:rPr>
          <w:rFonts w:cs="Segoe UI"/>
          <w:color w:val="000000"/>
          <w:szCs w:val="22"/>
        </w:rPr>
        <w:t xml:space="preserve"> are paid by the landlord. To estimate expenses applicable to the subject property on a stabilized basis, local suppliers have been contacted, and comparable properties have been analyzed. </w:t>
      </w:r>
    </w:p>
    <w:p w14:paraId="04A3CA64" w14:textId="77777777" w:rsidR="00C655DD" w:rsidRPr="00342DE0" w:rsidRDefault="00C655DD" w:rsidP="00C655DD">
      <w:pPr>
        <w:pStyle w:val="Heading20"/>
        <w:rPr>
          <w:rFonts w:asciiTheme="minorHAnsi" w:hAnsiTheme="minorHAnsi" w:cs="Arial"/>
          <w:b w:val="0"/>
          <w:color w:val="1E4959"/>
          <w:spacing w:val="0"/>
          <w:kern w:val="20"/>
          <w:sz w:val="28"/>
          <w:szCs w:val="22"/>
        </w:rPr>
      </w:pPr>
      <w:r w:rsidRPr="00342DE0">
        <w:rPr>
          <w:rFonts w:asciiTheme="minorHAnsi" w:hAnsiTheme="minorHAnsi" w:cs="Arial"/>
          <w:b w:val="0"/>
          <w:color w:val="1E4959"/>
          <w:spacing w:val="0"/>
          <w:kern w:val="20"/>
          <w:sz w:val="28"/>
          <w:szCs w:val="22"/>
        </w:rPr>
        <w:t>Reimbursable Expenses</w:t>
      </w:r>
    </w:p>
    <w:p w14:paraId="1A9805AB" w14:textId="41B9AF37" w:rsidR="00C655DD" w:rsidRDefault="00C655DD" w:rsidP="00C655DD">
      <w:pPr>
        <w:rPr>
          <w:rFonts w:cs="Segoe UI"/>
          <w:color w:val="000000"/>
          <w:szCs w:val="22"/>
        </w:rPr>
      </w:pPr>
      <w:r w:rsidRPr="00342DE0">
        <w:rPr>
          <w:rFonts w:cs="Segoe UI"/>
          <w:color w:val="000000"/>
          <w:szCs w:val="22"/>
        </w:rPr>
        <w:t>The market rent conclusions have been based on a</w:t>
      </w:r>
      <w:r w:rsidR="007D5F82">
        <w:rPr>
          <w:rFonts w:cs="Segoe UI"/>
          <w:color w:val="000000"/>
          <w:szCs w:val="22"/>
        </w:rPr>
        <w:t xml:space="preserve">n </w:t>
      </w:r>
      <w:proofErr w:type="spellStart"/>
      <w:r w:rsidR="007D5F82">
        <w:rPr>
          <w:rFonts w:cs="Segoe UI"/>
          <w:color w:val="000000"/>
          <w:szCs w:val="22"/>
        </w:rPr>
        <w:t>absolulte</w:t>
      </w:r>
      <w:proofErr w:type="spellEnd"/>
      <w:r w:rsidRPr="00342DE0">
        <w:rPr>
          <w:rFonts w:cs="Segoe UI"/>
          <w:color w:val="000000"/>
          <w:szCs w:val="22"/>
        </w:rPr>
        <w:t xml:space="preserve"> triple net lease structure, in which most operating expenses for the subject (with the exception of </w:t>
      </w:r>
      <w:sdt>
        <w:sdtPr>
          <w:rPr>
            <w:rFonts w:cs="Segoe UI"/>
            <w:color w:val="000000"/>
            <w:szCs w:val="22"/>
            <w:highlight w:val="green"/>
          </w:rPr>
          <w:alias w:val="Reimbursable Expense"/>
          <w:tag w:val="Reimbursable Expense"/>
          <w:id w:val="1764650383"/>
          <w:placeholder>
            <w:docPart w:val="DefaultPlaceholder_-1854013438"/>
          </w:placeholder>
          <w:dropDownList>
            <w:listItem w:value="Choose an item."/>
            <w:listItem w:displayText="management fees and reserves for replacement" w:value="management fees and reserves for replacement"/>
            <w:listItem w:displayText="reserves for replacment" w:value="reserves for replacment"/>
            <w:listItem w:displayText="partial reserves" w:value="partial reserves"/>
            <w:listItem w:displayText="minor administrative costs" w:value="minor administrative costs"/>
          </w:dropDownList>
        </w:sdtPr>
        <w:sdtEndPr/>
        <w:sdtContent>
          <w:r w:rsidR="00A219FB">
            <w:rPr>
              <w:rFonts w:cs="Segoe UI"/>
              <w:color w:val="000000"/>
              <w:szCs w:val="22"/>
              <w:highlight w:val="green"/>
            </w:rPr>
            <w:t>minor administrative costs</w:t>
          </w:r>
        </w:sdtContent>
      </w:sdt>
      <w:r w:rsidRPr="00342DE0">
        <w:rPr>
          <w:rFonts w:cs="Segoe UI"/>
          <w:color w:val="000000"/>
          <w:szCs w:val="22"/>
        </w:rPr>
        <w:t xml:space="preserve">) would be reimbursed by the tenants to the landlord. Note that </w:t>
      </w:r>
      <w:r>
        <w:rPr>
          <w:rFonts w:cs="Segoe UI"/>
          <w:color w:val="000000"/>
          <w:szCs w:val="22"/>
        </w:rPr>
        <w:t xml:space="preserve">historical expenses for </w:t>
      </w:r>
      <w:r w:rsidRPr="00C655DD">
        <w:rPr>
          <w:rFonts w:cs="Segoe UI"/>
          <w:color w:val="000000"/>
          <w:szCs w:val="22"/>
          <w:highlight w:val="yellow"/>
        </w:rPr>
        <w:t>2018 and 2019</w:t>
      </w:r>
      <w:r>
        <w:rPr>
          <w:rFonts w:cs="Segoe UI"/>
          <w:color w:val="000000"/>
          <w:szCs w:val="22"/>
        </w:rPr>
        <w:t>, as well as a limited forecast</w:t>
      </w:r>
      <w:r w:rsidRPr="00342DE0">
        <w:rPr>
          <w:rFonts w:cs="Segoe UI"/>
          <w:color w:val="000000"/>
          <w:szCs w:val="22"/>
        </w:rPr>
        <w:t xml:space="preserve"> operating </w:t>
      </w:r>
      <w:r>
        <w:rPr>
          <w:rFonts w:cs="Segoe UI"/>
          <w:color w:val="000000"/>
          <w:szCs w:val="22"/>
        </w:rPr>
        <w:t xml:space="preserve">budget for </w:t>
      </w:r>
      <w:r w:rsidRPr="00C655DD">
        <w:rPr>
          <w:rFonts w:cs="Segoe UI"/>
          <w:color w:val="000000"/>
          <w:szCs w:val="22"/>
          <w:highlight w:val="yellow"/>
        </w:rPr>
        <w:t>2020</w:t>
      </w:r>
      <w:r>
        <w:rPr>
          <w:rFonts w:cs="Segoe UI"/>
          <w:color w:val="000000"/>
          <w:szCs w:val="22"/>
        </w:rPr>
        <w:t xml:space="preserve">, was provided by the owner and is included within the Addenda of this report. </w:t>
      </w:r>
    </w:p>
    <w:p w14:paraId="551E3275" w14:textId="77777777" w:rsidR="00C655DD" w:rsidRDefault="00C655DD" w:rsidP="00C655DD"/>
    <w:p w14:paraId="02829B55" w14:textId="11C85745" w:rsidR="00C655DD" w:rsidRPr="006F0CF0" w:rsidRDefault="00C655DD" w:rsidP="00C655DD">
      <w:pPr>
        <w:widowControl w:val="0"/>
        <w:rPr>
          <w:szCs w:val="22"/>
        </w:rPr>
      </w:pPr>
      <w:r w:rsidRPr="006F0CF0">
        <w:rPr>
          <w:color w:val="1E4959"/>
          <w:sz w:val="24"/>
          <w:u w:val="single"/>
        </w:rPr>
        <w:t>Real Estate Taxes</w:t>
      </w:r>
      <w:r w:rsidRPr="006F0CF0">
        <w:rPr>
          <w:color w:val="1E4959"/>
          <w:sz w:val="24"/>
        </w:rPr>
        <w:t xml:space="preserve">: </w:t>
      </w:r>
      <w:r w:rsidRPr="006F0CF0">
        <w:rPr>
          <w:szCs w:val="22"/>
        </w:rPr>
        <w:t xml:space="preserve"> The subject’s real estate taxes for this current fiscal year were recent set and paid at </w:t>
      </w:r>
      <w:r w:rsidRPr="00C655DD">
        <w:rPr>
          <w:szCs w:val="22"/>
          <w:highlight w:val="yellow"/>
        </w:rPr>
        <w:t>$_________</w:t>
      </w:r>
      <w:r w:rsidRPr="006F0CF0">
        <w:rPr>
          <w:szCs w:val="22"/>
        </w:rPr>
        <w:t xml:space="preserve"> (before the 3.0% discount allowed by the county for payment in full).  Assuming continued 3.0% inflation in property taxes (the max allowable), less the 3.0% discount for full payment, this results in similar stabilized property taxes continuing at </w:t>
      </w:r>
      <w:r w:rsidRPr="00C655DD">
        <w:rPr>
          <w:b/>
          <w:szCs w:val="22"/>
          <w:highlight w:val="yellow"/>
        </w:rPr>
        <w:t xml:space="preserve">$__________ </w:t>
      </w:r>
      <w:r w:rsidRPr="00C655DD">
        <w:rPr>
          <w:szCs w:val="22"/>
          <w:highlight w:val="yellow"/>
        </w:rPr>
        <w:t>($______</w:t>
      </w:r>
      <w:r>
        <w:rPr>
          <w:szCs w:val="22"/>
        </w:rPr>
        <w:t xml:space="preserve"> </w:t>
      </w:r>
      <w:r w:rsidRPr="006F0CF0">
        <w:rPr>
          <w:szCs w:val="22"/>
        </w:rPr>
        <w:t xml:space="preserve">per SF) for the subject property. </w:t>
      </w:r>
    </w:p>
    <w:p w14:paraId="678DC3C6" w14:textId="77777777" w:rsidR="00C655DD" w:rsidRPr="006F0CF0" w:rsidRDefault="00C655DD" w:rsidP="00C655DD">
      <w:pPr>
        <w:jc w:val="left"/>
        <w:rPr>
          <w:szCs w:val="22"/>
        </w:rPr>
      </w:pPr>
    </w:p>
    <w:p w14:paraId="449C701A" w14:textId="1FAFE53F" w:rsidR="00C655DD" w:rsidRPr="006F0CF0" w:rsidRDefault="00C655DD" w:rsidP="00C655DD">
      <w:pPr>
        <w:widowControl w:val="0"/>
        <w:tabs>
          <w:tab w:val="left" w:pos="288"/>
          <w:tab w:val="left" w:pos="576"/>
        </w:tabs>
        <w:rPr>
          <w:szCs w:val="22"/>
        </w:rPr>
      </w:pPr>
      <w:r w:rsidRPr="006F0CF0">
        <w:rPr>
          <w:color w:val="1E4959"/>
          <w:sz w:val="24"/>
          <w:u w:val="single"/>
        </w:rPr>
        <w:t>Insurance</w:t>
      </w:r>
      <w:r w:rsidRPr="006F0CF0">
        <w:rPr>
          <w:color w:val="1E4959"/>
          <w:sz w:val="24"/>
        </w:rPr>
        <w:t xml:space="preserve">: </w:t>
      </w:r>
      <w:r w:rsidRPr="006F0CF0">
        <w:rPr>
          <w:szCs w:val="22"/>
        </w:rPr>
        <w:t>Building insurance for similar industrial properties in the subject market area generally range from $0.</w:t>
      </w:r>
      <w:r>
        <w:rPr>
          <w:szCs w:val="22"/>
        </w:rPr>
        <w:t>20</w:t>
      </w:r>
      <w:r w:rsidRPr="006F0CF0">
        <w:rPr>
          <w:szCs w:val="22"/>
        </w:rPr>
        <w:t xml:space="preserve"> to $0.</w:t>
      </w:r>
      <w:r>
        <w:rPr>
          <w:szCs w:val="22"/>
        </w:rPr>
        <w:t>5</w:t>
      </w:r>
      <w:r w:rsidRPr="006F0CF0">
        <w:rPr>
          <w:szCs w:val="22"/>
        </w:rPr>
        <w:t xml:space="preserve">0 per square foot, with the upper end indicative of properties impacted by flood plain insurance. Without these special coverages, insurance rates </w:t>
      </w:r>
      <w:r w:rsidRPr="003B60F9">
        <w:rPr>
          <w:szCs w:val="22"/>
        </w:rPr>
        <w:t xml:space="preserve">generally range from $0.15 to $0.25 per SF.  The subject’s </w:t>
      </w:r>
      <w:r w:rsidRPr="00C655DD">
        <w:rPr>
          <w:szCs w:val="22"/>
          <w:highlight w:val="yellow"/>
        </w:rPr>
        <w:t>2019</w:t>
      </w:r>
      <w:r w:rsidRPr="003B60F9">
        <w:rPr>
          <w:szCs w:val="22"/>
        </w:rPr>
        <w:t xml:space="preserve"> operating information indicates an insurance premium at </w:t>
      </w:r>
      <w:r w:rsidRPr="00C655DD">
        <w:rPr>
          <w:szCs w:val="22"/>
          <w:highlight w:val="yellow"/>
        </w:rPr>
        <w:t>$______ or $0._____</w:t>
      </w:r>
      <w:r w:rsidRPr="003B60F9">
        <w:rPr>
          <w:szCs w:val="22"/>
        </w:rPr>
        <w:t xml:space="preserve"> per SF which is reasonable relative to the market expense data.  Hence, for purposes of this analysis, we have assumed a stabilized property insurance expense of </w:t>
      </w:r>
      <w:r w:rsidRPr="003B60F9">
        <w:rPr>
          <w:b/>
          <w:szCs w:val="22"/>
        </w:rPr>
        <w:t>$</w:t>
      </w:r>
      <w:r w:rsidRPr="00C655DD">
        <w:rPr>
          <w:b/>
          <w:szCs w:val="22"/>
          <w:highlight w:val="yellow"/>
        </w:rPr>
        <w:t>0.____</w:t>
      </w:r>
      <w:r w:rsidRPr="003B60F9">
        <w:rPr>
          <w:b/>
          <w:szCs w:val="22"/>
        </w:rPr>
        <w:t xml:space="preserve"> per SF</w:t>
      </w:r>
      <w:r w:rsidRPr="003B60F9">
        <w:rPr>
          <w:szCs w:val="22"/>
        </w:rPr>
        <w:t>.</w:t>
      </w:r>
    </w:p>
    <w:p w14:paraId="408578E0" w14:textId="77777777" w:rsidR="00C655DD" w:rsidRPr="006F0CF0" w:rsidRDefault="00C655DD" w:rsidP="00C655DD">
      <w:pPr>
        <w:widowControl w:val="0"/>
        <w:tabs>
          <w:tab w:val="left" w:pos="3744"/>
        </w:tabs>
        <w:rPr>
          <w:szCs w:val="22"/>
        </w:rPr>
      </w:pPr>
    </w:p>
    <w:p w14:paraId="5B7B04A3" w14:textId="52C41E47" w:rsidR="00C655DD" w:rsidRDefault="00C655DD" w:rsidP="00C655DD">
      <w:pPr>
        <w:widowControl w:val="0"/>
        <w:tabs>
          <w:tab w:val="left" w:pos="288"/>
          <w:tab w:val="left" w:pos="576"/>
        </w:tabs>
        <w:rPr>
          <w:szCs w:val="22"/>
        </w:rPr>
      </w:pPr>
      <w:r w:rsidRPr="006F0CF0">
        <w:rPr>
          <w:color w:val="1E4959"/>
          <w:sz w:val="24"/>
          <w:u w:val="single"/>
        </w:rPr>
        <w:t>Common Area Maintenance (CAM)</w:t>
      </w:r>
      <w:r w:rsidRPr="006F0CF0">
        <w:rPr>
          <w:color w:val="1E4959"/>
          <w:sz w:val="24"/>
        </w:rPr>
        <w:t xml:space="preserve">: </w:t>
      </w:r>
      <w:r w:rsidRPr="006F0CF0">
        <w:rPr>
          <w:szCs w:val="22"/>
        </w:rPr>
        <w:t>Common area expenses for multi</w:t>
      </w:r>
      <w:r w:rsidRPr="00342DE0">
        <w:rPr>
          <w:szCs w:val="22"/>
        </w:rPr>
        <w:t>-tenant properties typically</w:t>
      </w:r>
      <w:r w:rsidRPr="00FA07D1">
        <w:rPr>
          <w:szCs w:val="22"/>
        </w:rPr>
        <w:t xml:space="preserve"> include utilities (common area water, sewer, electricity), trash removal, landscaping, building and grounds maintenance, and repairs. CAM </w:t>
      </w:r>
      <w:r w:rsidRPr="006F0CF0">
        <w:rPr>
          <w:szCs w:val="22"/>
        </w:rPr>
        <w:t>expenses for similar multi</w:t>
      </w:r>
      <w:r w:rsidRPr="003B60F9">
        <w:rPr>
          <w:szCs w:val="22"/>
        </w:rPr>
        <w:t xml:space="preserve">-tenant properties in the subject market area generally range from $0.50 to $1.00 per square foot. The historical expenses for </w:t>
      </w:r>
      <w:r w:rsidRPr="00C655DD">
        <w:rPr>
          <w:szCs w:val="22"/>
          <w:highlight w:val="yellow"/>
        </w:rPr>
        <w:t>2019</w:t>
      </w:r>
      <w:r w:rsidRPr="003B60F9">
        <w:rPr>
          <w:szCs w:val="22"/>
        </w:rPr>
        <w:t xml:space="preserve"> report reimbursable CAM income of </w:t>
      </w:r>
      <w:r w:rsidRPr="00C655DD">
        <w:rPr>
          <w:szCs w:val="22"/>
          <w:highlight w:val="yellow"/>
        </w:rPr>
        <w:t>$13,552 or $0.382</w:t>
      </w:r>
      <w:r w:rsidRPr="003B60F9">
        <w:rPr>
          <w:szCs w:val="22"/>
        </w:rPr>
        <w:t xml:space="preserve"> per SF.  In contrast, the CAM budget for </w:t>
      </w:r>
      <w:r w:rsidRPr="00C655DD">
        <w:rPr>
          <w:szCs w:val="22"/>
          <w:highlight w:val="yellow"/>
        </w:rPr>
        <w:t>2020</w:t>
      </w:r>
      <w:r w:rsidRPr="003B60F9">
        <w:rPr>
          <w:szCs w:val="22"/>
        </w:rPr>
        <w:t xml:space="preserve"> was quoted by the owner indicates a monthly rate of </w:t>
      </w:r>
      <w:r w:rsidRPr="00C655DD">
        <w:rPr>
          <w:szCs w:val="22"/>
          <w:highlight w:val="yellow"/>
        </w:rPr>
        <w:t>$3,175.56</w:t>
      </w:r>
      <w:r w:rsidRPr="003B60F9">
        <w:rPr>
          <w:szCs w:val="22"/>
        </w:rPr>
        <w:t xml:space="preserve">, or a much higher, annual expense </w:t>
      </w:r>
      <w:r w:rsidRPr="00C655DD">
        <w:rPr>
          <w:szCs w:val="22"/>
          <w:highlight w:val="yellow"/>
        </w:rPr>
        <w:t>of $37,881 or $1.07</w:t>
      </w:r>
      <w:r w:rsidRPr="003B60F9">
        <w:rPr>
          <w:szCs w:val="22"/>
        </w:rPr>
        <w:t xml:space="preserve"> per SF.  Given the newer age of the building, a similar mid-range CAM expense</w:t>
      </w:r>
      <w:r w:rsidRPr="006F0CF0">
        <w:rPr>
          <w:szCs w:val="22"/>
        </w:rPr>
        <w:t xml:space="preserve"> of </w:t>
      </w:r>
      <w:r w:rsidRPr="00C655DD">
        <w:rPr>
          <w:b/>
          <w:szCs w:val="22"/>
          <w:highlight w:val="yellow"/>
        </w:rPr>
        <w:t>$0.___</w:t>
      </w:r>
      <w:r w:rsidRPr="006F0CF0">
        <w:rPr>
          <w:b/>
          <w:szCs w:val="22"/>
        </w:rPr>
        <w:t xml:space="preserve"> per SF</w:t>
      </w:r>
      <w:r w:rsidRPr="006F0CF0">
        <w:rPr>
          <w:szCs w:val="22"/>
        </w:rPr>
        <w:t xml:space="preserve"> is considered reasonable for use in this</w:t>
      </w:r>
      <w:r>
        <w:rPr>
          <w:szCs w:val="22"/>
        </w:rPr>
        <w:t xml:space="preserve"> analysis</w:t>
      </w:r>
      <w:r w:rsidRPr="00CA7BAE">
        <w:rPr>
          <w:szCs w:val="22"/>
        </w:rPr>
        <w:t>.</w:t>
      </w:r>
    </w:p>
    <w:p w14:paraId="17CA4A9D" w14:textId="77777777" w:rsidR="00A219FB" w:rsidRPr="000754FA" w:rsidRDefault="00A219FB" w:rsidP="00A219FB">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Management Fees</w:t>
      </w:r>
    </w:p>
    <w:p w14:paraId="469D18EA" w14:textId="77777777" w:rsidR="00A219FB" w:rsidRPr="000754FA" w:rsidRDefault="00A219FB" w:rsidP="00A219FB">
      <w:pPr>
        <w:rPr>
          <w:rFonts w:cs="Arial"/>
          <w:szCs w:val="22"/>
        </w:rPr>
      </w:pPr>
      <w:r w:rsidRPr="000754FA">
        <w:rPr>
          <w:rFonts w:cs="Arial"/>
          <w:szCs w:val="22"/>
        </w:rPr>
        <w:t xml:space="preserve">A professional management fee is typically incurred to provide for periodic contact with the tenants, collection of rents, and supervision of required maintenance and replacement items.  Conversations with representatives of property management companies in the market area indicate a range for professional management for industrial properties of 2.0% to 3.0% of effective gross income </w:t>
      </w:r>
      <w:r w:rsidRPr="00091F4C">
        <w:rPr>
          <w:rFonts w:cs="Arial"/>
          <w:szCs w:val="22"/>
        </w:rPr>
        <w:t xml:space="preserve">depending on the property's size, lease structure, and rent levels.  Considering the subject's </w:t>
      </w:r>
      <w:r w:rsidRPr="00FB3439">
        <w:rPr>
          <w:rFonts w:cs="Arial"/>
          <w:szCs w:val="22"/>
          <w:highlight w:val="yellow"/>
        </w:rPr>
        <w:t>size, quality, condition, two-tenant status, and triple net lease structure,</w:t>
      </w:r>
      <w:r w:rsidRPr="00091F4C">
        <w:rPr>
          <w:rFonts w:cs="Arial"/>
          <w:szCs w:val="22"/>
        </w:rPr>
        <w:t xml:space="preserve"> a management fee of </w:t>
      </w:r>
      <w:r w:rsidRPr="00C655DD">
        <w:rPr>
          <w:rFonts w:cs="Arial"/>
          <w:b/>
          <w:szCs w:val="22"/>
          <w:highlight w:val="yellow"/>
        </w:rPr>
        <w:t>3.0%</w:t>
      </w:r>
      <w:r w:rsidRPr="00091F4C">
        <w:rPr>
          <w:rFonts w:cs="Arial"/>
          <w:b/>
          <w:szCs w:val="22"/>
        </w:rPr>
        <w:t xml:space="preserve"> of effective gross income</w:t>
      </w:r>
      <w:r w:rsidRPr="00091F4C">
        <w:rPr>
          <w:rFonts w:cs="Arial"/>
          <w:szCs w:val="22"/>
        </w:rPr>
        <w:t xml:space="preserve"> is considered reasonable for use in this analysis.</w:t>
      </w:r>
      <w:r w:rsidRPr="000754FA">
        <w:rPr>
          <w:rFonts w:cs="Arial"/>
          <w:szCs w:val="22"/>
        </w:rPr>
        <w:t xml:space="preserve">  </w:t>
      </w:r>
    </w:p>
    <w:p w14:paraId="13D1A579" w14:textId="77777777" w:rsidR="00A219FB" w:rsidRPr="000754FA" w:rsidRDefault="00A219FB" w:rsidP="00A219FB">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Reserves for Replacement</w:t>
      </w:r>
    </w:p>
    <w:p w14:paraId="6CC5CBFA" w14:textId="77777777" w:rsidR="00A219FB" w:rsidRPr="000754FA" w:rsidRDefault="00A219FB" w:rsidP="00A219FB">
      <w:pPr>
        <w:rPr>
          <w:rFonts w:cs="Arial"/>
          <w:szCs w:val="22"/>
        </w:rPr>
      </w:pPr>
      <w:r w:rsidRPr="000754FA">
        <w:rPr>
          <w:rFonts w:cs="Arial"/>
          <w:szCs w:val="22"/>
        </w:rPr>
        <w:t xml:space="preserve">Reserves are not typical annual cash expenditures, but rather, the annualized cost of major expense items in the future, such as repair or replacement of the heating and air-conditioning system, landscaping, paving, and roof cover. A reserve allowance must be established for the replacement of these components, which the owner may be responsible for replacing during the economic life of the building.  The probable future cost of replacing and repairing these items is converted into an annual figure.  The analysis </w:t>
      </w:r>
      <w:r w:rsidRPr="000754FA">
        <w:rPr>
          <w:rFonts w:cs="Arial"/>
          <w:szCs w:val="22"/>
        </w:rPr>
        <w:lastRenderedPageBreak/>
        <w:t xml:space="preserve">estimates the amount of money which must be set aside on an annual basis in an interest-bearing account to have adequate funds to repair or replace the item at the end of its economic life.  This reflects typical investor behavior as it accounts for the cost which owners incur or the discount from the market's perspective for the deficiency. </w:t>
      </w:r>
    </w:p>
    <w:p w14:paraId="7B2F186C" w14:textId="77777777" w:rsidR="00A219FB" w:rsidRPr="000754FA" w:rsidRDefault="00A219FB" w:rsidP="00A219FB">
      <w:pPr>
        <w:rPr>
          <w:rFonts w:cs="Arial"/>
          <w:szCs w:val="22"/>
        </w:rPr>
      </w:pPr>
    </w:p>
    <w:p w14:paraId="58C8E8EF" w14:textId="77777777" w:rsidR="00A219FB" w:rsidRDefault="00A219FB" w:rsidP="00A219FB">
      <w:pPr>
        <w:widowControl w:val="0"/>
        <w:rPr>
          <w:rFonts w:cs="Arial"/>
          <w:szCs w:val="22"/>
        </w:rPr>
      </w:pPr>
      <w:r w:rsidRPr="000754FA">
        <w:rPr>
          <w:rFonts w:cs="Arial"/>
          <w:szCs w:val="22"/>
        </w:rPr>
        <w:t xml:space="preserve">Analysis of the market indicates that investors are allocating a reserve equal to 1.0% to </w:t>
      </w:r>
      <w:r>
        <w:rPr>
          <w:rFonts w:cs="Arial"/>
          <w:szCs w:val="22"/>
        </w:rPr>
        <w:t>4</w:t>
      </w:r>
      <w:r w:rsidRPr="000754FA">
        <w:rPr>
          <w:rFonts w:cs="Arial"/>
          <w:szCs w:val="22"/>
        </w:rPr>
        <w:t xml:space="preserve">.0% of effective gross income depending on the property age, size, condition, quality of construction, and value. Considering the </w:t>
      </w:r>
      <w:r w:rsidRPr="00C655DD">
        <w:rPr>
          <w:rFonts w:cs="Arial"/>
          <w:szCs w:val="22"/>
          <w:highlight w:val="yellow"/>
        </w:rPr>
        <w:t>subject's age and overall good condition</w:t>
      </w:r>
      <w:r w:rsidRPr="000754FA">
        <w:rPr>
          <w:rFonts w:cs="Arial"/>
          <w:szCs w:val="22"/>
        </w:rPr>
        <w:t xml:space="preserve">, an allocation of </w:t>
      </w:r>
      <w:r w:rsidRPr="00C655DD">
        <w:rPr>
          <w:rFonts w:cs="Arial"/>
          <w:b/>
          <w:szCs w:val="22"/>
          <w:highlight w:val="yellow"/>
        </w:rPr>
        <w:t>2.0%</w:t>
      </w:r>
      <w:r w:rsidRPr="000754FA">
        <w:rPr>
          <w:rFonts w:cs="Arial"/>
          <w:b/>
          <w:szCs w:val="22"/>
        </w:rPr>
        <w:t xml:space="preserve"> of effective gross income</w:t>
      </w:r>
      <w:r w:rsidRPr="000754FA">
        <w:rPr>
          <w:rFonts w:cs="Arial"/>
          <w:szCs w:val="22"/>
        </w:rPr>
        <w:t xml:space="preserve"> is </w:t>
      </w:r>
      <w:sdt>
        <w:sdtPr>
          <w:rPr>
            <w:rFonts w:cs="Arial"/>
            <w:szCs w:val="22"/>
            <w:highlight w:val="green"/>
          </w:rPr>
          <w:alias w:val="Degree of Opinion"/>
          <w:tag w:val="Degree of Opinion"/>
          <w:id w:val="-1190984908"/>
          <w:placeholder>
            <w:docPart w:val="8AAAA3C26D504C049B834FA3C10B1F3A"/>
          </w:placeholder>
          <w:dropDownList>
            <w:listItem w:value="Choose an item."/>
            <w:listItem w:displayText="conservatively" w:value="conservatively"/>
            <w:listItem w:displayText="reasonably" w:value="reasonably"/>
          </w:dropDownList>
        </w:sdtPr>
        <w:sdtEndPr/>
        <w:sdtContent>
          <w:r w:rsidRPr="00D54776">
            <w:rPr>
              <w:rFonts w:cs="Arial"/>
              <w:szCs w:val="22"/>
              <w:highlight w:val="green"/>
            </w:rPr>
            <w:t>conservatively</w:t>
          </w:r>
        </w:sdtContent>
      </w:sdt>
      <w:r>
        <w:rPr>
          <w:rFonts w:cs="Arial"/>
          <w:szCs w:val="22"/>
        </w:rPr>
        <w:t xml:space="preserve"> </w:t>
      </w:r>
      <w:r w:rsidRPr="000754FA">
        <w:rPr>
          <w:rFonts w:cs="Arial"/>
          <w:szCs w:val="22"/>
        </w:rPr>
        <w:t>made for reserves for replacement items for the subject property.</w:t>
      </w:r>
    </w:p>
    <w:p w14:paraId="196DC433" w14:textId="77777777" w:rsidR="00C655DD" w:rsidRPr="00F1687C"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 xml:space="preserve">Total </w:t>
      </w:r>
      <w:r>
        <w:rPr>
          <w:rFonts w:eastAsiaTheme="majorEastAsia" w:cs="Arial"/>
          <w:color w:val="1E4959"/>
          <w:sz w:val="24"/>
          <w:szCs w:val="22"/>
          <w:u w:val="single"/>
        </w:rPr>
        <w:t>Reimbursable</w:t>
      </w:r>
      <w:r w:rsidRPr="00F1687C">
        <w:rPr>
          <w:rFonts w:eastAsiaTheme="majorEastAsia" w:cs="Arial"/>
          <w:color w:val="1E4959"/>
          <w:sz w:val="24"/>
          <w:szCs w:val="22"/>
          <w:u w:val="single"/>
        </w:rPr>
        <w:t xml:space="preserve"> Expenses</w:t>
      </w:r>
    </w:p>
    <w:p w14:paraId="230C89FB" w14:textId="75411186" w:rsidR="00C655DD" w:rsidRPr="006F0CF0" w:rsidRDefault="00C655DD" w:rsidP="00C655DD">
      <w:pPr>
        <w:rPr>
          <w:rFonts w:cs="Segoe UI"/>
          <w:color w:val="000000"/>
          <w:szCs w:val="22"/>
        </w:rPr>
      </w:pPr>
      <w:r w:rsidRPr="0017187C">
        <w:t xml:space="preserve">In total, </w:t>
      </w:r>
      <w:r w:rsidRPr="00A65F63">
        <w:rPr>
          <w:b/>
        </w:rPr>
        <w:t>potential reimbursable expenses</w:t>
      </w:r>
      <w:r w:rsidRPr="0017187C">
        <w:t xml:space="preserve"> were estimated at </w:t>
      </w:r>
      <w:r w:rsidRPr="00C655DD">
        <w:rPr>
          <w:b/>
          <w:highlight w:val="yellow"/>
        </w:rPr>
        <w:t>$_______</w:t>
      </w:r>
      <w:r w:rsidRPr="00C655DD">
        <w:rPr>
          <w:highlight w:val="yellow"/>
        </w:rPr>
        <w:t>, or $_____ per SF ($0.____</w:t>
      </w:r>
      <w:r>
        <w:t xml:space="preserve"> per SF monthly) </w:t>
      </w:r>
      <w:r w:rsidRPr="0017187C">
        <w:t>for the subject property</w:t>
      </w:r>
      <w:r w:rsidRPr="006F0CF0">
        <w:t xml:space="preserve">. </w:t>
      </w:r>
    </w:p>
    <w:p w14:paraId="33163787" w14:textId="77777777" w:rsidR="00C655DD" w:rsidRPr="006F0CF0" w:rsidRDefault="00C655DD" w:rsidP="00C655DD">
      <w:pPr>
        <w:pStyle w:val="Heading20"/>
        <w:rPr>
          <w:rFonts w:asciiTheme="minorHAnsi" w:hAnsiTheme="minorHAnsi" w:cs="Arial"/>
          <w:b w:val="0"/>
          <w:color w:val="1E4959"/>
          <w:spacing w:val="0"/>
          <w:kern w:val="20"/>
          <w:sz w:val="28"/>
          <w:szCs w:val="22"/>
        </w:rPr>
      </w:pPr>
      <w:r w:rsidRPr="006F0CF0">
        <w:rPr>
          <w:rFonts w:asciiTheme="minorHAnsi" w:hAnsiTheme="minorHAnsi" w:cs="Arial"/>
          <w:b w:val="0"/>
          <w:color w:val="1E4959"/>
          <w:spacing w:val="0"/>
          <w:kern w:val="20"/>
          <w:sz w:val="28"/>
          <w:szCs w:val="22"/>
        </w:rPr>
        <w:t>Non-Reimbursable Expenses</w:t>
      </w:r>
    </w:p>
    <w:p w14:paraId="68FF8F96" w14:textId="77777777" w:rsidR="00D54776" w:rsidRPr="000754FA" w:rsidRDefault="00D54776" w:rsidP="00D54776">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M</w:t>
      </w:r>
      <w:r>
        <w:rPr>
          <w:rFonts w:eastAsiaTheme="majorEastAsia" w:cs="Arial"/>
          <w:color w:val="1E4959"/>
          <w:sz w:val="24"/>
          <w:szCs w:val="22"/>
          <w:u w:val="single"/>
        </w:rPr>
        <w:t>iscellaneous Expenses</w:t>
      </w:r>
    </w:p>
    <w:p w14:paraId="33363F9A" w14:textId="63F7E5A2" w:rsidR="003B01A8" w:rsidRDefault="003B01A8" w:rsidP="003B01A8">
      <w:pPr>
        <w:rPr>
          <w:rFonts w:cs="Segoe UI"/>
          <w:color w:val="000000"/>
          <w:szCs w:val="22"/>
        </w:rPr>
      </w:pPr>
      <w:r w:rsidRPr="000754FA">
        <w:rPr>
          <w:rFonts w:cs="Segoe UI"/>
          <w:color w:val="000000"/>
          <w:szCs w:val="22"/>
        </w:rPr>
        <w:t xml:space="preserve">The market rent conclusion has been based on a typical </w:t>
      </w:r>
      <w:r w:rsidR="007D5F82">
        <w:rPr>
          <w:rFonts w:cs="Segoe UI"/>
          <w:color w:val="000000"/>
          <w:szCs w:val="22"/>
        </w:rPr>
        <w:t xml:space="preserve">absolute </w:t>
      </w:r>
      <w:r w:rsidRPr="000754FA">
        <w:rPr>
          <w:rFonts w:cs="Segoe UI"/>
          <w:color w:val="000000"/>
          <w:szCs w:val="22"/>
        </w:rPr>
        <w:t xml:space="preserve">triple net lease for </w:t>
      </w:r>
      <w:r>
        <w:rPr>
          <w:rFonts w:cs="Segoe UI"/>
          <w:color w:val="000000"/>
          <w:szCs w:val="22"/>
        </w:rPr>
        <w:t>newer, multi-tenant industrial</w:t>
      </w:r>
      <w:r w:rsidRPr="000754FA">
        <w:rPr>
          <w:rFonts w:cs="Segoe UI"/>
          <w:color w:val="000000"/>
          <w:szCs w:val="22"/>
        </w:rPr>
        <w:t xml:space="preserve"> properties similar to the subject, in which </w:t>
      </w:r>
      <w:r>
        <w:rPr>
          <w:rFonts w:cs="Segoe UI"/>
          <w:color w:val="000000"/>
          <w:szCs w:val="22"/>
        </w:rPr>
        <w:t>both</w:t>
      </w:r>
      <w:r w:rsidRPr="000754FA">
        <w:rPr>
          <w:rFonts w:cs="Segoe UI"/>
          <w:color w:val="000000"/>
          <w:szCs w:val="22"/>
        </w:rPr>
        <w:t xml:space="preserve"> professional management fees and </w:t>
      </w:r>
      <w:r w:rsidRPr="000754FA">
        <w:rPr>
          <w:rFonts w:cs="Segoe UI"/>
          <w:szCs w:val="22"/>
        </w:rPr>
        <w:t>a reserve allowance for the replacement of capital items</w:t>
      </w:r>
      <w:r w:rsidRPr="000754FA">
        <w:rPr>
          <w:rFonts w:cs="Segoe UI"/>
          <w:color w:val="000000"/>
          <w:szCs w:val="22"/>
        </w:rPr>
        <w:t xml:space="preserve"> are </w:t>
      </w:r>
      <w:r>
        <w:rPr>
          <w:rFonts w:cs="Segoe UI"/>
          <w:color w:val="000000"/>
          <w:szCs w:val="22"/>
        </w:rPr>
        <w:t>reimbursed by the tenant. Therefore, just a minor deduction</w:t>
      </w:r>
      <w:r w:rsidR="007D5F82">
        <w:rPr>
          <w:rFonts w:cs="Segoe UI"/>
          <w:color w:val="000000"/>
          <w:szCs w:val="22"/>
        </w:rPr>
        <w:t xml:space="preserve"> is applied</w:t>
      </w:r>
      <w:r>
        <w:rPr>
          <w:rFonts w:cs="Segoe UI"/>
          <w:color w:val="000000"/>
          <w:szCs w:val="22"/>
        </w:rPr>
        <w:t xml:space="preserve"> for miscellaneous landlord expenses (non-reimbursable administrative costs mostly). </w:t>
      </w:r>
    </w:p>
    <w:p w14:paraId="0B2812BE" w14:textId="77777777" w:rsidR="003B01A8" w:rsidRPr="000754FA" w:rsidRDefault="003B01A8" w:rsidP="003B01A8">
      <w:pPr>
        <w:rPr>
          <w:rFonts w:cs="Segoe UI"/>
          <w:color w:val="000000"/>
          <w:szCs w:val="22"/>
        </w:rPr>
      </w:pPr>
    </w:p>
    <w:p w14:paraId="2F344C94" w14:textId="27DBA7ED" w:rsidR="00D54776" w:rsidRPr="000754FA" w:rsidRDefault="00D54776" w:rsidP="00D54776">
      <w:pPr>
        <w:rPr>
          <w:rFonts w:cs="Arial"/>
          <w:szCs w:val="22"/>
        </w:rPr>
      </w:pPr>
      <w:r>
        <w:rPr>
          <w:rFonts w:cs="Arial"/>
          <w:szCs w:val="22"/>
        </w:rPr>
        <w:t>Overall, the ownership is likely to incur minor administrative expenses associated with the property ownership which would not be considered reimbursable by the tenant(s)</w:t>
      </w:r>
      <w:r w:rsidRPr="000754FA">
        <w:rPr>
          <w:rFonts w:cs="Arial"/>
          <w:szCs w:val="22"/>
        </w:rPr>
        <w:t xml:space="preserve">. Considering the subject's </w:t>
      </w:r>
      <w:r w:rsidRPr="00FB3439">
        <w:rPr>
          <w:rFonts w:cs="Arial"/>
          <w:szCs w:val="22"/>
          <w:highlight w:val="yellow"/>
        </w:rPr>
        <w:t xml:space="preserve">moderate size, quality, condition, and </w:t>
      </w:r>
      <w:r w:rsidR="00A219FB">
        <w:rPr>
          <w:rFonts w:cs="Arial"/>
          <w:szCs w:val="22"/>
          <w:highlight w:val="yellow"/>
        </w:rPr>
        <w:t xml:space="preserve">absolute </w:t>
      </w:r>
      <w:r w:rsidRPr="00FB3439">
        <w:rPr>
          <w:rFonts w:cs="Arial"/>
          <w:szCs w:val="22"/>
          <w:highlight w:val="yellow"/>
        </w:rPr>
        <w:t>triple net lease structure</w:t>
      </w:r>
      <w:r w:rsidRPr="000754FA">
        <w:rPr>
          <w:rFonts w:cs="Arial"/>
          <w:szCs w:val="22"/>
        </w:rPr>
        <w:t xml:space="preserve">, a </w:t>
      </w:r>
      <w:r>
        <w:rPr>
          <w:rFonts w:cs="Arial"/>
          <w:szCs w:val="22"/>
        </w:rPr>
        <w:t>miscellaneous expense of</w:t>
      </w:r>
      <w:r w:rsidRPr="000754FA">
        <w:rPr>
          <w:rFonts w:cs="Arial"/>
          <w:szCs w:val="22"/>
        </w:rPr>
        <w:t xml:space="preserve"> </w:t>
      </w:r>
      <w:r w:rsidRPr="00FB3439">
        <w:rPr>
          <w:rFonts w:cs="Arial"/>
          <w:b/>
          <w:szCs w:val="22"/>
          <w:highlight w:val="yellow"/>
        </w:rPr>
        <w:t>1.0%</w:t>
      </w:r>
      <w:r w:rsidRPr="000754FA">
        <w:rPr>
          <w:rFonts w:cs="Arial"/>
          <w:b/>
          <w:szCs w:val="22"/>
        </w:rPr>
        <w:t xml:space="preserve"> of effective gross income</w:t>
      </w:r>
      <w:r w:rsidRPr="000754FA">
        <w:rPr>
          <w:rFonts w:cs="Arial"/>
          <w:szCs w:val="22"/>
        </w:rPr>
        <w:t xml:space="preserve"> is considered reasonable for use in this analysis.  </w:t>
      </w:r>
    </w:p>
    <w:p w14:paraId="4F3D43E1" w14:textId="77777777" w:rsidR="00C655DD" w:rsidRPr="00F1687C" w:rsidRDefault="00C655DD" w:rsidP="00C655DD">
      <w:pPr>
        <w:keepNext/>
        <w:numPr>
          <w:ilvl w:val="1"/>
          <w:numId w:val="0"/>
        </w:numPr>
        <w:spacing w:before="200" w:line="233" w:lineRule="auto"/>
        <w:outlineLvl w:val="2"/>
        <w:rPr>
          <w:rFonts w:eastAsiaTheme="majorEastAsia" w:cs="Arial"/>
          <w:bCs/>
          <w:color w:val="1E4959"/>
          <w:sz w:val="24"/>
          <w:szCs w:val="22"/>
          <w:u w:val="single"/>
        </w:rPr>
      </w:pPr>
      <w:r w:rsidRPr="00F1687C">
        <w:rPr>
          <w:rFonts w:eastAsiaTheme="majorEastAsia" w:cs="Arial"/>
          <w:color w:val="1E4959"/>
          <w:sz w:val="24"/>
          <w:szCs w:val="22"/>
          <w:u w:val="single"/>
        </w:rPr>
        <w:t xml:space="preserve">Total </w:t>
      </w:r>
      <w:r>
        <w:rPr>
          <w:rFonts w:eastAsiaTheme="majorEastAsia" w:cs="Arial"/>
          <w:color w:val="1E4959"/>
          <w:sz w:val="24"/>
          <w:szCs w:val="22"/>
          <w:u w:val="single"/>
        </w:rPr>
        <w:t>Non-Reimbursable</w:t>
      </w:r>
      <w:r w:rsidRPr="00F1687C">
        <w:rPr>
          <w:rFonts w:eastAsiaTheme="majorEastAsia" w:cs="Arial"/>
          <w:color w:val="1E4959"/>
          <w:sz w:val="24"/>
          <w:szCs w:val="22"/>
          <w:u w:val="single"/>
        </w:rPr>
        <w:t xml:space="preserve"> Expenses</w:t>
      </w:r>
    </w:p>
    <w:p w14:paraId="7C61FB3B" w14:textId="08CFC4BE" w:rsidR="00C655DD" w:rsidRPr="00F1687C" w:rsidRDefault="00C655DD" w:rsidP="00C655DD">
      <w:pPr>
        <w:rPr>
          <w:rFonts w:cs="Arial"/>
          <w:szCs w:val="22"/>
        </w:rPr>
      </w:pPr>
      <w:r w:rsidRPr="00F1687C">
        <w:rPr>
          <w:rFonts w:cs="Arial"/>
          <w:szCs w:val="22"/>
        </w:rPr>
        <w:t xml:space="preserve">Based on the preceding, </w:t>
      </w:r>
      <w:r w:rsidRPr="00F1687C">
        <w:rPr>
          <w:rFonts w:cs="Arial"/>
          <w:b/>
          <w:szCs w:val="22"/>
        </w:rPr>
        <w:t xml:space="preserve">total </w:t>
      </w:r>
      <w:r>
        <w:rPr>
          <w:rFonts w:cs="Arial"/>
          <w:b/>
          <w:szCs w:val="22"/>
        </w:rPr>
        <w:t>non-reimbursable</w:t>
      </w:r>
      <w:r w:rsidRPr="00F1687C">
        <w:rPr>
          <w:rFonts w:cs="Arial"/>
          <w:b/>
          <w:szCs w:val="22"/>
        </w:rPr>
        <w:t xml:space="preserve"> expenses</w:t>
      </w:r>
      <w:r w:rsidRPr="00F1687C">
        <w:rPr>
          <w:rFonts w:cs="Arial"/>
          <w:szCs w:val="22"/>
        </w:rPr>
        <w:t xml:space="preserve"> for the subject property of </w:t>
      </w:r>
      <w:r w:rsidRPr="00C655DD">
        <w:rPr>
          <w:rFonts w:cs="Arial"/>
          <w:b/>
          <w:szCs w:val="22"/>
          <w:highlight w:val="yellow"/>
        </w:rPr>
        <w:t xml:space="preserve">$________ </w:t>
      </w:r>
      <w:r w:rsidRPr="00C655DD">
        <w:rPr>
          <w:rFonts w:cs="Arial"/>
          <w:szCs w:val="22"/>
          <w:highlight w:val="yellow"/>
        </w:rPr>
        <w:t>($0.___</w:t>
      </w:r>
      <w:r w:rsidRPr="00F1687C">
        <w:rPr>
          <w:rFonts w:cs="Arial"/>
          <w:szCs w:val="22"/>
        </w:rPr>
        <w:t xml:space="preserve"> per SF GLA) were considered reasonably supported in this analysis. </w:t>
      </w:r>
    </w:p>
    <w:p w14:paraId="55F0073C" w14:textId="77777777" w:rsidR="00C655DD" w:rsidRPr="00004F12" w:rsidRDefault="00C655DD" w:rsidP="00C655DD">
      <w:pPr>
        <w:keepNext/>
        <w:numPr>
          <w:ilvl w:val="1"/>
          <w:numId w:val="0"/>
        </w:numPr>
        <w:spacing w:before="200" w:line="233" w:lineRule="auto"/>
        <w:outlineLvl w:val="2"/>
        <w:rPr>
          <w:rFonts w:eastAsiaTheme="majorEastAsia" w:cs="Arial"/>
          <w:bCs/>
          <w:color w:val="1E4959"/>
          <w:sz w:val="28"/>
          <w:szCs w:val="22"/>
        </w:rPr>
      </w:pPr>
      <w:r w:rsidRPr="00004F12">
        <w:rPr>
          <w:rFonts w:eastAsiaTheme="majorEastAsia" w:cs="Arial"/>
          <w:color w:val="1E4959"/>
          <w:sz w:val="28"/>
          <w:szCs w:val="22"/>
        </w:rPr>
        <w:t>Total Operating Expenses</w:t>
      </w:r>
    </w:p>
    <w:p w14:paraId="74526BED" w14:textId="30770C9A" w:rsidR="00C655DD" w:rsidRPr="00F1687C" w:rsidRDefault="00C655DD" w:rsidP="00C655DD">
      <w:pPr>
        <w:rPr>
          <w:rFonts w:cs="Arial"/>
          <w:szCs w:val="22"/>
        </w:rPr>
      </w:pPr>
      <w:r>
        <w:rPr>
          <w:rFonts w:cs="Arial"/>
          <w:szCs w:val="22"/>
        </w:rPr>
        <w:t>Combining reimbursable and non-reimbursable expenses</w:t>
      </w:r>
      <w:r w:rsidRPr="00F1687C">
        <w:rPr>
          <w:rFonts w:cs="Arial"/>
          <w:szCs w:val="22"/>
        </w:rPr>
        <w:t xml:space="preserve">, </w:t>
      </w:r>
      <w:r w:rsidRPr="00F1687C">
        <w:rPr>
          <w:rFonts w:cs="Arial"/>
          <w:b/>
          <w:szCs w:val="22"/>
        </w:rPr>
        <w:t>total stabilized operating expenses</w:t>
      </w:r>
      <w:r w:rsidRPr="00F1687C">
        <w:rPr>
          <w:rFonts w:cs="Arial"/>
          <w:szCs w:val="22"/>
        </w:rPr>
        <w:t xml:space="preserve"> for the subject property of </w:t>
      </w:r>
      <w:r w:rsidRPr="00C655DD">
        <w:rPr>
          <w:rFonts w:cs="Arial"/>
          <w:b/>
          <w:szCs w:val="22"/>
          <w:highlight w:val="yellow"/>
        </w:rPr>
        <w:t xml:space="preserve">$__________ </w:t>
      </w:r>
      <w:r w:rsidRPr="00C655DD">
        <w:rPr>
          <w:rFonts w:cs="Arial"/>
          <w:szCs w:val="22"/>
          <w:highlight w:val="yellow"/>
        </w:rPr>
        <w:t>($______ per SF GLA</w:t>
      </w:r>
      <w:r w:rsidRPr="00F1687C">
        <w:rPr>
          <w:rFonts w:cs="Arial"/>
          <w:szCs w:val="22"/>
        </w:rPr>
        <w:t xml:space="preserve">) were considered reasonably supported in this analysis. </w:t>
      </w:r>
    </w:p>
    <w:p w14:paraId="190348DA" w14:textId="77777777" w:rsidR="00C655DD" w:rsidRPr="000754FA" w:rsidRDefault="00C655DD" w:rsidP="00C655DD">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Net Operating Income</w:t>
      </w:r>
    </w:p>
    <w:p w14:paraId="2E0EA073" w14:textId="1F0204F7" w:rsidR="00C655DD" w:rsidRPr="000754FA" w:rsidRDefault="00C655DD" w:rsidP="00C655DD">
      <w:pPr>
        <w:rPr>
          <w:rFonts w:cs="Arial"/>
          <w:szCs w:val="22"/>
        </w:rPr>
      </w:pPr>
      <w:r w:rsidRPr="000754FA">
        <w:rPr>
          <w:rFonts w:cs="Arial"/>
          <w:szCs w:val="22"/>
        </w:rPr>
        <w:t xml:space="preserve">Deducting projected annual operating expenses from the annual effective gross income results in a projected </w:t>
      </w:r>
      <w:r w:rsidRPr="000754FA">
        <w:rPr>
          <w:rFonts w:cs="Arial"/>
          <w:b/>
          <w:szCs w:val="22"/>
        </w:rPr>
        <w:t xml:space="preserve">net operating income </w:t>
      </w:r>
      <w:r w:rsidRPr="000754FA">
        <w:rPr>
          <w:rFonts w:cs="Arial"/>
          <w:szCs w:val="22"/>
        </w:rPr>
        <w:t xml:space="preserve">for the subject property </w:t>
      </w:r>
      <w:r w:rsidRPr="00C655DD">
        <w:rPr>
          <w:rFonts w:cs="Arial"/>
          <w:szCs w:val="22"/>
          <w:highlight w:val="yellow"/>
        </w:rPr>
        <w:t xml:space="preserve">of </w:t>
      </w:r>
      <w:r w:rsidRPr="00C655DD">
        <w:rPr>
          <w:rFonts w:cs="Arial"/>
          <w:b/>
          <w:szCs w:val="22"/>
          <w:highlight w:val="yellow"/>
        </w:rPr>
        <w:t>$_________</w:t>
      </w:r>
      <w:r w:rsidRPr="00C655DD">
        <w:rPr>
          <w:rFonts w:cs="Arial"/>
          <w:szCs w:val="22"/>
          <w:highlight w:val="yellow"/>
        </w:rPr>
        <w:t xml:space="preserve"> ($______</w:t>
      </w:r>
      <w:r w:rsidRPr="000754FA">
        <w:rPr>
          <w:rFonts w:cs="Arial"/>
          <w:szCs w:val="22"/>
        </w:rPr>
        <w:t xml:space="preserve"> per SF G</w:t>
      </w:r>
      <w:r>
        <w:rPr>
          <w:rFonts w:cs="Arial"/>
          <w:szCs w:val="22"/>
        </w:rPr>
        <w:t>L</w:t>
      </w:r>
      <w:r w:rsidRPr="000754FA">
        <w:rPr>
          <w:rFonts w:cs="Arial"/>
          <w:szCs w:val="22"/>
        </w:rPr>
        <w:t xml:space="preserve">A) as is summarized on a following page. It is at this time that net income can be capitalized into a value estimate. </w:t>
      </w:r>
    </w:p>
    <w:p w14:paraId="0B9A094B" w14:textId="77777777" w:rsidR="005A24B3" w:rsidRPr="000754FA" w:rsidRDefault="005A24B3" w:rsidP="005A24B3">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2F6337E5" w14:textId="77777777" w:rsidR="005A24B3" w:rsidRPr="000754FA" w:rsidRDefault="005A24B3" w:rsidP="005A24B3">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0C642822" w14:textId="77777777" w:rsidR="005A24B3" w:rsidRPr="000754FA" w:rsidRDefault="005A24B3" w:rsidP="005A24B3">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sale price. This technique illustrates what purchasers are willing to pay for the net operating income </w:t>
      </w:r>
      <w:r w:rsidRPr="000754FA">
        <w:rPr>
          <w:rFonts w:cs="Arial"/>
          <w:szCs w:val="22"/>
        </w:rPr>
        <w:lastRenderedPageBreak/>
        <w:t xml:space="preserve">available from competitive investment properties. This method best approximates the decision-making processes of the typical investor. </w:t>
      </w:r>
    </w:p>
    <w:p w14:paraId="79644EF4" w14:textId="77777777" w:rsidR="005A24B3" w:rsidRPr="000754FA" w:rsidRDefault="005A24B3" w:rsidP="005A24B3">
      <w:pPr>
        <w:rPr>
          <w:rFonts w:cs="Arial"/>
          <w:szCs w:val="22"/>
        </w:rPr>
      </w:pPr>
    </w:p>
    <w:p w14:paraId="1835E619" w14:textId="438D53EA" w:rsidR="005A24B3" w:rsidRDefault="005A24B3" w:rsidP="005A24B3">
      <w:pPr>
        <w:rPr>
          <w:rFonts w:cs="Arial"/>
          <w:szCs w:val="22"/>
        </w:rPr>
      </w:pPr>
      <w:r w:rsidRPr="000754FA">
        <w:rPr>
          <w:rFonts w:cs="Arial"/>
          <w:szCs w:val="22"/>
        </w:rPr>
        <w:t xml:space="preserve">The primary factors </w:t>
      </w:r>
      <w:r w:rsidRPr="00E955E2">
        <w:rPr>
          <w:rFonts w:cs="Arial"/>
          <w:szCs w:val="22"/>
        </w:rPr>
        <w:t xml:space="preserve">influencing capitalization rates are:  1) The quality and certainty of the net operating income stream; 2) risk factors; 3) physical and locational characteristics of the property; 4) the competitive market position of the property and 5) the potential for future appreciation. The following chart summarizes the data used to estimate the market capitalization rate applicable to the subject property. </w:t>
      </w:r>
      <w:bookmarkStart w:id="6" w:name="_Hlk41136330"/>
    </w:p>
    <w:p w14:paraId="66C8FF82" w14:textId="49EDBA92" w:rsidR="005A24B3" w:rsidRDefault="005A24B3" w:rsidP="005A24B3">
      <w:pPr>
        <w:rPr>
          <w:rFonts w:cs="Arial"/>
          <w:szCs w:val="22"/>
        </w:rPr>
      </w:pPr>
    </w:p>
    <w:p w14:paraId="401B41B7" w14:textId="13952607" w:rsidR="00BC65DD" w:rsidRDefault="00BC65DD" w:rsidP="005A24B3">
      <w:pPr>
        <w:rPr>
          <w:rFonts w:cs="Arial"/>
          <w:szCs w:val="22"/>
        </w:rPr>
      </w:pPr>
      <w:r w:rsidRPr="00E26156">
        <w:rPr>
          <w:rFonts w:cs="Arial"/>
          <w:szCs w:val="22"/>
          <w:highlight w:val="green"/>
        </w:rPr>
        <w:t>Merge cap rate comparables from CARDS and insert into here (example below)</w:t>
      </w:r>
    </w:p>
    <w:bookmarkEnd w:id="6"/>
    <w:p w14:paraId="64E964D3" w14:textId="77777777" w:rsidR="00BC65DD" w:rsidRDefault="00BC65DD" w:rsidP="005A24B3">
      <w:pPr>
        <w:rPr>
          <w:rFonts w:cs="Arial"/>
          <w:szCs w:val="22"/>
        </w:rPr>
      </w:pPr>
    </w:p>
    <w:tbl>
      <w:tblPr>
        <w:tblW w:w="0" w:type="auto"/>
        <w:tblLook w:val="01E0" w:firstRow="1" w:lastRow="1" w:firstColumn="1" w:lastColumn="1" w:noHBand="0" w:noVBand="0"/>
      </w:tblPr>
      <w:tblGrid>
        <w:gridCol w:w="816"/>
        <w:gridCol w:w="2218"/>
        <w:gridCol w:w="1132"/>
        <w:gridCol w:w="1391"/>
        <w:gridCol w:w="1181"/>
        <w:gridCol w:w="1701"/>
        <w:gridCol w:w="921"/>
      </w:tblGrid>
      <w:tr w:rsidR="005A24B3" w:rsidRPr="00EE6F4E" w14:paraId="08F853D9" w14:textId="77777777" w:rsidTr="00B46DD4">
        <w:tc>
          <w:tcPr>
            <w:tcW w:w="816" w:type="dxa"/>
            <w:tcBorders>
              <w:bottom w:val="single" w:sz="24" w:space="0" w:color="3FB44F"/>
            </w:tcBorders>
            <w:shd w:val="clear" w:color="auto" w:fill="1E4959"/>
            <w:vAlign w:val="bottom"/>
          </w:tcPr>
          <w:p w14:paraId="47FF016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218" w:type="dxa"/>
            <w:tcBorders>
              <w:bottom w:val="single" w:sz="24" w:space="0" w:color="3FB44F"/>
            </w:tcBorders>
            <w:shd w:val="clear" w:color="auto" w:fill="1E4959"/>
            <w:vAlign w:val="bottom"/>
          </w:tcPr>
          <w:p w14:paraId="1CE6C5AF" w14:textId="77777777" w:rsidR="005A24B3" w:rsidRPr="00674D31" w:rsidRDefault="005A24B3" w:rsidP="009338EB">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1132" w:type="dxa"/>
            <w:tcBorders>
              <w:bottom w:val="single" w:sz="24" w:space="0" w:color="3FB44F"/>
            </w:tcBorders>
            <w:shd w:val="clear" w:color="auto" w:fill="1E4959"/>
            <w:vAlign w:val="bottom"/>
          </w:tcPr>
          <w:p w14:paraId="5C3A938E"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391" w:type="dxa"/>
            <w:tcBorders>
              <w:bottom w:val="single" w:sz="24" w:space="0" w:color="3FB44F"/>
            </w:tcBorders>
            <w:shd w:val="clear" w:color="auto" w:fill="1E4959"/>
            <w:vAlign w:val="bottom"/>
          </w:tcPr>
          <w:p w14:paraId="4E3B8547"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181" w:type="dxa"/>
            <w:tcBorders>
              <w:bottom w:val="single" w:sz="24" w:space="0" w:color="3FB44F"/>
            </w:tcBorders>
            <w:shd w:val="clear" w:color="auto" w:fill="1E4959"/>
            <w:vAlign w:val="bottom"/>
          </w:tcPr>
          <w:p w14:paraId="5C74D4B3" w14:textId="77777777" w:rsidR="005A24B3"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0910C40D" w14:textId="77777777" w:rsidR="005A24B3" w:rsidRPr="00674D31" w:rsidRDefault="005A24B3" w:rsidP="009338EB">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701" w:type="dxa"/>
            <w:tcBorders>
              <w:bottom w:val="single" w:sz="24" w:space="0" w:color="3FB44F"/>
            </w:tcBorders>
            <w:shd w:val="clear" w:color="auto" w:fill="1E4959"/>
            <w:vAlign w:val="bottom"/>
          </w:tcPr>
          <w:p w14:paraId="633DE536"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21" w:type="dxa"/>
            <w:tcBorders>
              <w:bottom w:val="single" w:sz="24" w:space="0" w:color="3FB44F"/>
            </w:tcBorders>
            <w:shd w:val="clear" w:color="auto" w:fill="1E4959"/>
            <w:vAlign w:val="bottom"/>
          </w:tcPr>
          <w:p w14:paraId="588F3530" w14:textId="77777777" w:rsidR="005A24B3" w:rsidRPr="00674D31" w:rsidRDefault="005A24B3" w:rsidP="009338EB">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5A24B3" w:rsidRPr="00A219FB" w14:paraId="56D1764E" w14:textId="77777777" w:rsidTr="00B46DD4">
        <w:tc>
          <w:tcPr>
            <w:tcW w:w="816" w:type="dxa"/>
            <w:tcBorders>
              <w:bottom w:val="single" w:sz="4" w:space="0" w:color="auto"/>
              <w:right w:val="single" w:sz="2" w:space="0" w:color="auto"/>
            </w:tcBorders>
            <w:shd w:val="clear" w:color="auto" w:fill="auto"/>
          </w:tcPr>
          <w:p w14:paraId="39B56467"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A</w:t>
            </w:r>
          </w:p>
        </w:tc>
        <w:tc>
          <w:tcPr>
            <w:tcW w:w="2218" w:type="dxa"/>
            <w:tcBorders>
              <w:left w:val="single" w:sz="2" w:space="0" w:color="auto"/>
              <w:bottom w:val="single" w:sz="4" w:space="0" w:color="auto"/>
              <w:right w:val="single" w:sz="2" w:space="0" w:color="auto"/>
            </w:tcBorders>
            <w:shd w:val="clear" w:color="auto" w:fill="auto"/>
          </w:tcPr>
          <w:p w14:paraId="7ED9A293"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Western Integrated Technologies</w:t>
            </w:r>
            <w:r w:rsidRPr="00A219FB">
              <w:rPr>
                <w:rFonts w:ascii="Calibri" w:hAnsi="Calibri" w:cs="Arial"/>
                <w:sz w:val="20"/>
                <w:highlight w:val="yellow"/>
              </w:rPr>
              <w:br/>
              <w:t>8900 N Ramsey Blvd.</w:t>
            </w:r>
            <w:r w:rsidRPr="00A219FB">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7E3ED576"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11/18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4B901E01"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2007</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72DBFC3A"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43,335</w:t>
            </w:r>
          </w:p>
        </w:tc>
        <w:tc>
          <w:tcPr>
            <w:tcW w:w="1701" w:type="dxa"/>
            <w:tcBorders>
              <w:bottom w:val="single" w:sz="4" w:space="0" w:color="auto"/>
              <w:right w:val="single" w:sz="2" w:space="0" w:color="auto"/>
            </w:tcBorders>
            <w:shd w:val="clear" w:color="auto" w:fill="auto"/>
          </w:tcPr>
          <w:p w14:paraId="7C68448A"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$5,100,000</w:t>
            </w:r>
          </w:p>
        </w:tc>
        <w:tc>
          <w:tcPr>
            <w:tcW w:w="921" w:type="dxa"/>
            <w:tcBorders>
              <w:left w:val="single" w:sz="2" w:space="0" w:color="auto"/>
              <w:bottom w:val="single" w:sz="4" w:space="0" w:color="auto"/>
            </w:tcBorders>
            <w:shd w:val="clear" w:color="auto" w:fill="auto"/>
          </w:tcPr>
          <w:p w14:paraId="471A4B8F"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6.47 %</w:t>
            </w:r>
          </w:p>
        </w:tc>
      </w:tr>
      <w:tr w:rsidR="005A24B3" w:rsidRPr="00A219FB" w14:paraId="373BCE25" w14:textId="77777777" w:rsidTr="00B46DD4">
        <w:tc>
          <w:tcPr>
            <w:tcW w:w="816" w:type="dxa"/>
            <w:tcBorders>
              <w:bottom w:val="single" w:sz="4" w:space="0" w:color="auto"/>
              <w:right w:val="single" w:sz="2" w:space="0" w:color="auto"/>
            </w:tcBorders>
            <w:shd w:val="clear" w:color="auto" w:fill="auto"/>
          </w:tcPr>
          <w:p w14:paraId="3CB46182"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B</w:t>
            </w:r>
          </w:p>
        </w:tc>
        <w:tc>
          <w:tcPr>
            <w:tcW w:w="2218" w:type="dxa"/>
            <w:tcBorders>
              <w:left w:val="single" w:sz="2" w:space="0" w:color="auto"/>
              <w:bottom w:val="single" w:sz="4" w:space="0" w:color="auto"/>
              <w:right w:val="single" w:sz="2" w:space="0" w:color="auto"/>
            </w:tcBorders>
            <w:shd w:val="clear" w:color="auto" w:fill="auto"/>
          </w:tcPr>
          <w:p w14:paraId="6F0D8387"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Allred Industrial Park</w:t>
            </w:r>
            <w:r w:rsidRPr="00A219FB">
              <w:rPr>
                <w:rFonts w:ascii="Calibri" w:hAnsi="Calibri" w:cs="Arial"/>
                <w:sz w:val="20"/>
                <w:highlight w:val="yellow"/>
              </w:rPr>
              <w:br/>
              <w:t>9380-9452 SW Tigard St.</w:t>
            </w:r>
            <w:r w:rsidRPr="00A219FB">
              <w:rPr>
                <w:rFonts w:ascii="Calibri" w:hAnsi="Calibri" w:cs="Arial"/>
                <w:sz w:val="20"/>
                <w:highlight w:val="yellow"/>
              </w:rPr>
              <w:br/>
              <w:t>Tigard, OR</w:t>
            </w:r>
          </w:p>
        </w:tc>
        <w:tc>
          <w:tcPr>
            <w:tcW w:w="1132" w:type="dxa"/>
            <w:tcBorders>
              <w:left w:val="single" w:sz="2" w:space="0" w:color="auto"/>
              <w:bottom w:val="single" w:sz="4" w:space="0" w:color="auto"/>
            </w:tcBorders>
            <w:shd w:val="clear" w:color="auto" w:fill="auto"/>
          </w:tcPr>
          <w:p w14:paraId="747BC0EF"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09/18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4AA58A6F"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1990</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4BBC96AC"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48,238</w:t>
            </w:r>
          </w:p>
        </w:tc>
        <w:tc>
          <w:tcPr>
            <w:tcW w:w="1701" w:type="dxa"/>
            <w:tcBorders>
              <w:bottom w:val="single" w:sz="4" w:space="0" w:color="auto"/>
              <w:right w:val="single" w:sz="2" w:space="0" w:color="auto"/>
            </w:tcBorders>
            <w:shd w:val="clear" w:color="auto" w:fill="auto"/>
          </w:tcPr>
          <w:p w14:paraId="1CED0FDD"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$6,250,000</w:t>
            </w:r>
          </w:p>
        </w:tc>
        <w:tc>
          <w:tcPr>
            <w:tcW w:w="921" w:type="dxa"/>
            <w:tcBorders>
              <w:left w:val="single" w:sz="2" w:space="0" w:color="auto"/>
              <w:bottom w:val="single" w:sz="4" w:space="0" w:color="auto"/>
            </w:tcBorders>
            <w:shd w:val="clear" w:color="auto" w:fill="auto"/>
          </w:tcPr>
          <w:p w14:paraId="4D8660C9"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6.60 %</w:t>
            </w:r>
          </w:p>
        </w:tc>
      </w:tr>
      <w:tr w:rsidR="005A24B3" w:rsidRPr="00A219FB" w14:paraId="163F69B2" w14:textId="77777777" w:rsidTr="00B46DD4">
        <w:tc>
          <w:tcPr>
            <w:tcW w:w="816" w:type="dxa"/>
            <w:tcBorders>
              <w:bottom w:val="single" w:sz="4" w:space="0" w:color="auto"/>
              <w:right w:val="single" w:sz="2" w:space="0" w:color="auto"/>
            </w:tcBorders>
            <w:shd w:val="clear" w:color="auto" w:fill="auto"/>
          </w:tcPr>
          <w:p w14:paraId="0C603417"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C</w:t>
            </w:r>
          </w:p>
        </w:tc>
        <w:tc>
          <w:tcPr>
            <w:tcW w:w="2218" w:type="dxa"/>
            <w:tcBorders>
              <w:left w:val="single" w:sz="2" w:space="0" w:color="auto"/>
              <w:bottom w:val="single" w:sz="4" w:space="0" w:color="auto"/>
              <w:right w:val="single" w:sz="2" w:space="0" w:color="auto"/>
            </w:tcBorders>
            <w:shd w:val="clear" w:color="auto" w:fill="auto"/>
          </w:tcPr>
          <w:p w14:paraId="61BB173E"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Ryonet Building</w:t>
            </w:r>
            <w:r w:rsidRPr="00A219FB">
              <w:rPr>
                <w:rFonts w:ascii="Calibri" w:hAnsi="Calibri" w:cs="Arial"/>
                <w:sz w:val="20"/>
                <w:highlight w:val="yellow"/>
              </w:rPr>
              <w:br/>
              <w:t>12303 NE 56th Street</w:t>
            </w:r>
            <w:r w:rsidRPr="00A219FB">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1778AE6"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08/18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4218908A"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2004</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436DE90E"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30,000</w:t>
            </w:r>
          </w:p>
        </w:tc>
        <w:tc>
          <w:tcPr>
            <w:tcW w:w="1701" w:type="dxa"/>
            <w:tcBorders>
              <w:bottom w:val="single" w:sz="4" w:space="0" w:color="auto"/>
              <w:right w:val="single" w:sz="2" w:space="0" w:color="auto"/>
            </w:tcBorders>
            <w:shd w:val="clear" w:color="auto" w:fill="auto"/>
          </w:tcPr>
          <w:p w14:paraId="6A929FA4"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$4,850,000</w:t>
            </w:r>
          </w:p>
        </w:tc>
        <w:tc>
          <w:tcPr>
            <w:tcW w:w="921" w:type="dxa"/>
            <w:tcBorders>
              <w:left w:val="single" w:sz="2" w:space="0" w:color="auto"/>
              <w:bottom w:val="single" w:sz="4" w:space="0" w:color="auto"/>
            </w:tcBorders>
            <w:shd w:val="clear" w:color="auto" w:fill="auto"/>
          </w:tcPr>
          <w:p w14:paraId="16034374"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5.28 %</w:t>
            </w:r>
          </w:p>
        </w:tc>
      </w:tr>
      <w:tr w:rsidR="005A24B3" w:rsidRPr="00A219FB" w14:paraId="24FE18EB" w14:textId="77777777" w:rsidTr="00B46DD4">
        <w:tc>
          <w:tcPr>
            <w:tcW w:w="816" w:type="dxa"/>
            <w:tcBorders>
              <w:bottom w:val="single" w:sz="4" w:space="0" w:color="auto"/>
              <w:right w:val="single" w:sz="2" w:space="0" w:color="auto"/>
            </w:tcBorders>
            <w:shd w:val="clear" w:color="auto" w:fill="auto"/>
          </w:tcPr>
          <w:p w14:paraId="19C6A01E"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D</w:t>
            </w:r>
          </w:p>
        </w:tc>
        <w:tc>
          <w:tcPr>
            <w:tcW w:w="2218" w:type="dxa"/>
            <w:tcBorders>
              <w:left w:val="single" w:sz="2" w:space="0" w:color="auto"/>
              <w:bottom w:val="single" w:sz="4" w:space="0" w:color="auto"/>
              <w:right w:val="single" w:sz="2" w:space="0" w:color="auto"/>
            </w:tcBorders>
            <w:shd w:val="clear" w:color="auto" w:fill="auto"/>
          </w:tcPr>
          <w:p w14:paraId="73F95931"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Silver Eagle Mfg. Co.</w:t>
            </w:r>
            <w:r w:rsidRPr="00A219FB">
              <w:rPr>
                <w:rFonts w:ascii="Calibri" w:hAnsi="Calibri" w:cs="Arial"/>
                <w:sz w:val="20"/>
                <w:highlight w:val="yellow"/>
              </w:rPr>
              <w:br/>
              <w:t>5825 NE Skyport Way</w:t>
            </w:r>
            <w:r w:rsidRPr="00A219FB">
              <w:rPr>
                <w:rFonts w:ascii="Calibri" w:hAnsi="Calibri" w:cs="Arial"/>
                <w:sz w:val="20"/>
                <w:highlight w:val="yellow"/>
              </w:rPr>
              <w:br/>
              <w:t>Portland, OR</w:t>
            </w:r>
          </w:p>
        </w:tc>
        <w:tc>
          <w:tcPr>
            <w:tcW w:w="1132" w:type="dxa"/>
            <w:tcBorders>
              <w:left w:val="single" w:sz="2" w:space="0" w:color="auto"/>
              <w:bottom w:val="single" w:sz="4" w:space="0" w:color="auto"/>
            </w:tcBorders>
            <w:shd w:val="clear" w:color="auto" w:fill="auto"/>
          </w:tcPr>
          <w:p w14:paraId="3FDF92C7"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07/18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7F0EBE5F"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1979</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73AA39CB"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77,960</w:t>
            </w:r>
          </w:p>
        </w:tc>
        <w:tc>
          <w:tcPr>
            <w:tcW w:w="1701" w:type="dxa"/>
            <w:tcBorders>
              <w:bottom w:val="single" w:sz="4" w:space="0" w:color="auto"/>
              <w:right w:val="single" w:sz="2" w:space="0" w:color="auto"/>
            </w:tcBorders>
            <w:shd w:val="clear" w:color="auto" w:fill="auto"/>
          </w:tcPr>
          <w:p w14:paraId="6478278A"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$8,300,000</w:t>
            </w:r>
          </w:p>
        </w:tc>
        <w:tc>
          <w:tcPr>
            <w:tcW w:w="921" w:type="dxa"/>
            <w:tcBorders>
              <w:left w:val="single" w:sz="2" w:space="0" w:color="auto"/>
              <w:bottom w:val="single" w:sz="4" w:space="0" w:color="auto"/>
            </w:tcBorders>
            <w:shd w:val="clear" w:color="auto" w:fill="auto"/>
          </w:tcPr>
          <w:p w14:paraId="7091D0A4"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6.50 %</w:t>
            </w:r>
          </w:p>
        </w:tc>
      </w:tr>
      <w:tr w:rsidR="005A24B3" w:rsidRPr="00A219FB" w14:paraId="005FA043" w14:textId="77777777" w:rsidTr="00B46DD4">
        <w:tc>
          <w:tcPr>
            <w:tcW w:w="816" w:type="dxa"/>
            <w:tcBorders>
              <w:bottom w:val="single" w:sz="4" w:space="0" w:color="auto"/>
              <w:right w:val="single" w:sz="2" w:space="0" w:color="auto"/>
            </w:tcBorders>
            <w:shd w:val="clear" w:color="auto" w:fill="auto"/>
          </w:tcPr>
          <w:p w14:paraId="430EB43B"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E</w:t>
            </w:r>
          </w:p>
        </w:tc>
        <w:tc>
          <w:tcPr>
            <w:tcW w:w="2218" w:type="dxa"/>
            <w:tcBorders>
              <w:left w:val="single" w:sz="2" w:space="0" w:color="auto"/>
              <w:bottom w:val="single" w:sz="4" w:space="0" w:color="auto"/>
              <w:right w:val="single" w:sz="2" w:space="0" w:color="auto"/>
            </w:tcBorders>
            <w:shd w:val="clear" w:color="auto" w:fill="auto"/>
          </w:tcPr>
          <w:p w14:paraId="26251281"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None</w:t>
            </w:r>
            <w:r w:rsidRPr="00A219FB">
              <w:rPr>
                <w:rFonts w:ascii="Calibri" w:hAnsi="Calibri" w:cs="Arial"/>
                <w:sz w:val="20"/>
                <w:highlight w:val="yellow"/>
              </w:rPr>
              <w:br/>
              <w:t>6333 Lakeview Boulevard</w:t>
            </w:r>
            <w:r w:rsidRPr="00A219FB">
              <w:rPr>
                <w:rFonts w:ascii="Calibri" w:hAnsi="Calibri" w:cs="Arial"/>
                <w:sz w:val="20"/>
                <w:highlight w:val="yellow"/>
              </w:rPr>
              <w:br/>
              <w:t>Lake Oswego, OR</w:t>
            </w:r>
          </w:p>
        </w:tc>
        <w:tc>
          <w:tcPr>
            <w:tcW w:w="1132" w:type="dxa"/>
            <w:tcBorders>
              <w:left w:val="single" w:sz="2" w:space="0" w:color="auto"/>
              <w:bottom w:val="single" w:sz="4" w:space="0" w:color="auto"/>
            </w:tcBorders>
            <w:shd w:val="clear" w:color="auto" w:fill="auto"/>
          </w:tcPr>
          <w:p w14:paraId="774394E2"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05/18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76B3A0E1"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1967 &amp; 1974</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642FBE77"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27,336</w:t>
            </w:r>
          </w:p>
        </w:tc>
        <w:tc>
          <w:tcPr>
            <w:tcW w:w="1701" w:type="dxa"/>
            <w:tcBorders>
              <w:bottom w:val="single" w:sz="4" w:space="0" w:color="auto"/>
              <w:right w:val="single" w:sz="2" w:space="0" w:color="auto"/>
            </w:tcBorders>
            <w:shd w:val="clear" w:color="auto" w:fill="auto"/>
          </w:tcPr>
          <w:p w14:paraId="16AAB645"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$3,250,000</w:t>
            </w:r>
          </w:p>
        </w:tc>
        <w:tc>
          <w:tcPr>
            <w:tcW w:w="921" w:type="dxa"/>
            <w:tcBorders>
              <w:left w:val="single" w:sz="2" w:space="0" w:color="auto"/>
              <w:bottom w:val="single" w:sz="4" w:space="0" w:color="auto"/>
            </w:tcBorders>
            <w:shd w:val="clear" w:color="auto" w:fill="auto"/>
          </w:tcPr>
          <w:p w14:paraId="2E1F4325"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5.33 %</w:t>
            </w:r>
          </w:p>
        </w:tc>
      </w:tr>
      <w:tr w:rsidR="005A24B3" w:rsidRPr="00EE6F4E" w14:paraId="1B85A643" w14:textId="77777777" w:rsidTr="00B46DD4">
        <w:tc>
          <w:tcPr>
            <w:tcW w:w="816" w:type="dxa"/>
            <w:tcBorders>
              <w:bottom w:val="single" w:sz="4" w:space="0" w:color="auto"/>
              <w:right w:val="single" w:sz="2" w:space="0" w:color="auto"/>
            </w:tcBorders>
            <w:shd w:val="clear" w:color="auto" w:fill="auto"/>
          </w:tcPr>
          <w:p w14:paraId="6F93D832"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F</w:t>
            </w:r>
          </w:p>
        </w:tc>
        <w:tc>
          <w:tcPr>
            <w:tcW w:w="2218" w:type="dxa"/>
            <w:tcBorders>
              <w:left w:val="single" w:sz="2" w:space="0" w:color="auto"/>
              <w:bottom w:val="single" w:sz="4" w:space="0" w:color="auto"/>
              <w:right w:val="single" w:sz="2" w:space="0" w:color="auto"/>
            </w:tcBorders>
            <w:shd w:val="clear" w:color="auto" w:fill="auto"/>
          </w:tcPr>
          <w:p w14:paraId="15D9D64D" w14:textId="77777777" w:rsidR="005A24B3" w:rsidRPr="00A219FB" w:rsidRDefault="005A24B3" w:rsidP="009338EB">
            <w:pPr>
              <w:pStyle w:val="StylePlainTextArial"/>
              <w:spacing w:before="120" w:line="240" w:lineRule="exact"/>
              <w:jc w:val="left"/>
              <w:rPr>
                <w:rFonts w:ascii="Calibri" w:hAnsi="Calibri" w:cs="Arial"/>
                <w:sz w:val="20"/>
                <w:highlight w:val="yellow"/>
              </w:rPr>
            </w:pPr>
            <w:r w:rsidRPr="00A219FB">
              <w:rPr>
                <w:rFonts w:ascii="Calibri" w:hAnsi="Calibri" w:cs="Arial"/>
                <w:sz w:val="20"/>
                <w:highlight w:val="yellow"/>
              </w:rPr>
              <w:t>Pacific Industrial Commons</w:t>
            </w:r>
            <w:r w:rsidRPr="00A219FB">
              <w:rPr>
                <w:rFonts w:ascii="Calibri" w:hAnsi="Calibri" w:cs="Arial"/>
                <w:sz w:val="20"/>
                <w:highlight w:val="yellow"/>
              </w:rPr>
              <w:br/>
              <w:t>14511 NE 13th Avenue</w:t>
            </w:r>
            <w:r w:rsidRPr="00A219FB">
              <w:rPr>
                <w:rFonts w:ascii="Calibri" w:hAnsi="Calibri" w:cs="Arial"/>
                <w:sz w:val="20"/>
                <w:highlight w:val="yellow"/>
              </w:rPr>
              <w:br/>
              <w:t>Vancouver, WA</w:t>
            </w:r>
          </w:p>
        </w:tc>
        <w:tc>
          <w:tcPr>
            <w:tcW w:w="1132" w:type="dxa"/>
            <w:tcBorders>
              <w:left w:val="single" w:sz="2" w:space="0" w:color="auto"/>
              <w:bottom w:val="single" w:sz="4" w:space="0" w:color="auto"/>
            </w:tcBorders>
            <w:shd w:val="clear" w:color="auto" w:fill="auto"/>
          </w:tcPr>
          <w:p w14:paraId="60FF0BA2"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04/18</w:t>
            </w:r>
            <w:r w:rsidRPr="00A219FB">
              <w:rPr>
                <w:rFonts w:ascii="Calibri" w:hAnsi="Calibri" w:cs="Arial"/>
                <w:sz w:val="20"/>
                <w:highlight w:val="yellow"/>
              </w:rPr>
              <w:br/>
            </w:r>
          </w:p>
        </w:tc>
        <w:tc>
          <w:tcPr>
            <w:tcW w:w="1391" w:type="dxa"/>
            <w:tcBorders>
              <w:bottom w:val="single" w:sz="4" w:space="0" w:color="auto"/>
            </w:tcBorders>
            <w:shd w:val="clear" w:color="auto" w:fill="auto"/>
          </w:tcPr>
          <w:p w14:paraId="336E2084"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1985</w:t>
            </w:r>
            <w:r w:rsidRPr="00A219FB">
              <w:rPr>
                <w:rFonts w:ascii="Calibri" w:hAnsi="Calibri" w:cs="Arial"/>
                <w:sz w:val="20"/>
                <w:highlight w:val="yellow"/>
              </w:rPr>
              <w:br/>
              <w:t xml:space="preserve"> </w:t>
            </w:r>
          </w:p>
        </w:tc>
        <w:tc>
          <w:tcPr>
            <w:tcW w:w="1181" w:type="dxa"/>
            <w:tcBorders>
              <w:bottom w:val="single" w:sz="4" w:space="0" w:color="auto"/>
            </w:tcBorders>
            <w:shd w:val="clear" w:color="auto" w:fill="auto"/>
          </w:tcPr>
          <w:p w14:paraId="22E2398D"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44,500</w:t>
            </w:r>
          </w:p>
        </w:tc>
        <w:tc>
          <w:tcPr>
            <w:tcW w:w="1701" w:type="dxa"/>
            <w:tcBorders>
              <w:bottom w:val="single" w:sz="4" w:space="0" w:color="auto"/>
              <w:right w:val="single" w:sz="2" w:space="0" w:color="auto"/>
            </w:tcBorders>
            <w:shd w:val="clear" w:color="auto" w:fill="auto"/>
          </w:tcPr>
          <w:p w14:paraId="5BC6A8A4" w14:textId="77777777" w:rsidR="005A24B3" w:rsidRPr="00A219FB" w:rsidRDefault="005A24B3" w:rsidP="009338EB">
            <w:pPr>
              <w:pStyle w:val="StylePlainTextArial"/>
              <w:spacing w:before="120" w:line="240" w:lineRule="exact"/>
              <w:jc w:val="center"/>
              <w:rPr>
                <w:rFonts w:ascii="Calibri" w:hAnsi="Calibri" w:cs="Arial"/>
                <w:sz w:val="20"/>
                <w:highlight w:val="yellow"/>
              </w:rPr>
            </w:pPr>
            <w:r w:rsidRPr="00A219FB">
              <w:rPr>
                <w:rFonts w:ascii="Calibri" w:hAnsi="Calibri" w:cs="Arial"/>
                <w:sz w:val="20"/>
                <w:highlight w:val="yellow"/>
              </w:rPr>
              <w:t>$5,325,000</w:t>
            </w:r>
          </w:p>
        </w:tc>
        <w:tc>
          <w:tcPr>
            <w:tcW w:w="921" w:type="dxa"/>
            <w:tcBorders>
              <w:left w:val="single" w:sz="2" w:space="0" w:color="auto"/>
              <w:bottom w:val="single" w:sz="4" w:space="0" w:color="auto"/>
            </w:tcBorders>
            <w:shd w:val="clear" w:color="auto" w:fill="auto"/>
          </w:tcPr>
          <w:p w14:paraId="6F409449" w14:textId="77777777" w:rsidR="005A24B3" w:rsidRPr="00EE6F4E" w:rsidRDefault="005A24B3" w:rsidP="009338EB">
            <w:pPr>
              <w:pStyle w:val="StylePlainTextArial"/>
              <w:spacing w:before="120" w:line="240" w:lineRule="exact"/>
              <w:jc w:val="center"/>
              <w:rPr>
                <w:rFonts w:ascii="Calibri" w:hAnsi="Calibri" w:cs="Arial"/>
                <w:sz w:val="20"/>
              </w:rPr>
            </w:pPr>
            <w:r w:rsidRPr="00A219FB">
              <w:rPr>
                <w:rFonts w:ascii="Calibri" w:hAnsi="Calibri" w:cs="Arial"/>
                <w:sz w:val="20"/>
                <w:highlight w:val="yellow"/>
              </w:rPr>
              <w:t>6.54 %</w:t>
            </w:r>
          </w:p>
        </w:tc>
      </w:tr>
    </w:tbl>
    <w:p w14:paraId="714827FC" w14:textId="77777777" w:rsidR="005A24B3" w:rsidRDefault="005A24B3" w:rsidP="005A24B3">
      <w:pPr>
        <w:rPr>
          <w:rFonts w:cs="Arial"/>
          <w:szCs w:val="22"/>
        </w:rPr>
      </w:pPr>
    </w:p>
    <w:p w14:paraId="7832F1F8" w14:textId="77777777" w:rsidR="005A24B3" w:rsidRDefault="005A24B3" w:rsidP="005A24B3">
      <w:pPr>
        <w:rPr>
          <w:rFonts w:cs="Arial"/>
          <w:szCs w:val="22"/>
        </w:rPr>
      </w:pPr>
    </w:p>
    <w:p w14:paraId="5579A802" w14:textId="77777777" w:rsidR="005A24B3" w:rsidRPr="001433D6" w:rsidRDefault="005A24B3" w:rsidP="005A24B3">
      <w:pPr>
        <w:rPr>
          <w:rFonts w:cs="Arial"/>
          <w:szCs w:val="22"/>
        </w:rPr>
      </w:pPr>
      <w:r w:rsidRPr="006E4B39">
        <w:rPr>
          <w:rFonts w:cs="Arial"/>
          <w:szCs w:val="22"/>
        </w:rPr>
        <w:t xml:space="preserve">The surveyed improved sales data indicate a range of capitalization rates from </w:t>
      </w:r>
      <w:r w:rsidR="00B46DD4">
        <w:rPr>
          <w:rFonts w:cs="Arial"/>
          <w:szCs w:val="22"/>
          <w:highlight w:val="yellow"/>
        </w:rPr>
        <w:t>______</w:t>
      </w:r>
      <w:r w:rsidRPr="00B46DD4">
        <w:rPr>
          <w:rFonts w:cs="Arial"/>
          <w:szCs w:val="22"/>
          <w:highlight w:val="yellow"/>
        </w:rPr>
        <w:t xml:space="preserve">% to </w:t>
      </w:r>
      <w:r w:rsidR="00B46DD4">
        <w:rPr>
          <w:rFonts w:cs="Arial"/>
          <w:szCs w:val="22"/>
          <w:highlight w:val="yellow"/>
        </w:rPr>
        <w:t>______</w:t>
      </w:r>
      <w:r w:rsidRPr="00B46DD4">
        <w:rPr>
          <w:rFonts w:cs="Arial"/>
          <w:szCs w:val="22"/>
          <w:highlight w:val="yellow"/>
        </w:rPr>
        <w:t>%</w:t>
      </w:r>
      <w:r>
        <w:rPr>
          <w:rFonts w:cs="Arial"/>
          <w:szCs w:val="22"/>
        </w:rPr>
        <w:t xml:space="preserve"> </w:t>
      </w:r>
      <w:r w:rsidRPr="00B46DD4">
        <w:rPr>
          <w:rFonts w:cs="Arial"/>
          <w:szCs w:val="22"/>
          <w:highlight w:val="yellow"/>
        </w:rPr>
        <w:t xml:space="preserve">(average = </w:t>
      </w:r>
      <w:r w:rsidR="00B46DD4" w:rsidRPr="00B46DD4">
        <w:rPr>
          <w:rFonts w:cs="Arial"/>
          <w:szCs w:val="22"/>
          <w:highlight w:val="yellow"/>
        </w:rPr>
        <w:t>______</w:t>
      </w:r>
      <w:r w:rsidRPr="00B46DD4">
        <w:rPr>
          <w:rFonts w:cs="Arial"/>
          <w:szCs w:val="22"/>
          <w:highlight w:val="yellow"/>
        </w:rPr>
        <w:t>%).</w:t>
      </w:r>
      <w:r>
        <w:rPr>
          <w:rFonts w:cs="Arial"/>
          <w:szCs w:val="22"/>
        </w:rPr>
        <w:t xml:space="preserve">  Considering the subject’s </w:t>
      </w:r>
      <w:r w:rsidRPr="00BC65DD">
        <w:rPr>
          <w:rFonts w:cs="Arial"/>
          <w:szCs w:val="22"/>
          <w:highlight w:val="yellow"/>
        </w:rPr>
        <w:t>average condition with some recent updating and average exposure location on a secondary commercial corridor</w:t>
      </w:r>
      <w:r>
        <w:rPr>
          <w:rFonts w:cs="Arial"/>
          <w:szCs w:val="22"/>
        </w:rPr>
        <w:t xml:space="preserve">, </w:t>
      </w:r>
      <w:r w:rsidRPr="00BC65DD">
        <w:rPr>
          <w:rFonts w:cs="Arial"/>
          <w:szCs w:val="22"/>
          <w:highlight w:val="yellow"/>
        </w:rPr>
        <w:t>mid-range</w:t>
      </w:r>
      <w:r>
        <w:rPr>
          <w:rFonts w:cs="Arial"/>
          <w:szCs w:val="22"/>
        </w:rPr>
        <w:t xml:space="preserve"> </w:t>
      </w:r>
      <w:r w:rsidRPr="001433D6">
        <w:rPr>
          <w:rFonts w:cs="Arial"/>
          <w:szCs w:val="22"/>
        </w:rPr>
        <w:t xml:space="preserve">indicator is considered supportable.  </w:t>
      </w:r>
    </w:p>
    <w:p w14:paraId="2CCF4E11" w14:textId="77777777" w:rsidR="00E26156" w:rsidRPr="00563520" w:rsidRDefault="00E26156" w:rsidP="00E26156">
      <w:pPr>
        <w:keepNext/>
        <w:numPr>
          <w:ilvl w:val="1"/>
          <w:numId w:val="0"/>
        </w:numPr>
        <w:spacing w:before="200" w:line="233" w:lineRule="auto"/>
        <w:outlineLvl w:val="2"/>
        <w:rPr>
          <w:rFonts w:eastAsiaTheme="majorEastAsia" w:cs="Arial"/>
          <w:bCs/>
          <w:color w:val="1E4959"/>
          <w:sz w:val="24"/>
          <w:szCs w:val="22"/>
          <w:u w:val="single"/>
        </w:rPr>
      </w:pPr>
      <w:r w:rsidRPr="00833382">
        <w:rPr>
          <w:rFonts w:eastAsiaTheme="majorEastAsia" w:cs="Arial"/>
          <w:color w:val="1E4959"/>
          <w:sz w:val="24"/>
          <w:szCs w:val="22"/>
          <w:u w:val="single"/>
        </w:rPr>
        <w:t>National &amp; Regional Surveys</w:t>
      </w:r>
    </w:p>
    <w:p w14:paraId="27F2B5B9" w14:textId="00F2D3BC" w:rsidR="00E26156" w:rsidRPr="00563520" w:rsidRDefault="00E26156" w:rsidP="00E26156">
      <w:pPr>
        <w:pStyle w:val="Footer"/>
        <w:tabs>
          <w:tab w:val="clear" w:pos="4320"/>
          <w:tab w:val="clear" w:pos="8640"/>
        </w:tabs>
      </w:pPr>
      <w:r w:rsidRPr="00563520">
        <w:t xml:space="preserve">Provided following </w:t>
      </w:r>
      <w:r>
        <w:t>is a</w:t>
      </w:r>
      <w:r w:rsidRPr="00563520">
        <w:t xml:space="preserve"> chart </w:t>
      </w:r>
      <w:r>
        <w:t>excer</w:t>
      </w:r>
      <w:r w:rsidRPr="00563520">
        <w:t xml:space="preserve">pt from the </w:t>
      </w:r>
      <w:r w:rsidRPr="00563520">
        <w:rPr>
          <w:bCs/>
        </w:rPr>
        <w:t>PwC Real Estate Investor Survey</w:t>
      </w:r>
      <w:r w:rsidRPr="00563520">
        <w:t xml:space="preserve"> for the </w:t>
      </w:r>
      <w:r w:rsidRPr="00E14FDB">
        <w:rPr>
          <w:highlight w:val="yellow"/>
        </w:rPr>
        <w:t>Q-</w:t>
      </w:r>
      <w:r w:rsidR="00E14FDB">
        <w:rPr>
          <w:highlight w:val="yellow"/>
        </w:rPr>
        <w:t>1</w:t>
      </w:r>
      <w:r w:rsidRPr="00E14FDB">
        <w:rPr>
          <w:highlight w:val="yellow"/>
        </w:rPr>
        <w:t xml:space="preserve"> 20</w:t>
      </w:r>
      <w:r w:rsidR="00E14FDB">
        <w:t>20</w:t>
      </w:r>
      <w:r w:rsidRPr="00E26156">
        <w:t xml:space="preserve"> </w:t>
      </w:r>
      <w:r w:rsidRPr="00563520">
        <w:t xml:space="preserve">that pertain to investors </w:t>
      </w:r>
      <w:r>
        <w:t xml:space="preserve">relating to the </w:t>
      </w:r>
      <w:r w:rsidRPr="00563520">
        <w:rPr>
          <w:u w:val="single"/>
        </w:rPr>
        <w:t xml:space="preserve">Pacific </w:t>
      </w:r>
      <w:r>
        <w:rPr>
          <w:u w:val="single"/>
        </w:rPr>
        <w:t>Region Warehouse</w:t>
      </w:r>
      <w:r w:rsidRPr="00563520">
        <w:rPr>
          <w:u w:val="single"/>
        </w:rPr>
        <w:t xml:space="preserve"> Market</w:t>
      </w:r>
      <w:r>
        <w:t xml:space="preserve"> which reports </w:t>
      </w:r>
      <w:r w:rsidRPr="00DA182B">
        <w:t>a</w:t>
      </w:r>
      <w:r>
        <w:t xml:space="preserve"> range of </w:t>
      </w:r>
      <w:r w:rsidRPr="00E14FDB">
        <w:rPr>
          <w:highlight w:val="yellow"/>
        </w:rPr>
        <w:t>3.70% to 5.50% (average of 4.21%).</w:t>
      </w:r>
      <w:r>
        <w:t xml:space="preserve"> Note that this survey is heavily weighted toward the Seattle – Puget Sound market which typically has lower cap rates than the Portland-Vancouver market, but is still considered to provide support for continued cap rate compression over the past several years for investment grade properties like the subject. Therefore, a cap rate in the </w:t>
      </w:r>
      <w:r w:rsidRPr="00E14FDB">
        <w:rPr>
          <w:highlight w:val="yellow"/>
        </w:rPr>
        <w:t>mid to upper end</w:t>
      </w:r>
      <w:r>
        <w:t xml:space="preserve"> of the surveyed range is considered supportable for the subject project.</w:t>
      </w:r>
    </w:p>
    <w:p w14:paraId="253241FE" w14:textId="77777777" w:rsidR="00E26156" w:rsidRPr="00563520" w:rsidRDefault="00E26156" w:rsidP="00E26156"/>
    <w:p w14:paraId="141A6134" w14:textId="77777777" w:rsidR="00E26156" w:rsidRPr="00DA182B" w:rsidRDefault="00E26156" w:rsidP="00E26156">
      <w:pPr>
        <w:tabs>
          <w:tab w:val="left" w:pos="3600"/>
        </w:tabs>
        <w:jc w:val="center"/>
      </w:pPr>
      <w:r w:rsidRPr="00885859">
        <w:rPr>
          <w:noProof/>
        </w:rPr>
        <w:drawing>
          <wp:inline distT="0" distB="0" distL="0" distR="0" wp14:anchorId="468F97A9" wp14:editId="0DBA1832">
            <wp:extent cx="5943600" cy="2450465"/>
            <wp:effectExtent l="38100" t="38100" r="95250" b="10223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50465"/>
                    </a:xfrm>
                    <a:prstGeom prst="rect">
                      <a:avLst/>
                    </a:prstGeom>
                    <a:effectLst>
                      <a:outerShdw blurRad="50800" dist="38100" dir="2700000" algn="tl" rotWithShape="0">
                        <a:prstClr val="black">
                          <a:alpha val="40000"/>
                        </a:prstClr>
                      </a:outerShdw>
                    </a:effectLst>
                  </pic:spPr>
                </pic:pic>
              </a:graphicData>
            </a:graphic>
          </wp:inline>
        </w:drawing>
      </w:r>
      <w:r w:rsidRPr="00563520">
        <w:t xml:space="preserve"> </w:t>
      </w:r>
    </w:p>
    <w:p w14:paraId="530FB6A5" w14:textId="77777777" w:rsidR="00E26156" w:rsidRPr="00DA182B" w:rsidRDefault="00E26156" w:rsidP="00E26156">
      <w:pPr>
        <w:tabs>
          <w:tab w:val="left" w:pos="4230"/>
        </w:tabs>
      </w:pPr>
    </w:p>
    <w:p w14:paraId="1CDEBEF8" w14:textId="77777777" w:rsidR="00E26156" w:rsidRPr="000754FA" w:rsidRDefault="00E26156" w:rsidP="00E26156">
      <w:pPr>
        <w:keepNext/>
        <w:numPr>
          <w:ilvl w:val="1"/>
          <w:numId w:val="0"/>
        </w:numPr>
        <w:spacing w:before="200" w:line="233" w:lineRule="auto"/>
        <w:outlineLvl w:val="2"/>
        <w:rPr>
          <w:rFonts w:eastAsiaTheme="majorEastAsia" w:cs="Arial"/>
          <w:bCs/>
          <w:iCs/>
          <w:color w:val="1E4959"/>
          <w:sz w:val="24"/>
          <w:szCs w:val="22"/>
          <w:u w:val="single"/>
        </w:rPr>
      </w:pPr>
      <w:r w:rsidRPr="000754FA">
        <w:rPr>
          <w:rFonts w:eastAsiaTheme="majorEastAsia" w:cs="Arial"/>
          <w:iCs/>
          <w:color w:val="1E4959"/>
          <w:sz w:val="24"/>
          <w:szCs w:val="22"/>
          <w:u w:val="single"/>
        </w:rPr>
        <w:t>Cap Rate Conclusion</w:t>
      </w:r>
    </w:p>
    <w:p w14:paraId="28510092" w14:textId="13996B71" w:rsidR="00E26156" w:rsidRPr="002D0C7F" w:rsidRDefault="00E26156" w:rsidP="00E26156">
      <w:pPr>
        <w:pStyle w:val="Footer"/>
        <w:tabs>
          <w:tab w:val="clear" w:pos="4320"/>
          <w:tab w:val="clear" w:pos="8640"/>
        </w:tabs>
        <w:rPr>
          <w:rFonts w:cs="Segoe UI"/>
        </w:rPr>
      </w:pPr>
      <w:r w:rsidRPr="00DA182B">
        <w:t xml:space="preserve">Given the preceding extensive comparable </w:t>
      </w:r>
      <w:r w:rsidRPr="00E26156">
        <w:rPr>
          <w:highlight w:val="yellow"/>
        </w:rPr>
        <w:t>local cap rate support and regional investor market survey</w:t>
      </w:r>
      <w:r w:rsidRPr="00DA182B">
        <w:t xml:space="preserve">, </w:t>
      </w:r>
      <w:r>
        <w:t xml:space="preserve">and given the subject’s </w:t>
      </w:r>
      <w:r w:rsidRPr="00A219FB">
        <w:rPr>
          <w:highlight w:val="yellow"/>
        </w:rPr>
        <w:t>attractive new age / condition and functional design</w:t>
      </w:r>
      <w:r>
        <w:t xml:space="preserve"> with assumed stabilized leased status on a long-term basis</w:t>
      </w:r>
      <w:r w:rsidRPr="00833382">
        <w:t xml:space="preserve">, a concluded </w:t>
      </w:r>
      <w:r w:rsidRPr="00833382">
        <w:rPr>
          <w:b/>
        </w:rPr>
        <w:t>direct capitalization rate</w:t>
      </w:r>
      <w:r w:rsidRPr="00833382">
        <w:t xml:space="preserve"> of </w:t>
      </w:r>
      <w:r w:rsidRPr="00E26156">
        <w:rPr>
          <w:b/>
          <w:highlight w:val="yellow"/>
        </w:rPr>
        <w:t>______%</w:t>
      </w:r>
      <w:r w:rsidRPr="00833382">
        <w:t xml:space="preserve"> is used in analyzing the subject property on a stabilized basis.</w:t>
      </w:r>
      <w:r w:rsidRPr="002D0C7F">
        <w:rPr>
          <w:rFonts w:cs="Segoe UI"/>
        </w:rPr>
        <w:t xml:space="preserve"> </w:t>
      </w:r>
    </w:p>
    <w:p w14:paraId="09DBB09D" w14:textId="77777777" w:rsidR="005A24B3" w:rsidRPr="00B671CF" w:rsidRDefault="005A24B3" w:rsidP="005A24B3">
      <w:pPr>
        <w:keepNext/>
        <w:keepLines/>
        <w:spacing w:before="260"/>
        <w:outlineLvl w:val="1"/>
        <w:rPr>
          <w:rFonts w:cs="Arial"/>
          <w:iCs/>
          <w:color w:val="1E4959"/>
          <w:sz w:val="28"/>
          <w:szCs w:val="22"/>
        </w:rPr>
      </w:pPr>
      <w:r w:rsidRPr="001433D6">
        <w:rPr>
          <w:rFonts w:cs="Arial"/>
          <w:iCs/>
          <w:color w:val="1E4959"/>
          <w:sz w:val="28"/>
          <w:szCs w:val="22"/>
        </w:rPr>
        <w:t>Concluded Market Value Via The</w:t>
      </w:r>
      <w:r w:rsidRPr="004B08E2">
        <w:rPr>
          <w:rFonts w:cs="Arial"/>
          <w:iCs/>
          <w:color w:val="1E4959"/>
          <w:sz w:val="28"/>
          <w:szCs w:val="22"/>
        </w:rPr>
        <w:t xml:space="preserve"> Income Capitalization</w:t>
      </w:r>
      <w:r w:rsidRPr="00B671CF">
        <w:rPr>
          <w:rFonts w:cs="Arial"/>
          <w:iCs/>
          <w:color w:val="1E4959"/>
          <w:sz w:val="28"/>
          <w:szCs w:val="22"/>
        </w:rPr>
        <w:t xml:space="preserve"> Approach </w:t>
      </w:r>
    </w:p>
    <w:p w14:paraId="039A17CC" w14:textId="77777777" w:rsidR="003C0F77" w:rsidRPr="000754FA" w:rsidRDefault="003C0F77" w:rsidP="003C0F77">
      <w:pPr>
        <w:widowControl w:val="0"/>
        <w:rPr>
          <w:rFonts w:cs="Arial"/>
          <w:szCs w:val="22"/>
        </w:rPr>
      </w:pPr>
      <w:r w:rsidRPr="00BC3E4E">
        <w:rPr>
          <w:rFonts w:cs="Arial"/>
          <w:szCs w:val="22"/>
        </w:rPr>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A7819289E2AA47FDA0A757A7C412DB10"/>
          </w:placeholder>
          <w:dropDownList>
            <w:listItem w:value="Choose an item."/>
            <w:listItem w:displayText="stabilized" w:value="stabilized"/>
            <w:listItem w:displayText="prospective stabilized" w:value="prospective stabilized"/>
          </w:dropDownList>
        </w:sdtPr>
        <w:sdtContent>
          <w:r w:rsidRPr="003C6D47">
            <w:rPr>
              <w:rFonts w:cs="Arial"/>
              <w:b/>
              <w:bCs/>
              <w:szCs w:val="22"/>
              <w:highlight w:val="green"/>
            </w:rPr>
            <w:t>stabilized</w:t>
          </w:r>
        </w:sdtContent>
      </w:sdt>
      <w:r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Pr>
          <w:rFonts w:cs="Arial"/>
          <w:szCs w:val="22"/>
        </w:rPr>
        <w:t>(</w:t>
      </w:r>
      <w:sdt>
        <w:sdtPr>
          <w:rPr>
            <w:rFonts w:cs="Arial"/>
            <w:szCs w:val="22"/>
            <w:highlight w:val="green"/>
          </w:rPr>
          <w:alias w:val="Rounded"/>
          <w:tag w:val="Rounded"/>
          <w:id w:val="-1183351504"/>
          <w:placeholder>
            <w:docPart w:val="E3A6C2701273461D901CC435DC0DB349"/>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Pr>
              <w:rFonts w:cs="Arial"/>
              <w:szCs w:val="22"/>
              <w:highlight w:val="green"/>
            </w:rPr>
            <w:t>rounded to the nearest $5,000</w:t>
          </w:r>
        </w:sdtContent>
      </w:sdt>
      <w:r>
        <w:rPr>
          <w:rFonts w:cs="Arial"/>
          <w:szCs w:val="22"/>
        </w:rPr>
        <w:t>)</w:t>
      </w:r>
      <w:r w:rsidRPr="0005433A">
        <w:rPr>
          <w:rFonts w:cs="Arial"/>
          <w:szCs w:val="22"/>
        </w:rPr>
        <w:t>:</w:t>
      </w:r>
    </w:p>
    <w:p w14:paraId="1871FCD2" w14:textId="77777777" w:rsidR="005A24B3" w:rsidRPr="000754FA" w:rsidRDefault="005A24B3" w:rsidP="005A24B3">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5A24B3" w:rsidRPr="000754FA" w14:paraId="30B3B963" w14:textId="77777777" w:rsidTr="009338EB">
        <w:trPr>
          <w:jc w:val="center"/>
        </w:trPr>
        <w:tc>
          <w:tcPr>
            <w:tcW w:w="5314" w:type="dxa"/>
            <w:tcBorders>
              <w:bottom w:val="single" w:sz="24" w:space="0" w:color="3FB44F"/>
            </w:tcBorders>
            <w:shd w:val="clear" w:color="auto" w:fill="1E4959"/>
          </w:tcPr>
          <w:p w14:paraId="67FCD210" w14:textId="77777777" w:rsidR="005A24B3" w:rsidRPr="000754FA" w:rsidRDefault="005A24B3" w:rsidP="009338EB">
            <w:pPr>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69139E7B" w14:textId="77777777" w:rsidR="005A24B3" w:rsidRPr="000754FA" w:rsidRDefault="005A24B3" w:rsidP="009338EB">
            <w:pPr>
              <w:tabs>
                <w:tab w:val="left" w:pos="0"/>
                <w:tab w:val="left" w:pos="259"/>
                <w:tab w:val="left" w:pos="518"/>
              </w:tabs>
              <w:spacing w:line="273" w:lineRule="exact"/>
              <w:jc w:val="right"/>
              <w:rPr>
                <w:rFonts w:cs="Arial"/>
                <w:szCs w:val="22"/>
              </w:rPr>
            </w:pPr>
          </w:p>
        </w:tc>
      </w:tr>
      <w:tr w:rsidR="005A24B3" w:rsidRPr="000754FA" w14:paraId="131D7058" w14:textId="77777777" w:rsidTr="009338EB">
        <w:trPr>
          <w:jc w:val="center"/>
        </w:trPr>
        <w:tc>
          <w:tcPr>
            <w:tcW w:w="5314" w:type="dxa"/>
            <w:tcBorders>
              <w:top w:val="single" w:sz="24" w:space="0" w:color="3FB44F"/>
              <w:bottom w:val="double" w:sz="6" w:space="0" w:color="auto"/>
              <w:right w:val="single" w:sz="6" w:space="0" w:color="auto"/>
            </w:tcBorders>
          </w:tcPr>
          <w:p w14:paraId="79DBE999" w14:textId="77777777" w:rsidR="005A24B3" w:rsidRPr="009D6578" w:rsidRDefault="005A24B3" w:rsidP="009338EB">
            <w:pPr>
              <w:tabs>
                <w:tab w:val="left" w:pos="0"/>
                <w:tab w:val="left" w:pos="259"/>
                <w:tab w:val="left" w:pos="518"/>
              </w:tabs>
              <w:spacing w:before="120"/>
              <w:jc w:val="left"/>
              <w:rPr>
                <w:rFonts w:cs="Arial"/>
                <w:b/>
                <w:szCs w:val="22"/>
              </w:rPr>
            </w:pPr>
            <w:r w:rsidRPr="009D6578">
              <w:rPr>
                <w:rFonts w:cs="Arial"/>
                <w:b/>
                <w:szCs w:val="22"/>
              </w:rPr>
              <w:t xml:space="preserve">Concluded Market Value Via the </w:t>
            </w:r>
          </w:p>
          <w:p w14:paraId="049D7C3C" w14:textId="77777777" w:rsidR="005A24B3" w:rsidRPr="009D6578" w:rsidRDefault="005A24B3" w:rsidP="009338EB">
            <w:pPr>
              <w:tabs>
                <w:tab w:val="left" w:pos="0"/>
                <w:tab w:val="left" w:pos="259"/>
                <w:tab w:val="left" w:pos="518"/>
              </w:tabs>
              <w:spacing w:after="58"/>
              <w:jc w:val="left"/>
              <w:rPr>
                <w:rFonts w:cs="Arial"/>
                <w:b/>
                <w:szCs w:val="22"/>
              </w:rPr>
            </w:pPr>
            <w:r w:rsidRPr="009D6578">
              <w:rPr>
                <w:rFonts w:cs="Arial"/>
                <w:b/>
                <w:szCs w:val="22"/>
              </w:rPr>
              <w:t>Income Capitalization Approach:</w:t>
            </w:r>
          </w:p>
        </w:tc>
        <w:tc>
          <w:tcPr>
            <w:tcW w:w="1976" w:type="dxa"/>
            <w:tcBorders>
              <w:top w:val="single" w:sz="24" w:space="0" w:color="3FB44F"/>
              <w:left w:val="nil"/>
              <w:bottom w:val="double" w:sz="6" w:space="0" w:color="auto"/>
            </w:tcBorders>
          </w:tcPr>
          <w:p w14:paraId="28B3C1C5" w14:textId="77777777" w:rsidR="005A24B3" w:rsidRPr="000754FA" w:rsidRDefault="005A24B3" w:rsidP="009338EB">
            <w:pPr>
              <w:tabs>
                <w:tab w:val="left" w:pos="0"/>
                <w:tab w:val="left" w:pos="259"/>
                <w:tab w:val="left" w:pos="518"/>
              </w:tabs>
              <w:spacing w:before="120" w:after="58" w:line="400" w:lineRule="exact"/>
              <w:jc w:val="center"/>
              <w:rPr>
                <w:rFonts w:cs="Arial"/>
                <w:b/>
                <w:szCs w:val="22"/>
              </w:rPr>
            </w:pPr>
            <w:r w:rsidRPr="008A1229">
              <w:rPr>
                <w:rFonts w:cs="Arial"/>
                <w:b/>
                <w:szCs w:val="22"/>
                <w:highlight w:val="yellow"/>
              </w:rPr>
              <w:t>$</w:t>
            </w:r>
            <w:r w:rsidR="00B46DD4" w:rsidRPr="008A1229">
              <w:rPr>
                <w:rFonts w:cs="Arial"/>
                <w:b/>
                <w:szCs w:val="22"/>
                <w:highlight w:val="yellow"/>
              </w:rPr>
              <w:t>____________</w:t>
            </w:r>
          </w:p>
        </w:tc>
      </w:tr>
    </w:tbl>
    <w:p w14:paraId="6B6BA846" w14:textId="77777777" w:rsidR="005A24B3" w:rsidRDefault="005A24B3" w:rsidP="005A24B3">
      <w:pPr>
        <w:pStyle w:val="Style1"/>
        <w:widowControl/>
        <w:tabs>
          <w:tab w:val="clear" w:pos="4680"/>
        </w:tabs>
        <w:rPr>
          <w:rFonts w:cs="Arial"/>
          <w:kern w:val="20"/>
          <w:szCs w:val="22"/>
        </w:rPr>
      </w:pPr>
    </w:p>
    <w:p w14:paraId="1C236A23" w14:textId="77777777" w:rsidR="005A24B3" w:rsidRDefault="005A24B3" w:rsidP="005A24B3">
      <w:pPr>
        <w:widowControl w:val="0"/>
        <w:spacing w:after="120"/>
        <w:rPr>
          <w:rFonts w:cs="Arial"/>
          <w:szCs w:val="22"/>
        </w:rPr>
      </w:pPr>
      <w:r w:rsidRPr="00DF65C6">
        <w:rPr>
          <w:rFonts w:cs="Arial"/>
          <w:szCs w:val="22"/>
        </w:rPr>
        <w:t>Our analysis of the subject property via the Income Capitalization Approach is presented on the following page.</w:t>
      </w:r>
    </w:p>
    <w:p w14:paraId="15AB78FD" w14:textId="77777777" w:rsidR="005A24B3" w:rsidRDefault="005A24B3" w:rsidP="005A24B3">
      <w:pPr>
        <w:widowControl w:val="0"/>
        <w:spacing w:after="120"/>
        <w:rPr>
          <w:rFonts w:cs="Arial"/>
          <w:szCs w:val="22"/>
        </w:rPr>
        <w:sectPr w:rsidR="005A24B3" w:rsidSect="00BC65DD">
          <w:pgSz w:w="12240" w:h="15840"/>
          <w:pgMar w:top="1440" w:right="1440" w:bottom="720" w:left="1440" w:header="720" w:footer="720" w:gutter="0"/>
          <w:cols w:space="720"/>
          <w:docGrid w:linePitch="360"/>
        </w:sectPr>
      </w:pPr>
    </w:p>
    <w:p w14:paraId="6E4D4531" w14:textId="0D33B903" w:rsidR="005A24B3" w:rsidRDefault="00C655DD" w:rsidP="00447014">
      <w:pPr>
        <w:widowControl w:val="0"/>
        <w:spacing w:after="120"/>
        <w:ind w:left="-180"/>
        <w:jc w:val="center"/>
        <w:rPr>
          <w:rFonts w:cs="Arial"/>
          <w:szCs w:val="22"/>
        </w:rPr>
      </w:pPr>
      <w:r w:rsidRPr="00C655DD">
        <w:rPr>
          <w:noProof/>
        </w:rPr>
        <w:lastRenderedPageBreak/>
        <w:drawing>
          <wp:inline distT="0" distB="0" distL="0" distR="0" wp14:anchorId="6DA917EC" wp14:editId="7221C721">
            <wp:extent cx="5587779" cy="794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649" cy="7954587"/>
                    </a:xfrm>
                    <a:prstGeom prst="rect">
                      <a:avLst/>
                    </a:prstGeom>
                    <a:noFill/>
                    <a:ln>
                      <a:noFill/>
                    </a:ln>
                  </pic:spPr>
                </pic:pic>
              </a:graphicData>
            </a:graphic>
          </wp:inline>
        </w:drawing>
      </w:r>
    </w:p>
    <w:p w14:paraId="25646D5A" w14:textId="77777777" w:rsidR="005A24B3" w:rsidRPr="000754FA" w:rsidRDefault="005A24B3" w:rsidP="005A24B3">
      <w:pPr>
        <w:rPr>
          <w:rFonts w:eastAsia="Calibri" w:cs="Arial"/>
          <w:color w:val="000000"/>
          <w:szCs w:val="22"/>
        </w:rPr>
        <w:sectPr w:rsidR="005A24B3" w:rsidRPr="000754FA" w:rsidSect="00AD7FDD">
          <w:pgSz w:w="12240" w:h="15840"/>
          <w:pgMar w:top="1440" w:right="1440" w:bottom="720" w:left="1440" w:header="720" w:footer="720" w:gutter="0"/>
          <w:cols w:space="720"/>
          <w:vAlign w:val="center"/>
          <w:docGrid w:linePitch="360"/>
        </w:sectPr>
      </w:pPr>
    </w:p>
    <w:p w14:paraId="18C3D59D" w14:textId="77777777" w:rsidR="00DA4B42" w:rsidRDefault="00DA4B42"/>
    <w:sectPr w:rsidR="00DA4B42" w:rsidSect="00BC65D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29405" w14:textId="77777777" w:rsidR="00F61021" w:rsidRDefault="00F61021">
      <w:r>
        <w:separator/>
      </w:r>
    </w:p>
  </w:endnote>
  <w:endnote w:type="continuationSeparator" w:id="0">
    <w:p w14:paraId="78704B44" w14:textId="77777777" w:rsidR="00F61021" w:rsidRDefault="00F6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74CE09F5"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3C0F7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687C51">
      <w:rPr>
        <w:rFonts w:cs="Segoe UI"/>
        <w:bCs/>
        <w:iCs/>
        <w:kern w:val="0"/>
        <w:sz w:val="20"/>
        <w:szCs w:val="18"/>
      </w:rPr>
      <w:t>${</w:t>
    </w:r>
    <w:proofErr w:type="spellStart"/>
    <w:r w:rsidRPr="00687C51">
      <w:rPr>
        <w:rFonts w:cs="Segoe UI"/>
        <w:bCs/>
        <w:iCs/>
        <w:kern w:val="0"/>
        <w:sz w:val="20"/>
        <w:szCs w:val="18"/>
      </w:rPr>
      <w:t>reportname</w:t>
    </w:r>
    <w:proofErr w:type="spellEnd"/>
    <w:r w:rsidRPr="00687C51">
      <w:rPr>
        <w:rFonts w:cs="Segoe UI"/>
        <w:bCs/>
        <w:iCs/>
        <w:kern w:val="0"/>
        <w:sz w:val="20"/>
        <w:szCs w:val="18"/>
      </w:rPr>
      <w:t>}</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EBF8D" w14:textId="77777777" w:rsidR="00F61021" w:rsidRDefault="00F61021">
      <w:r>
        <w:separator/>
      </w:r>
    </w:p>
  </w:footnote>
  <w:footnote w:type="continuationSeparator" w:id="0">
    <w:p w14:paraId="03DF2D11" w14:textId="77777777" w:rsidR="00F61021" w:rsidRDefault="00F61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687C51">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F61021" w:rsidP="00FE229A">
    <w:pPr>
      <w:pStyle w:val="ValbridgeHeader"/>
      <w:tabs>
        <w:tab w:val="left" w:pos="2235"/>
        <w:tab w:val="right" w:pos="9360"/>
      </w:tabs>
      <w:jc w:val="left"/>
      <w:rPr>
        <w:rFonts w:asciiTheme="minorHAnsi" w:hAnsiTheme="minorHAnsi"/>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8544F"/>
    <w:rsid w:val="000972F8"/>
    <w:rsid w:val="000B5457"/>
    <w:rsid w:val="00110582"/>
    <w:rsid w:val="001F5F7E"/>
    <w:rsid w:val="003969EC"/>
    <w:rsid w:val="003B01A8"/>
    <w:rsid w:val="003C0F77"/>
    <w:rsid w:val="0040655A"/>
    <w:rsid w:val="00447014"/>
    <w:rsid w:val="004D08C3"/>
    <w:rsid w:val="004F62BA"/>
    <w:rsid w:val="005A24B3"/>
    <w:rsid w:val="00600D1B"/>
    <w:rsid w:val="00645D69"/>
    <w:rsid w:val="006511AF"/>
    <w:rsid w:val="00687C51"/>
    <w:rsid w:val="006A3211"/>
    <w:rsid w:val="006F11A7"/>
    <w:rsid w:val="007164D1"/>
    <w:rsid w:val="007449E9"/>
    <w:rsid w:val="00783F2D"/>
    <w:rsid w:val="007B2856"/>
    <w:rsid w:val="007D5F82"/>
    <w:rsid w:val="007F6649"/>
    <w:rsid w:val="00807EC0"/>
    <w:rsid w:val="00874B1A"/>
    <w:rsid w:val="008A1229"/>
    <w:rsid w:val="00A219FB"/>
    <w:rsid w:val="00AD6016"/>
    <w:rsid w:val="00B46DD4"/>
    <w:rsid w:val="00B651F9"/>
    <w:rsid w:val="00B75D67"/>
    <w:rsid w:val="00BC65DD"/>
    <w:rsid w:val="00C57807"/>
    <w:rsid w:val="00C655DD"/>
    <w:rsid w:val="00D228C5"/>
    <w:rsid w:val="00D54776"/>
    <w:rsid w:val="00DA4B42"/>
    <w:rsid w:val="00DC4CAF"/>
    <w:rsid w:val="00E07120"/>
    <w:rsid w:val="00E14FDB"/>
    <w:rsid w:val="00E26156"/>
    <w:rsid w:val="00EC1B01"/>
    <w:rsid w:val="00F61021"/>
    <w:rsid w:val="00F815DD"/>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2042932C-8746-485A-9BCC-018FBBDE2BDC}"/>
      </w:docPartPr>
      <w:docPartBody>
        <w:p w:rsidR="00364140" w:rsidRDefault="00C92E18">
          <w:r w:rsidRPr="00BC2797">
            <w:rPr>
              <w:rStyle w:val="PlaceholderText"/>
            </w:rPr>
            <w:t>Choose an item.</w:t>
          </w:r>
        </w:p>
      </w:docPartBody>
    </w:docPart>
    <w:docPart>
      <w:docPartPr>
        <w:name w:val="B774326D833B489AB495B6F36B16526C"/>
        <w:category>
          <w:name w:val="General"/>
          <w:gallery w:val="placeholder"/>
        </w:category>
        <w:types>
          <w:type w:val="bbPlcHdr"/>
        </w:types>
        <w:behaviors>
          <w:behavior w:val="content"/>
        </w:behaviors>
        <w:guid w:val="{C870CF60-B58A-4679-B3C6-1ED7FF366B9D}"/>
      </w:docPartPr>
      <w:docPartBody>
        <w:p w:rsidR="00542D5C" w:rsidRDefault="001B71B2" w:rsidP="001B71B2">
          <w:pPr>
            <w:pStyle w:val="B774326D833B489AB495B6F36B16526C"/>
          </w:pPr>
          <w:r w:rsidRPr="00BC2797">
            <w:rPr>
              <w:rStyle w:val="PlaceholderText"/>
            </w:rPr>
            <w:t>Choose an item.</w:t>
          </w:r>
        </w:p>
      </w:docPartBody>
    </w:docPart>
    <w:docPart>
      <w:docPartPr>
        <w:name w:val="8AAAA3C26D504C049B834FA3C10B1F3A"/>
        <w:category>
          <w:name w:val="General"/>
          <w:gallery w:val="placeholder"/>
        </w:category>
        <w:types>
          <w:type w:val="bbPlcHdr"/>
        </w:types>
        <w:behaviors>
          <w:behavior w:val="content"/>
        </w:behaviors>
        <w:guid w:val="{1F63ADA2-B99D-4A37-8F78-317F20B183A1}"/>
      </w:docPartPr>
      <w:docPartBody>
        <w:p w:rsidR="00542D5C" w:rsidRDefault="001B71B2" w:rsidP="001B71B2">
          <w:pPr>
            <w:pStyle w:val="8AAAA3C26D504C049B834FA3C10B1F3A"/>
          </w:pPr>
          <w:r w:rsidRPr="00BC2797">
            <w:rPr>
              <w:rStyle w:val="PlaceholderText"/>
            </w:rPr>
            <w:t>Choose an item.</w:t>
          </w:r>
        </w:p>
      </w:docPartBody>
    </w:docPart>
    <w:docPart>
      <w:docPartPr>
        <w:name w:val="B8EA887ABF534E0EAB42E341509EC404"/>
        <w:category>
          <w:name w:val="General"/>
          <w:gallery w:val="placeholder"/>
        </w:category>
        <w:types>
          <w:type w:val="bbPlcHdr"/>
        </w:types>
        <w:behaviors>
          <w:behavior w:val="content"/>
        </w:behaviors>
        <w:guid w:val="{9CF4F2CE-A42F-4C39-ACBC-F93EE0D2E037}"/>
      </w:docPartPr>
      <w:docPartBody>
        <w:p w:rsidR="00000000" w:rsidRDefault="004040D9" w:rsidP="004040D9">
          <w:pPr>
            <w:pStyle w:val="B8EA887ABF534E0EAB42E341509EC404"/>
          </w:pPr>
          <w:r w:rsidRPr="003B43C3">
            <w:rPr>
              <w:rStyle w:val="PlaceholderText"/>
            </w:rPr>
            <w:t>Choose an item.</w:t>
          </w:r>
        </w:p>
      </w:docPartBody>
    </w:docPart>
    <w:docPart>
      <w:docPartPr>
        <w:name w:val="A7819289E2AA47FDA0A757A7C412DB10"/>
        <w:category>
          <w:name w:val="General"/>
          <w:gallery w:val="placeholder"/>
        </w:category>
        <w:types>
          <w:type w:val="bbPlcHdr"/>
        </w:types>
        <w:behaviors>
          <w:behavior w:val="content"/>
        </w:behaviors>
        <w:guid w:val="{8B783635-1A81-4C48-86D7-94F12FAEB465}"/>
      </w:docPartPr>
      <w:docPartBody>
        <w:p w:rsidR="00000000" w:rsidRDefault="004040D9" w:rsidP="004040D9">
          <w:pPr>
            <w:pStyle w:val="A7819289E2AA47FDA0A757A7C412DB10"/>
          </w:pPr>
          <w:r w:rsidRPr="003B43C3">
            <w:rPr>
              <w:rStyle w:val="PlaceholderText"/>
            </w:rPr>
            <w:t>Choose an item.</w:t>
          </w:r>
        </w:p>
      </w:docPartBody>
    </w:docPart>
    <w:docPart>
      <w:docPartPr>
        <w:name w:val="E3A6C2701273461D901CC435DC0DB349"/>
        <w:category>
          <w:name w:val="General"/>
          <w:gallery w:val="placeholder"/>
        </w:category>
        <w:types>
          <w:type w:val="bbPlcHdr"/>
        </w:types>
        <w:behaviors>
          <w:behavior w:val="content"/>
        </w:behaviors>
        <w:guid w:val="{9F4A6648-AB2A-4B45-9DF8-4C39795DFD67}"/>
      </w:docPartPr>
      <w:docPartBody>
        <w:p w:rsidR="00000000" w:rsidRDefault="004040D9" w:rsidP="004040D9">
          <w:pPr>
            <w:pStyle w:val="E3A6C2701273461D901CC435DC0DB349"/>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1B71B2"/>
    <w:rsid w:val="001C206E"/>
    <w:rsid w:val="003030CB"/>
    <w:rsid w:val="003324E4"/>
    <w:rsid w:val="00364140"/>
    <w:rsid w:val="004040D9"/>
    <w:rsid w:val="00542D5C"/>
    <w:rsid w:val="00766D4F"/>
    <w:rsid w:val="0084130E"/>
    <w:rsid w:val="00926A89"/>
    <w:rsid w:val="00934305"/>
    <w:rsid w:val="00BB6C11"/>
    <w:rsid w:val="00C92E18"/>
    <w:rsid w:val="00EB2DD6"/>
    <w:rsid w:val="00EC5012"/>
    <w:rsid w:val="00F4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0D9"/>
    <w:rPr>
      <w:color w:val="808080"/>
    </w:rPr>
  </w:style>
  <w:style w:type="paragraph" w:customStyle="1" w:styleId="B774326D833B489AB495B6F36B16526C">
    <w:name w:val="B774326D833B489AB495B6F36B16526C"/>
    <w:rsid w:val="001B71B2"/>
  </w:style>
  <w:style w:type="paragraph" w:customStyle="1" w:styleId="8AAAA3C26D504C049B834FA3C10B1F3A">
    <w:name w:val="8AAAA3C26D504C049B834FA3C10B1F3A"/>
    <w:rsid w:val="001B71B2"/>
  </w:style>
  <w:style w:type="paragraph" w:customStyle="1" w:styleId="B8EA887ABF534E0EAB42E341509EC404">
    <w:name w:val="B8EA887ABF534E0EAB42E341509EC404"/>
    <w:rsid w:val="004040D9"/>
  </w:style>
  <w:style w:type="paragraph" w:customStyle="1" w:styleId="A7819289E2AA47FDA0A757A7C412DB10">
    <w:name w:val="A7819289E2AA47FDA0A757A7C412DB10"/>
    <w:rsid w:val="004040D9"/>
  </w:style>
  <w:style w:type="paragraph" w:customStyle="1" w:styleId="E3A6C2701273461D901CC435DC0DB349">
    <w:name w:val="E3A6C2701273461D901CC435DC0DB349"/>
    <w:rsid w:val="00404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C03BE-F235-426E-A369-9B9263910859}">
  <ds:schemaRefs>
    <ds:schemaRef ds:uri="http://schemas.microsoft.com/sharepoint/v3/contenttype/forms"/>
  </ds:schemaRefs>
</ds:datastoreItem>
</file>

<file path=customXml/itemProps2.xml><?xml version="1.0" encoding="utf-8"?>
<ds:datastoreItem xmlns:ds="http://schemas.openxmlformats.org/officeDocument/2006/customXml" ds:itemID="{15E68341-1468-43F0-8A66-D5F56F0BA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611C72-295D-40E3-AF51-FB84E8AD2C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4</cp:revision>
  <dcterms:created xsi:type="dcterms:W3CDTF">2020-05-26T17:34:00Z</dcterms:created>
  <dcterms:modified xsi:type="dcterms:W3CDTF">2020-05-27T13:48:00Z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