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5A24B3" w:rsidRPr="000754FA" w14:paraId="5BA60AB2" w14:textId="77777777" w:rsidTr="00ED17DC">
        <w:trPr>
          <w:trHeight w:hRule="exact" w:val="590"/>
        </w:trPr>
        <w:tc>
          <w:tcPr>
            <w:tcW w:w="9360" w:type="dxa"/>
            <w:vAlign w:val="center"/>
          </w:tcPr>
          <w:bookmarkStart w:id="0" w:name="_Hlk41284859"/>
          <w:bookmarkEnd w:id="0"/>
          <w:p w14:paraId="5725AE8C" w14:textId="77777777" w:rsidR="005A24B3" w:rsidRPr="000754FA" w:rsidRDefault="005A24B3" w:rsidP="009338EB">
            <w:pPr>
              <w:tabs>
                <w:tab w:val="left" w:pos="0"/>
                <w:tab w:val="left" w:pos="259"/>
                <w:tab w:val="left" w:pos="518"/>
                <w:tab w:val="left" w:pos="777"/>
                <w:tab w:val="left" w:leader="dot" w:pos="8164"/>
                <w:tab w:val="left" w:pos="8395"/>
                <w:tab w:val="left" w:pos="8769"/>
              </w:tabs>
              <w:jc w:val="left"/>
              <w:rPr>
                <w:rFonts w:cs="Arial"/>
                <w:szCs w:val="22"/>
              </w:rPr>
            </w:pPr>
            <w:r w:rsidRPr="000754FA">
              <w:rPr>
                <w:noProof/>
                <w:szCs w:val="22"/>
              </w:rPr>
              <mc:AlternateContent>
                <mc:Choice Requires="wps">
                  <w:drawing>
                    <wp:anchor distT="0" distB="0" distL="114300" distR="114300" simplePos="0" relativeHeight="251659264" behindDoc="0" locked="0" layoutInCell="1" allowOverlap="1" wp14:anchorId="2BE69931" wp14:editId="488FA645">
                      <wp:simplePos x="0" y="0"/>
                      <wp:positionH relativeFrom="leftMargin">
                        <wp:posOffset>0</wp:posOffset>
                      </wp:positionH>
                      <wp:positionV relativeFrom="paragraph">
                        <wp:posOffset>-18415</wp:posOffset>
                      </wp:positionV>
                      <wp:extent cx="5943600" cy="329184"/>
                      <wp:effectExtent l="0" t="0" r="0" b="0"/>
                      <wp:wrapNone/>
                      <wp:docPr id="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620B9CDC" w14:textId="77777777" w:rsidR="005A24B3" w:rsidRPr="00E03623" w:rsidRDefault="005A24B3" w:rsidP="005A24B3">
                                  <w:pPr>
                                    <w:pStyle w:val="AddendaHeading"/>
                                  </w:pPr>
                                  <w:bookmarkStart w:id="1" w:name="_Toc467046352"/>
                                  <w:bookmarkStart w:id="2" w:name="_Toc514761889"/>
                                  <w:bookmarkStart w:id="3" w:name="_Toc11834254"/>
                                  <w:r>
                                    <w:t>Income Capitalization Approach</w:t>
                                  </w:r>
                                  <w:bookmarkEnd w:id="1"/>
                                  <w:bookmarkEnd w:id="2"/>
                                  <w:bookmarkEnd w:id="3"/>
                                </w:p>
                                <w:p w14:paraId="728D7CA2" w14:textId="77777777" w:rsidR="005A24B3" w:rsidRPr="00E03623" w:rsidRDefault="005A24B3" w:rsidP="005A24B3">
                                  <w:pPr>
                                    <w:pStyle w:val="TOC1"/>
                                  </w:pPr>
                                </w:p>
                                <w:p w14:paraId="38F35574" w14:textId="77777777" w:rsidR="005A24B3" w:rsidRPr="00883365" w:rsidRDefault="005A24B3" w:rsidP="005A24B3">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E69931" id="_x0000_t202" coordsize="21600,21600" o:spt="202" path="m,l,21600r21600,l21600,xe">
                      <v:stroke joinstyle="miter"/>
                      <v:path gradientshapeok="t" o:connecttype="rect"/>
                    </v:shapetype>
                    <v:shape id="Text Box 2" o:spid="_x0000_s1026" type="#_x0000_t202" style="position:absolute;margin-left:0;margin-top:-1.45pt;width:468pt;height:25.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MlfhwIAAAgFAAAOAAAAZHJzL2Uyb0RvYy54bWysVNtu2zAMfR+wfxD0vjp2naY26hRdL8OA&#10;7gK0+wBGlm1hsuRJSuzs60tJiRNsb8NeBEmkDg8PSd3cTr0kO26s0Kqi6cWCEq6YroVqK/rj9enD&#10;NSXWgapBasUruueW3q7fv7sZh5JnutOy5oYgiLLlOFS0c24ok8SyjvdgL/TAFRobbXpweDRtUhsY&#10;Eb2XSbZYXCWjNvVgNOPW4u1DNNJ1wG8azty3prHcEVlR5ObCasK68WuyvoGyNTB0gh1owD+w6EEo&#10;DDpDPYADsjXiL6heMKOtbtwF032im0YwHnLAbNLFH9m8dDDwkAuKY4dZJvv/YNnX3XdDRF3RfHVF&#10;iYIei/TKJ0c+6olkXp9xsCW6vQzo6Ca8xjqHXO3wrNlPS5S+70C1/M4YPXYcauSX+pfJ2dOIYz3I&#10;ZvyiawwDW6cD0NSY3ouHchBExzrt59p4Kgwvl0V+ebVAE0PbZVak13kIAeXx9WCs+8R1T/ymogZr&#10;H9Bh92ydZwPl0eVQqfpJSBn2Fl3ihgwa6a+uFxjL31jTbu6lITvADkof82JZhHu57TGLeF3k3juG&#10;OPiHcK09x0zR6Qi6tzMmNnOtRy85JRKsQwMmf/J1QrkYJrtcxjDICtwcPUVZTuED8hwdc26PuUmh&#10;CJapotkqohPLQHIs/ZE7zsEsiVRkrGixzJYhXaW9VpgilL1wOLJS9BX1Kh0p+cI/qjq4OBAy7pGA&#10;VIdO8MWPbeCmzYSOvj02ut5jTxgdRxO/Etx02vymZMSxrKj9tQXDUZvPCgtTpHnu5zgc8uUqw4M5&#10;t2zOLaAYQlUUpY3bexdm36eh9B32XyNCa5yYHLjiuEUR49fg5/n8HLxOH9j6DQ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AQ9Mlf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620B9CDC" w14:textId="77777777" w:rsidR="005A24B3" w:rsidRPr="00E03623" w:rsidRDefault="005A24B3" w:rsidP="005A24B3">
                            <w:pPr>
                              <w:pStyle w:val="AddendaHeading"/>
                            </w:pPr>
                            <w:bookmarkStart w:id="4" w:name="_Toc467046352"/>
                            <w:bookmarkStart w:id="5" w:name="_Toc514761889"/>
                            <w:bookmarkStart w:id="6" w:name="_Toc11834254"/>
                            <w:r>
                              <w:t>Income Capitalization Approach</w:t>
                            </w:r>
                            <w:bookmarkEnd w:id="4"/>
                            <w:bookmarkEnd w:id="5"/>
                            <w:bookmarkEnd w:id="6"/>
                          </w:p>
                          <w:p w14:paraId="728D7CA2" w14:textId="77777777" w:rsidR="005A24B3" w:rsidRPr="00E03623" w:rsidRDefault="005A24B3" w:rsidP="005A24B3">
                            <w:pPr>
                              <w:pStyle w:val="TOC1"/>
                            </w:pPr>
                          </w:p>
                          <w:p w14:paraId="38F35574" w14:textId="77777777" w:rsidR="005A24B3" w:rsidRPr="00883365" w:rsidRDefault="005A24B3" w:rsidP="005A24B3">
                            <w:pPr>
                              <w:rPr>
                                <w:rFonts w:ascii="Arial Narrow" w:hAnsi="Arial Narrow" w:cs="Arial"/>
                                <w:smallCaps/>
                                <w:color w:val="1E4959"/>
                                <w:sz w:val="28"/>
                                <w:szCs w:val="28"/>
                              </w:rPr>
                            </w:pPr>
                          </w:p>
                        </w:txbxContent>
                      </v:textbox>
                      <w10:wrap anchorx="margin"/>
                    </v:shape>
                  </w:pict>
                </mc:Fallback>
              </mc:AlternateContent>
            </w:r>
            <w:r w:rsidRPr="000754FA">
              <w:rPr>
                <w:szCs w:val="22"/>
              </w:rPr>
              <w:tab/>
            </w:r>
          </w:p>
        </w:tc>
      </w:tr>
    </w:tbl>
    <w:p w14:paraId="747648DF" w14:textId="77777777" w:rsidR="00ED17DC" w:rsidRPr="000754FA" w:rsidRDefault="00ED17DC" w:rsidP="00ED17DC">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Methodology</w:t>
      </w:r>
    </w:p>
    <w:p w14:paraId="78D68918" w14:textId="77777777" w:rsidR="00ED17DC" w:rsidRPr="000754FA" w:rsidRDefault="00ED17DC" w:rsidP="00ED17DC">
      <w:pPr>
        <w:rPr>
          <w:rFonts w:cs="Arial"/>
          <w:szCs w:val="22"/>
        </w:rPr>
      </w:pPr>
      <w:r w:rsidRPr="000754FA">
        <w:rPr>
          <w:rFonts w:cs="Arial"/>
          <w:szCs w:val="22"/>
        </w:rPr>
        <w:t xml:space="preserve">The market valuation of the subject property is summarized in this section via the </w:t>
      </w:r>
      <w:r w:rsidRPr="000754FA">
        <w:rPr>
          <w:rFonts w:cs="Arial"/>
          <w:b/>
          <w:szCs w:val="22"/>
        </w:rPr>
        <w:t>Direct Capitalization Method</w:t>
      </w:r>
      <w:r w:rsidRPr="000754FA">
        <w:rPr>
          <w:rFonts w:cs="Arial"/>
          <w:szCs w:val="22"/>
        </w:rPr>
        <w:t xml:space="preserve"> of the Income Approach. In applying the Direct Capitalization Method, two components are necessary in arriving at an estimate of net operating income: potential revenues and projected operating expenses; with the difference resulting in net operating income. Value is then derived by dividing stabilized year's income by a market derived capitalization rate. Therefore, it is important to analyze both income and expenses for the subject property in terms of reasonability and their relative relationship to similar properties in the marketplace.</w:t>
      </w:r>
    </w:p>
    <w:p w14:paraId="5956681C" w14:textId="77777777" w:rsidR="00ED17DC" w:rsidRDefault="00ED17DC" w:rsidP="00ED17DC">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Potential Gross Rental Income</w:t>
      </w:r>
    </w:p>
    <w:p w14:paraId="42CAC575" w14:textId="722C78C1" w:rsidR="00E07D0C" w:rsidRPr="00E07D0C" w:rsidRDefault="00E07D0C" w:rsidP="00E07D0C">
      <w:r w:rsidRPr="00E07D0C">
        <w:t xml:space="preserve">A review of current subject market trends indicates that typical </w:t>
      </w:r>
      <w:r>
        <w:t xml:space="preserve">self-storage or </w:t>
      </w:r>
      <w:r w:rsidRPr="00E07D0C">
        <w:t xml:space="preserve">mini-storage unit leases in the subject market area are written on a </w:t>
      </w:r>
      <w:r w:rsidRPr="00E07D0C">
        <w:rPr>
          <w:b/>
        </w:rPr>
        <w:t xml:space="preserve">gross </w:t>
      </w:r>
      <w:r w:rsidRPr="00E07D0C">
        <w:t>rental basis (commonly referred to in the marketplace as “full service” rent). Full service rents indicate that the tenant is only responsible for rent payment, with the landlord responsible for all building operating expenses. Hence, we have anticipated that all future rent for the subject would be payable on this basis.</w:t>
      </w:r>
    </w:p>
    <w:p w14:paraId="027AA82D" w14:textId="77777777" w:rsidR="00ED17DC" w:rsidRPr="000754FA" w:rsidRDefault="00ED17DC" w:rsidP="00ED17DC">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Comparable Rent Analysis</w:t>
      </w:r>
    </w:p>
    <w:p w14:paraId="7F7FAA41" w14:textId="5914AFB8" w:rsidR="007471E1" w:rsidRDefault="00E07D0C" w:rsidP="007471E1">
      <w:pPr>
        <w:widowControl w:val="0"/>
        <w:rPr>
          <w:szCs w:val="22"/>
        </w:rPr>
      </w:pPr>
      <w:r>
        <w:t xml:space="preserve">In order to estimate the current market rent for the subject’s mini-storage units, we conducted a survey of reasonably similar mini-storage facilities within </w:t>
      </w:r>
      <w:r w:rsidRPr="00600D1B">
        <w:rPr>
          <w:rFonts w:cs="Arial"/>
          <w:szCs w:val="22"/>
          <w:highlight w:val="yellow"/>
        </w:rPr>
        <w:t xml:space="preserve">the </w:t>
      </w:r>
      <w:sdt>
        <w:sdtPr>
          <w:rPr>
            <w:rFonts w:cs="Arial"/>
            <w:szCs w:val="22"/>
            <w:highlight w:val="green"/>
          </w:rPr>
          <w:alias w:val="Location"/>
          <w:tag w:val="Location"/>
          <w:id w:val="-668336917"/>
          <w:placeholder>
            <w:docPart w:val="63C417A41264486A9056FED7C06C3902"/>
          </w:placeholder>
          <w:dropDownList>
            <w:listItem w:value="Choose an item."/>
            <w:listItem w:displayText="local" w:value="local"/>
            <w:listItem w:displayText="immediate to expanded" w:value="immediate to expanded"/>
            <w:listItem w:displayText="competitive" w:value="competitive"/>
          </w:dropDownList>
        </w:sdtPr>
        <w:sdtEndPr/>
        <w:sdtContent>
          <w:r>
            <w:rPr>
              <w:rFonts w:cs="Arial"/>
              <w:szCs w:val="22"/>
              <w:highlight w:val="green"/>
            </w:rPr>
            <w:t>immediate to expanded</w:t>
          </w:r>
        </w:sdtContent>
      </w:sdt>
      <w:r w:rsidRPr="00447014">
        <w:rPr>
          <w:rFonts w:cs="Arial"/>
          <w:szCs w:val="22"/>
          <w:highlight w:val="green"/>
        </w:rPr>
        <w:t xml:space="preserve"> </w:t>
      </w:r>
      <w:r w:rsidRPr="00600D1B">
        <w:rPr>
          <w:rFonts w:cs="Arial"/>
          <w:szCs w:val="22"/>
          <w:highlight w:val="yellow"/>
        </w:rPr>
        <w:t>market area</w:t>
      </w:r>
      <w:r w:rsidRPr="00B323A6">
        <w:rPr>
          <w:rFonts w:cs="Arial"/>
          <w:szCs w:val="22"/>
        </w:rPr>
        <w:t xml:space="preserve">. </w:t>
      </w:r>
      <w:r>
        <w:t xml:space="preserve">In the following section we will analyze the market rent for the subject’s mini-storage units. </w:t>
      </w:r>
      <w:r w:rsidR="007471E1" w:rsidRPr="00AE3B07">
        <w:rPr>
          <w:szCs w:val="22"/>
        </w:rPr>
        <w:t xml:space="preserve">The results of this survey are summarized on the following pages along with location maps and photographs relating to each comparable </w:t>
      </w:r>
      <w:r>
        <w:rPr>
          <w:szCs w:val="22"/>
        </w:rPr>
        <w:t>property</w:t>
      </w:r>
      <w:r w:rsidR="007471E1">
        <w:rPr>
          <w:szCs w:val="22"/>
        </w:rPr>
        <w:t>.</w:t>
      </w:r>
    </w:p>
    <w:p w14:paraId="369276AD" w14:textId="77777777" w:rsidR="00ED17DC" w:rsidRPr="000754FA" w:rsidRDefault="00ED17DC" w:rsidP="00ED17DC">
      <w:pPr>
        <w:keepNext/>
        <w:numPr>
          <w:ilvl w:val="1"/>
          <w:numId w:val="0"/>
        </w:numPr>
        <w:spacing w:before="200" w:line="233" w:lineRule="auto"/>
        <w:outlineLvl w:val="2"/>
        <w:rPr>
          <w:rFonts w:eastAsiaTheme="majorEastAsia" w:cs="Arial"/>
          <w:bCs/>
          <w:color w:val="1E4959"/>
          <w:sz w:val="24"/>
          <w:szCs w:val="22"/>
          <w:u w:val="single"/>
        </w:rPr>
      </w:pPr>
      <w:r w:rsidRPr="000754FA">
        <w:rPr>
          <w:rFonts w:eastAsiaTheme="majorEastAsia" w:cs="Arial"/>
          <w:color w:val="1E4959"/>
          <w:sz w:val="24"/>
          <w:szCs w:val="22"/>
          <w:u w:val="single"/>
        </w:rPr>
        <w:t>Rental Adjustments</w:t>
      </w:r>
    </w:p>
    <w:p w14:paraId="2BDFAAC3" w14:textId="284F6706" w:rsidR="00ED17DC" w:rsidRDefault="00E07D0C" w:rsidP="00E07D0C">
      <w:pPr>
        <w:rPr>
          <w:rFonts w:cs="Arial"/>
          <w:szCs w:val="22"/>
        </w:rPr>
      </w:pPr>
      <w:r>
        <w:t xml:space="preserve">Depending on market conditions, free rent, or other incentives are used to attract tenants. </w:t>
      </w:r>
      <w:r w:rsidRPr="00E07D0C">
        <w:rPr>
          <w:highlight w:val="yellow"/>
        </w:rPr>
        <w:t xml:space="preserve">Though market conditions have strengthened in the mini-storage sector, free rent concessions are still typical, as the rent survey indicates. </w:t>
      </w:r>
      <w:r w:rsidRPr="00E07D0C">
        <w:t>These factors have been considered for the following rent comparables which</w:t>
      </w:r>
      <w:r w:rsidR="007471E1" w:rsidRPr="00AA44C4">
        <w:rPr>
          <w:rFonts w:cs="Arial"/>
          <w:szCs w:val="22"/>
        </w:rPr>
        <w:t xml:space="preserve"> are adjusted to reflect current market terms with </w:t>
      </w:r>
      <w:r w:rsidR="007471E1" w:rsidRPr="00BA6391">
        <w:rPr>
          <w:rFonts w:cs="Arial"/>
          <w:szCs w:val="22"/>
        </w:rPr>
        <w:t>an effective rent to the property owner.</w:t>
      </w:r>
    </w:p>
    <w:p w14:paraId="59E0F3DA" w14:textId="77777777" w:rsidR="005A24B3" w:rsidRPr="000754FA" w:rsidRDefault="005A24B3" w:rsidP="005A24B3">
      <w:pPr>
        <w:rPr>
          <w:rFonts w:cs="Arial"/>
          <w:szCs w:val="22"/>
        </w:rPr>
        <w:sectPr w:rsidR="005A24B3" w:rsidRPr="000754FA" w:rsidSect="00AD7FDD">
          <w:headerReference w:type="default" r:id="rId9"/>
          <w:footerReference w:type="default" r:id="rId10"/>
          <w:pgSz w:w="12240" w:h="15840"/>
          <w:pgMar w:top="1440" w:right="1440" w:bottom="1440" w:left="1440" w:header="720" w:footer="720" w:gutter="0"/>
          <w:cols w:space="720"/>
          <w:noEndnote/>
          <w:docGrid w:linePitch="286"/>
        </w:sectPr>
      </w:pPr>
    </w:p>
    <w:p w14:paraId="327D175A" w14:textId="1091899C" w:rsidR="005A24B3" w:rsidRDefault="00E07D0C" w:rsidP="00E07D0C">
      <w:pPr>
        <w:jc w:val="center"/>
        <w:sectPr w:rsidR="005A24B3" w:rsidSect="00ED17DC">
          <w:headerReference w:type="default" r:id="rId11"/>
          <w:footerReference w:type="default" r:id="rId12"/>
          <w:pgSz w:w="15840" w:h="12240" w:orient="landscape"/>
          <w:pgMar w:top="1440" w:right="1440" w:bottom="1440" w:left="720" w:header="720" w:footer="720" w:gutter="0"/>
          <w:cols w:space="720"/>
          <w:vAlign w:val="center"/>
          <w:docGrid w:linePitch="360"/>
        </w:sectPr>
      </w:pPr>
      <w:r w:rsidRPr="008B3C46">
        <w:rPr>
          <w:noProof/>
        </w:rPr>
        <w:lastRenderedPageBreak/>
        <w:drawing>
          <wp:inline distT="0" distB="0" distL="0" distR="0" wp14:anchorId="7BD8BA53" wp14:editId="77C80708">
            <wp:extent cx="9073571" cy="44500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87793" cy="4457055"/>
                    </a:xfrm>
                    <a:prstGeom prst="rect">
                      <a:avLst/>
                    </a:prstGeom>
                    <a:noFill/>
                    <a:ln>
                      <a:noFill/>
                    </a:ln>
                  </pic:spPr>
                </pic:pic>
              </a:graphicData>
            </a:graphic>
          </wp:inline>
        </w:drawing>
      </w:r>
      <w:r w:rsidR="005A24B3" w:rsidRPr="00117877">
        <w:t xml:space="preserve"> </w:t>
      </w:r>
      <w:r w:rsidR="005A24B3" w:rsidRPr="00FA7551">
        <w:t xml:space="preserve">  </w:t>
      </w:r>
      <w:r w:rsidR="005A24B3" w:rsidRPr="002278EA">
        <w:t xml:space="preserve"> </w:t>
      </w:r>
      <w:r w:rsidR="005A24B3" w:rsidRPr="00626392">
        <w:t xml:space="preserve">  </w:t>
      </w:r>
      <w:r w:rsidR="005A24B3" w:rsidRPr="00C20443">
        <w:rPr>
          <w:noProof/>
        </w:rPr>
        <w:t xml:space="preserve">  </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576"/>
      </w:tblGrid>
      <w:tr w:rsidR="005A24B3" w:rsidRPr="000754FA" w14:paraId="00898A66" w14:textId="77777777" w:rsidTr="009338EB">
        <w:trPr>
          <w:jc w:val="center"/>
        </w:trPr>
        <w:tc>
          <w:tcPr>
            <w:tcW w:w="9576" w:type="dxa"/>
            <w:tcBorders>
              <w:top w:val="nil"/>
              <w:left w:val="nil"/>
              <w:bottom w:val="single" w:sz="24" w:space="0" w:color="3FB44F"/>
              <w:right w:val="nil"/>
            </w:tcBorders>
            <w:shd w:val="clear" w:color="auto" w:fill="1E4959"/>
          </w:tcPr>
          <w:p w14:paraId="03F59CB5" w14:textId="77777777" w:rsidR="005A24B3" w:rsidRPr="00601C8F" w:rsidRDefault="005A24B3" w:rsidP="009338EB">
            <w:pPr>
              <w:tabs>
                <w:tab w:val="left" w:pos="3960"/>
              </w:tabs>
              <w:spacing w:before="120" w:after="60" w:line="20" w:lineRule="atLeast"/>
              <w:jc w:val="center"/>
              <w:rPr>
                <w:rFonts w:cs="Arial"/>
                <w:b/>
                <w:smallCaps/>
                <w:color w:val="FFFFFF" w:themeColor="background1"/>
                <w:sz w:val="28"/>
                <w:szCs w:val="22"/>
              </w:rPr>
            </w:pPr>
            <w:r w:rsidRPr="00E07D0C">
              <w:rPr>
                <w:rFonts w:cs="Arial"/>
                <w:b/>
                <w:smallCaps/>
                <w:color w:val="FFFFFF" w:themeColor="background1"/>
                <w:sz w:val="28"/>
                <w:szCs w:val="22"/>
                <w:highlight w:val="green"/>
              </w:rPr>
              <w:lastRenderedPageBreak/>
              <w:t>Rent Comparable</w:t>
            </w:r>
            <w:r w:rsidRPr="009A2F0F">
              <w:rPr>
                <w:rFonts w:cs="Arial"/>
                <w:b/>
                <w:smallCaps/>
                <w:color w:val="FFFFFF" w:themeColor="background1"/>
                <w:sz w:val="28"/>
                <w:szCs w:val="22"/>
              </w:rPr>
              <w:t xml:space="preserve"> Location Map</w:t>
            </w:r>
          </w:p>
        </w:tc>
      </w:tr>
      <w:tr w:rsidR="005A24B3" w:rsidRPr="000754FA" w14:paraId="07B8A2E9" w14:textId="77777777" w:rsidTr="009338EB">
        <w:trPr>
          <w:trHeight w:hRule="exact" w:val="144"/>
          <w:jc w:val="center"/>
        </w:trPr>
        <w:tc>
          <w:tcPr>
            <w:tcW w:w="9576" w:type="dxa"/>
            <w:tcBorders>
              <w:top w:val="single" w:sz="24" w:space="0" w:color="3FB44F"/>
              <w:left w:val="nil"/>
              <w:bottom w:val="nil"/>
              <w:right w:val="nil"/>
            </w:tcBorders>
            <w:shd w:val="clear" w:color="auto" w:fill="auto"/>
          </w:tcPr>
          <w:p w14:paraId="378F18D6" w14:textId="77777777" w:rsidR="005A24B3" w:rsidRPr="00601C8F" w:rsidRDefault="005A24B3" w:rsidP="009338EB">
            <w:pPr>
              <w:tabs>
                <w:tab w:val="left" w:pos="3960"/>
              </w:tabs>
              <w:spacing w:before="120" w:line="20" w:lineRule="atLeast"/>
              <w:jc w:val="center"/>
              <w:rPr>
                <w:rFonts w:cs="Arial"/>
                <w:b/>
                <w:smallCaps/>
                <w:color w:val="FFFFFF" w:themeColor="background1"/>
                <w:sz w:val="28"/>
                <w:szCs w:val="22"/>
              </w:rPr>
            </w:pPr>
          </w:p>
        </w:tc>
      </w:tr>
      <w:tr w:rsidR="005A24B3" w:rsidRPr="000754FA" w14:paraId="4CFB110F" w14:textId="77777777" w:rsidTr="009338EB">
        <w:trPr>
          <w:trHeight w:hRule="exact" w:val="11808"/>
          <w:jc w:val="center"/>
        </w:trPr>
        <w:tc>
          <w:tcPr>
            <w:tcW w:w="9576" w:type="dxa"/>
            <w:tcBorders>
              <w:top w:val="nil"/>
              <w:left w:val="nil"/>
              <w:bottom w:val="nil"/>
              <w:right w:val="nil"/>
            </w:tcBorders>
            <w:shd w:val="clear" w:color="auto" w:fill="auto"/>
            <w:vAlign w:val="center"/>
          </w:tcPr>
          <w:p w14:paraId="514E896E" w14:textId="77777777" w:rsidR="005A24B3" w:rsidRPr="000754FA" w:rsidRDefault="005A24B3" w:rsidP="009338EB">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1B3E6354" wp14:editId="43754B68">
                  <wp:extent cx="5412437" cy="6690373"/>
                  <wp:effectExtent l="38100" t="38100" r="36195" b="342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screen">
                            <a:extLst>
                              <a:ext uri="{28A0092B-C50C-407E-A947-70E740481C1C}">
                                <a14:useLocalDpi xmlns:a14="http://schemas.microsoft.com/office/drawing/2010/main"/>
                              </a:ext>
                            </a:extLst>
                          </a:blip>
                          <a:stretch>
                            <a:fillRect/>
                          </a:stretch>
                        </pic:blipFill>
                        <pic:spPr bwMode="auto">
                          <a:xfrm>
                            <a:off x="0" y="0"/>
                            <a:ext cx="5412437" cy="6690373"/>
                          </a:xfrm>
                          <a:prstGeom prst="rect">
                            <a:avLst/>
                          </a:prstGeom>
                          <a:noFill/>
                          <a:ln w="28575">
                            <a:solidFill>
                              <a:srgbClr val="1E4959"/>
                            </a:solidFill>
                          </a:ln>
                        </pic:spPr>
                      </pic:pic>
                    </a:graphicData>
                  </a:graphic>
                </wp:inline>
              </w:drawing>
            </w:r>
          </w:p>
        </w:tc>
      </w:tr>
    </w:tbl>
    <w:p w14:paraId="56CA4CF5" w14:textId="77777777" w:rsidR="005A24B3" w:rsidRDefault="005A24B3" w:rsidP="005A24B3">
      <w:pPr>
        <w:jc w:val="left"/>
        <w:rPr>
          <w:rFonts w:ascii="Arial" w:hAnsi="Arial"/>
          <w:kern w:val="24"/>
          <w:sz w:val="24"/>
          <w:szCs w:val="20"/>
        </w:rPr>
        <w:sectPr w:rsidR="005A24B3" w:rsidSect="00AD7FDD">
          <w:headerReference w:type="default" r:id="rId15"/>
          <w:footerReference w:type="default" r:id="rId16"/>
          <w:pgSz w:w="12240" w:h="15840"/>
          <w:pgMar w:top="1080" w:right="1080" w:bottom="878" w:left="1080" w:header="720" w:footer="720" w:gutter="0"/>
          <w:cols w:space="720"/>
          <w:docGrid w:linePitch="360"/>
        </w:sectPr>
      </w:pPr>
    </w:p>
    <w:p w14:paraId="29F72B0C" w14:textId="77777777" w:rsidR="005A24B3" w:rsidRDefault="00B46DD4" w:rsidP="005A24B3">
      <w:pPr>
        <w:rPr>
          <w:rFonts w:ascii="Calibri" w:hAnsi="Calibri" w:cs="Segoe UI"/>
        </w:rPr>
      </w:pPr>
      <w:r w:rsidRPr="00ED17DC">
        <w:rPr>
          <w:rFonts w:ascii="Calibri" w:hAnsi="Calibri" w:cs="Segoe UI"/>
          <w:highlight w:val="green"/>
        </w:rPr>
        <w:lastRenderedPageBreak/>
        <w:t>Merge &amp; Insert Rent Comp Photos or Write-ups</w:t>
      </w:r>
    </w:p>
    <w:p w14:paraId="0A3B2F3F" w14:textId="77777777" w:rsidR="00B46DD4" w:rsidRDefault="00B46DD4" w:rsidP="005A24B3">
      <w:pPr>
        <w:rPr>
          <w:rFonts w:ascii="Calibri" w:hAnsi="Calibri" w:cs="Segoe UI"/>
        </w:rPr>
      </w:pPr>
    </w:p>
    <w:p w14:paraId="1B904D18" w14:textId="77777777" w:rsidR="005A24B3" w:rsidRDefault="005A24B3" w:rsidP="005A24B3">
      <w:pPr>
        <w:rPr>
          <w:rFonts w:ascii="Calibri" w:hAnsi="Calibri" w:cs="Segoe UI"/>
        </w:rPr>
        <w:sectPr w:rsidR="005A24B3" w:rsidSect="00AD7FDD">
          <w:pgSz w:w="12240" w:h="15840"/>
          <w:pgMar w:top="1080" w:right="1440" w:bottom="1080" w:left="1440" w:header="720" w:footer="720" w:gutter="0"/>
          <w:paperSrc w:first="15" w:other="15"/>
          <w:cols w:space="720"/>
          <w:noEndnote/>
          <w:docGrid w:linePitch="360"/>
        </w:sectPr>
      </w:pPr>
    </w:p>
    <w:p w14:paraId="312921CC" w14:textId="77777777" w:rsidR="00E5122E" w:rsidRPr="000B55E6" w:rsidRDefault="00E5122E" w:rsidP="00E5122E">
      <w:pPr>
        <w:pStyle w:val="Heading20"/>
        <w:spacing w:before="120"/>
        <w:rPr>
          <w:rFonts w:asciiTheme="minorHAnsi" w:hAnsiTheme="minorHAnsi" w:cs="Arial"/>
          <w:b w:val="0"/>
          <w:color w:val="1E4959"/>
          <w:spacing w:val="0"/>
          <w:kern w:val="20"/>
          <w:sz w:val="28"/>
          <w:szCs w:val="22"/>
        </w:rPr>
      </w:pPr>
      <w:r w:rsidRPr="000B55E6">
        <w:rPr>
          <w:rFonts w:asciiTheme="minorHAnsi" w:hAnsiTheme="minorHAnsi" w:cs="Arial"/>
          <w:b w:val="0"/>
          <w:color w:val="1E4959"/>
          <w:spacing w:val="0"/>
          <w:kern w:val="20"/>
          <w:sz w:val="28"/>
          <w:szCs w:val="22"/>
        </w:rPr>
        <w:lastRenderedPageBreak/>
        <w:t>Comparable Rent Analysis</w:t>
      </w:r>
    </w:p>
    <w:p w14:paraId="190786E6" w14:textId="029448EB" w:rsidR="00A52416" w:rsidRDefault="00A52416" w:rsidP="00A52416">
      <w:pPr>
        <w:widowControl w:val="0"/>
        <w:tabs>
          <w:tab w:val="left" w:pos="3744"/>
        </w:tabs>
      </w:pPr>
      <w:bookmarkStart w:id="4" w:name="_Hlk41209860"/>
      <w:r>
        <w:t xml:space="preserve">The selected projects within the subject’s market area were considered to provide reasonable support and a good basis for estimating the market rent for the subject property. </w:t>
      </w:r>
    </w:p>
    <w:p w14:paraId="00516D76" w14:textId="77777777" w:rsidR="00A52416" w:rsidRDefault="00A52416" w:rsidP="00A52416">
      <w:pPr>
        <w:widowControl w:val="0"/>
        <w:rPr>
          <w:rFonts w:cs="Arial"/>
          <w:szCs w:val="22"/>
        </w:rPr>
      </w:pPr>
    </w:p>
    <w:p w14:paraId="4EE0F725" w14:textId="77777777" w:rsidR="00A52416" w:rsidRDefault="00A52416" w:rsidP="00A52416">
      <w:pPr>
        <w:rPr>
          <w:rFonts w:ascii="Calibri" w:hAnsi="Calibri" w:cs="Segoe UI"/>
        </w:rPr>
      </w:pPr>
      <w:r w:rsidRPr="000D7CF2">
        <w:rPr>
          <w:rFonts w:ascii="Calibri" w:hAnsi="Calibri" w:cs="Segoe UI"/>
          <w:highlight w:val="green"/>
        </w:rPr>
        <w:t>Merge &amp; Insert Rent Comp Data Analysis Output</w:t>
      </w:r>
    </w:p>
    <w:p w14:paraId="277637E3" w14:textId="77777777" w:rsidR="00A52416" w:rsidRDefault="00A52416" w:rsidP="00A52416">
      <w:pPr>
        <w:widowControl w:val="0"/>
        <w:rPr>
          <w:rFonts w:cs="Arial"/>
          <w:szCs w:val="22"/>
        </w:rPr>
      </w:pPr>
    </w:p>
    <w:p w14:paraId="3B928396" w14:textId="77777777" w:rsidR="00A52416" w:rsidRDefault="00A52416" w:rsidP="00A52416">
      <w:pPr>
        <w:widowControl w:val="0"/>
        <w:tabs>
          <w:tab w:val="left" w:pos="3744"/>
        </w:tabs>
      </w:pPr>
    </w:p>
    <w:bookmarkEnd w:id="4"/>
    <w:p w14:paraId="21B1D1D4" w14:textId="04223354" w:rsidR="00A52416" w:rsidRPr="00DF308E" w:rsidRDefault="00A52416" w:rsidP="00A52416">
      <w:pPr>
        <w:pStyle w:val="Heading20"/>
        <w:rPr>
          <w:rFonts w:asciiTheme="minorHAnsi" w:hAnsiTheme="minorHAnsi" w:cs="Arial"/>
          <w:b w:val="0"/>
          <w:color w:val="1E4959"/>
          <w:spacing w:val="0"/>
          <w:kern w:val="20"/>
          <w:sz w:val="28"/>
          <w:szCs w:val="22"/>
        </w:rPr>
      </w:pPr>
      <w:r w:rsidRPr="00DF308E">
        <w:rPr>
          <w:rFonts w:asciiTheme="minorHAnsi" w:hAnsiTheme="minorHAnsi" w:cs="Arial"/>
          <w:b w:val="0"/>
          <w:color w:val="1E4959"/>
          <w:spacing w:val="0"/>
          <w:kern w:val="20"/>
          <w:sz w:val="28"/>
          <w:szCs w:val="22"/>
        </w:rPr>
        <w:t>Subject Leasing Activity</w:t>
      </w:r>
    </w:p>
    <w:p w14:paraId="3DCB7813" w14:textId="77777777" w:rsidR="00A52416" w:rsidRDefault="00A52416" w:rsidP="00A52416">
      <w:pPr>
        <w:tabs>
          <w:tab w:val="left" w:pos="720"/>
          <w:tab w:val="left" w:pos="1440"/>
        </w:tabs>
        <w:jc w:val="center"/>
        <w:outlineLvl w:val="0"/>
      </w:pPr>
    </w:p>
    <w:p w14:paraId="41CA445F" w14:textId="6819A8E9" w:rsidR="00A52416" w:rsidRDefault="00137C1E" w:rsidP="00A52416">
      <w:pPr>
        <w:tabs>
          <w:tab w:val="left" w:pos="720"/>
          <w:tab w:val="left" w:pos="1440"/>
        </w:tabs>
        <w:jc w:val="center"/>
        <w:outlineLvl w:val="0"/>
      </w:pPr>
      <w:r w:rsidRPr="00137C1E">
        <w:rPr>
          <w:noProof/>
        </w:rPr>
        <w:drawing>
          <wp:inline distT="0" distB="0" distL="0" distR="0" wp14:anchorId="3C779F2C" wp14:editId="167912FA">
            <wp:extent cx="4579620" cy="5265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9620" cy="5265420"/>
                    </a:xfrm>
                    <a:prstGeom prst="rect">
                      <a:avLst/>
                    </a:prstGeom>
                    <a:noFill/>
                    <a:ln>
                      <a:noFill/>
                    </a:ln>
                  </pic:spPr>
                </pic:pic>
              </a:graphicData>
            </a:graphic>
          </wp:inline>
        </w:drawing>
      </w:r>
    </w:p>
    <w:p w14:paraId="07ADD7B1" w14:textId="77777777" w:rsidR="00A52416" w:rsidRDefault="00A52416" w:rsidP="00A52416">
      <w:pPr>
        <w:tabs>
          <w:tab w:val="left" w:pos="720"/>
          <w:tab w:val="left" w:pos="1440"/>
        </w:tabs>
        <w:outlineLvl w:val="0"/>
      </w:pPr>
    </w:p>
    <w:p w14:paraId="33385959" w14:textId="73E82C50" w:rsidR="00A52416" w:rsidRDefault="00A52416" w:rsidP="00A52416">
      <w:pPr>
        <w:tabs>
          <w:tab w:val="left" w:pos="720"/>
          <w:tab w:val="left" w:pos="1440"/>
        </w:tabs>
        <w:outlineLvl w:val="0"/>
      </w:pPr>
      <w:r w:rsidRPr="00DF308E">
        <w:t xml:space="preserve">The subject </w:t>
      </w:r>
      <w:r>
        <w:t xml:space="preserve">rent roll summary above indicates there are </w:t>
      </w:r>
      <w:r w:rsidRPr="00A52416">
        <w:rPr>
          <w:highlight w:val="yellow"/>
        </w:rPr>
        <w:t>78 units in one “M” shaped building</w:t>
      </w:r>
      <w:r>
        <w:t xml:space="preserve">. The subject units range from </w:t>
      </w:r>
      <w:r w:rsidRPr="00A52416">
        <w:rPr>
          <w:highlight w:val="yellow"/>
        </w:rPr>
        <w:t>80 SF to 400 SF</w:t>
      </w:r>
      <w:r>
        <w:t xml:space="preserve"> with rental rates that </w:t>
      </w:r>
      <w:r w:rsidRPr="00E85D64">
        <w:t xml:space="preserve">range from </w:t>
      </w:r>
      <w:r w:rsidRPr="00A52416">
        <w:rPr>
          <w:highlight w:val="yellow"/>
        </w:rPr>
        <w:t>$140 to $365 per unit</w:t>
      </w:r>
      <w:r w:rsidRPr="00E85D64">
        <w:t xml:space="preserve">. </w:t>
      </w:r>
      <w:r w:rsidRPr="00011C4E">
        <w:t xml:space="preserve">Note the </w:t>
      </w:r>
      <w:r w:rsidRPr="00800172">
        <w:t xml:space="preserve">subject </w:t>
      </w:r>
      <w:r w:rsidRPr="00E85D64">
        <w:t>provided rent roll</w:t>
      </w:r>
      <w:r w:rsidRPr="00800172">
        <w:t xml:space="preserve"> (see </w:t>
      </w:r>
      <w:r>
        <w:t>A</w:t>
      </w:r>
      <w:r w:rsidRPr="00800172">
        <w:t xml:space="preserve">ddenda) </w:t>
      </w:r>
      <w:r w:rsidRPr="00011C4E">
        <w:t xml:space="preserve">is based on the actual contract rents noted in the chart. </w:t>
      </w:r>
      <w:r w:rsidR="004551C4">
        <w:t xml:space="preserve"> </w:t>
      </w:r>
      <w:r w:rsidRPr="004551C4">
        <w:rPr>
          <w:highlight w:val="yellow"/>
        </w:rPr>
        <w:t xml:space="preserve">The subject units </w:t>
      </w:r>
      <w:r w:rsidRPr="004551C4">
        <w:rPr>
          <w:highlight w:val="yellow"/>
        </w:rPr>
        <w:lastRenderedPageBreak/>
        <w:t>are all exterior entrance units with roll-up door access and a mounted light fixture. Note these are all short-term agreements and the leased fee and the fee simple interest are considered equal.</w:t>
      </w:r>
      <w:r>
        <w:t xml:space="preserve"> </w:t>
      </w:r>
    </w:p>
    <w:p w14:paraId="13C88014" w14:textId="77777777" w:rsidR="00A52416" w:rsidRDefault="00A52416" w:rsidP="00A52416">
      <w:pPr>
        <w:tabs>
          <w:tab w:val="left" w:pos="720"/>
          <w:tab w:val="left" w:pos="1440"/>
        </w:tabs>
        <w:outlineLvl w:val="0"/>
      </w:pPr>
    </w:p>
    <w:p w14:paraId="0DE64374" w14:textId="77777777" w:rsidR="00A52416" w:rsidRDefault="00A52416" w:rsidP="00A52416">
      <w:pPr>
        <w:tabs>
          <w:tab w:val="left" w:pos="720"/>
          <w:tab w:val="left" w:pos="1440"/>
        </w:tabs>
        <w:outlineLvl w:val="0"/>
      </w:pPr>
      <w:r>
        <w:rPr>
          <w:b/>
        </w:rPr>
        <w:t xml:space="preserve">8 x 10 Unit – </w:t>
      </w:r>
      <w:r>
        <w:t xml:space="preserve">The subject has 2 of these units with all three renting from $140 per unit. Ownership believes these unit should rent between $140 and $160 per month. Comparable 2 has slightly larger units at the $140 price point and Rent Comp 3 is at $139 for their 7 x 10 units. All things considered the $140 per unit is considered reasonable.  </w:t>
      </w:r>
    </w:p>
    <w:p w14:paraId="55B677DB" w14:textId="77777777" w:rsidR="00A52416" w:rsidRDefault="00A52416" w:rsidP="00A52416">
      <w:pPr>
        <w:tabs>
          <w:tab w:val="left" w:pos="720"/>
          <w:tab w:val="left" w:pos="1440"/>
        </w:tabs>
        <w:outlineLvl w:val="0"/>
      </w:pPr>
    </w:p>
    <w:p w14:paraId="5420E7AC" w14:textId="77777777" w:rsidR="00A52416" w:rsidRDefault="00A52416" w:rsidP="00A52416">
      <w:pPr>
        <w:tabs>
          <w:tab w:val="left" w:pos="720"/>
          <w:tab w:val="left" w:pos="1440"/>
        </w:tabs>
        <w:outlineLvl w:val="0"/>
      </w:pPr>
      <w:r>
        <w:rPr>
          <w:b/>
        </w:rPr>
        <w:t xml:space="preserve">8 x 14 Unit and 8 x 15 Units – </w:t>
      </w:r>
      <w:r>
        <w:t xml:space="preserve">The subject has 6 (8 x 15) units and one (8 x 14) unit and the rents range from $85 and $165 per month. The asking range for these units ranges from $180 to $190 per month.  Rent Comp 2 is most similar to the subject, indicating a market rent of $150 for a 10 x 15 and they should fall below Rent Comp 3 (10 x 10) or $189 per month. The appraiser has applied $150 for these units as the market rent.  </w:t>
      </w:r>
    </w:p>
    <w:p w14:paraId="0D648688" w14:textId="77777777" w:rsidR="00A52416" w:rsidRDefault="00A52416" w:rsidP="00A52416">
      <w:pPr>
        <w:tabs>
          <w:tab w:val="left" w:pos="720"/>
          <w:tab w:val="left" w:pos="1440"/>
        </w:tabs>
        <w:outlineLvl w:val="0"/>
      </w:pPr>
    </w:p>
    <w:p w14:paraId="6489C919" w14:textId="77777777" w:rsidR="00A52416" w:rsidRDefault="00A52416" w:rsidP="00A52416">
      <w:pPr>
        <w:tabs>
          <w:tab w:val="left" w:pos="720"/>
          <w:tab w:val="left" w:pos="1440"/>
        </w:tabs>
        <w:outlineLvl w:val="0"/>
      </w:pPr>
      <w:r>
        <w:rPr>
          <w:b/>
        </w:rPr>
        <w:t xml:space="preserve">10 x 11 Units and 10-x 12 Units– </w:t>
      </w:r>
      <w:r>
        <w:t xml:space="preserve">The subject has 4 (10 x 11) units and three (10 x 12) units and the rents range from $150 to $160 for these units.  The asking range for these units ranges from $170 to $190 per month.  Rent Comp 2 is most similar to the subject, indicating a market rent of $140 for a 10 x 11 and $150 for a 10 x 12. The appraiser has applied $150 for these units as the market rent.  </w:t>
      </w:r>
    </w:p>
    <w:p w14:paraId="14F4BF0B" w14:textId="77777777" w:rsidR="00A52416" w:rsidRDefault="00A52416" w:rsidP="00A52416">
      <w:pPr>
        <w:tabs>
          <w:tab w:val="left" w:pos="720"/>
          <w:tab w:val="left" w:pos="1440"/>
        </w:tabs>
        <w:outlineLvl w:val="0"/>
      </w:pPr>
    </w:p>
    <w:p w14:paraId="0C51BF3F" w14:textId="77777777" w:rsidR="00A52416" w:rsidRDefault="00A52416" w:rsidP="00A52416">
      <w:pPr>
        <w:tabs>
          <w:tab w:val="left" w:pos="720"/>
          <w:tab w:val="left" w:pos="1440"/>
        </w:tabs>
        <w:outlineLvl w:val="0"/>
      </w:pPr>
      <w:r>
        <w:rPr>
          <w:b/>
        </w:rPr>
        <w:t xml:space="preserve">10 x 13 Units and 10 x 15 Units– </w:t>
      </w:r>
      <w:r>
        <w:t xml:space="preserve">The subject </w:t>
      </w:r>
      <w:r w:rsidRPr="00E85D64">
        <w:t xml:space="preserve">has </w:t>
      </w:r>
      <w:r w:rsidRPr="00AE702D">
        <w:t xml:space="preserve">3 (10 x 13) units and </w:t>
      </w:r>
      <w:r w:rsidRPr="00800172">
        <w:t xml:space="preserve">2 </w:t>
      </w:r>
      <w:r w:rsidRPr="00E85D64">
        <w:t>(10 x 15) units and the rents range from $165 to $190 for these units.</w:t>
      </w:r>
      <w:r w:rsidRPr="00AE702D">
        <w:t xml:space="preserve">  Rent Comp 2 is most similar to the subject, indicating a market rent of $140 for a 10 x 13 and $150 for a 10 x 15. The appraiser has applied $1</w:t>
      </w:r>
      <w:r w:rsidRPr="00800172">
        <w:t>7</w:t>
      </w:r>
      <w:r w:rsidRPr="00AE702D">
        <w:t>0 for these</w:t>
      </w:r>
      <w:r>
        <w:t xml:space="preserve"> units as the market rent.   </w:t>
      </w:r>
    </w:p>
    <w:p w14:paraId="37229AD8" w14:textId="77777777" w:rsidR="00A52416" w:rsidRDefault="00A52416" w:rsidP="00A52416">
      <w:pPr>
        <w:tabs>
          <w:tab w:val="left" w:pos="720"/>
          <w:tab w:val="left" w:pos="1440"/>
        </w:tabs>
        <w:outlineLvl w:val="0"/>
      </w:pPr>
    </w:p>
    <w:p w14:paraId="459B2AD5" w14:textId="77777777" w:rsidR="00A52416" w:rsidRDefault="00A52416" w:rsidP="00A52416">
      <w:pPr>
        <w:tabs>
          <w:tab w:val="left" w:pos="720"/>
          <w:tab w:val="left" w:pos="1440"/>
        </w:tabs>
        <w:outlineLvl w:val="0"/>
      </w:pPr>
      <w:r>
        <w:rPr>
          <w:b/>
        </w:rPr>
        <w:t xml:space="preserve">10 x 20 Units – </w:t>
      </w:r>
      <w:r>
        <w:t xml:space="preserve">The subject has (27) 10 x 20 </w:t>
      </w:r>
      <w:bookmarkStart w:id="5" w:name="_Hlk777983"/>
      <w:r>
        <w:t xml:space="preserve">units that currently rent between $150 and $240. Note the low end of the range is due to the tenant leasing multiple units and the rate was determined by subtracting the larger units market rate, thus is artificially low. Removing that one space, the range shrinks to $210 to $240 per unit. The asking rates range from $210 to $240 per unit. There are considerable differences in the rental rates from the comparables for these units from $160 to $294 per unit. </w:t>
      </w:r>
      <w:bookmarkEnd w:id="5"/>
      <w:r>
        <w:t xml:space="preserve">The appraiser has given less consideration to Rent Comp 2 as the rate appears to drop off for their large units. Rent Comp 3 is considered way above market, and the remaining comparables range from $195 to $233 per month. The appraiser has applied $225 for these units as the market rent.   </w:t>
      </w:r>
    </w:p>
    <w:p w14:paraId="6CC70977" w14:textId="77777777" w:rsidR="00A52416" w:rsidRDefault="00A52416" w:rsidP="00A52416">
      <w:pPr>
        <w:tabs>
          <w:tab w:val="left" w:pos="720"/>
          <w:tab w:val="left" w:pos="1440"/>
        </w:tabs>
        <w:outlineLvl w:val="0"/>
      </w:pPr>
    </w:p>
    <w:p w14:paraId="2AC2FD23" w14:textId="77777777" w:rsidR="00A52416" w:rsidRDefault="00A52416" w:rsidP="00A52416">
      <w:pPr>
        <w:tabs>
          <w:tab w:val="left" w:pos="720"/>
          <w:tab w:val="left" w:pos="1440"/>
        </w:tabs>
        <w:outlineLvl w:val="0"/>
      </w:pPr>
      <w:r>
        <w:rPr>
          <w:b/>
        </w:rPr>
        <w:t xml:space="preserve">10 x 30 Units – </w:t>
      </w:r>
      <w:r>
        <w:t>The subject has (24) 10 x 30 units that currently rent between $170 and $270. By removing the low-end space, the range shrinks to $233 to $270 per unit again the low end attributed to multiple unit tenant. The asking rates range from $280 to $300 per unit. There are considerable differences in the rental rates from the comparables for the larger units but the typically rand from $275 to $384. The rate of $270 per unit is considered reasonable for these units.</w:t>
      </w:r>
    </w:p>
    <w:p w14:paraId="1575F891" w14:textId="77777777" w:rsidR="00A52416" w:rsidRDefault="00A52416" w:rsidP="00A52416">
      <w:pPr>
        <w:tabs>
          <w:tab w:val="left" w:pos="720"/>
          <w:tab w:val="left" w:pos="1440"/>
        </w:tabs>
        <w:outlineLvl w:val="0"/>
      </w:pPr>
    </w:p>
    <w:p w14:paraId="69CD85C6" w14:textId="77777777" w:rsidR="00A52416" w:rsidRDefault="00A52416" w:rsidP="00A52416">
      <w:pPr>
        <w:tabs>
          <w:tab w:val="left" w:pos="720"/>
          <w:tab w:val="left" w:pos="1440"/>
        </w:tabs>
        <w:outlineLvl w:val="0"/>
      </w:pPr>
      <w:r>
        <w:rPr>
          <w:b/>
        </w:rPr>
        <w:t xml:space="preserve">11 x 12 Unit – </w:t>
      </w:r>
      <w:r>
        <w:t xml:space="preserve">These units are considered comparable to the 8 x 14 and 8 x15 subject units and $150 per unit has been applied. </w:t>
      </w:r>
    </w:p>
    <w:p w14:paraId="0C91F87D" w14:textId="77777777" w:rsidR="00A52416" w:rsidRDefault="00A52416" w:rsidP="00A52416">
      <w:pPr>
        <w:tabs>
          <w:tab w:val="left" w:pos="720"/>
          <w:tab w:val="left" w:pos="1440"/>
        </w:tabs>
        <w:outlineLvl w:val="0"/>
      </w:pPr>
    </w:p>
    <w:p w14:paraId="56F69B0A" w14:textId="77777777" w:rsidR="00A52416" w:rsidRDefault="00A52416" w:rsidP="00A52416">
      <w:pPr>
        <w:tabs>
          <w:tab w:val="left" w:pos="720"/>
          <w:tab w:val="left" w:pos="1440"/>
        </w:tabs>
        <w:outlineLvl w:val="0"/>
      </w:pPr>
      <w:r>
        <w:rPr>
          <w:b/>
        </w:rPr>
        <w:t xml:space="preserve">20 x 20 Units – </w:t>
      </w:r>
      <w:r>
        <w:t xml:space="preserve">The subject has (1) 20 x 20 unit that is achieving $365, but ownership is of the opinion the unit could bring in $420 per month. Rent Comp 2 is only getting $250 for their 20 x 20 unit, while Rent Comp 3 is getting $384 for a slightly smaller 12 x 30 unit. Finally rent Comp 5 is getting $300 for a larger 12 x 40 unit. A market rate for this unit appears to be closer to $350, which has been applied.  </w:t>
      </w:r>
    </w:p>
    <w:p w14:paraId="4DA6C159" w14:textId="77777777" w:rsidR="00A52416" w:rsidRPr="00F021E9" w:rsidRDefault="00A52416" w:rsidP="00A52416">
      <w:pPr>
        <w:pStyle w:val="Heading20"/>
        <w:rPr>
          <w:rFonts w:asciiTheme="minorHAnsi" w:hAnsiTheme="minorHAnsi" w:cs="Arial"/>
          <w:b w:val="0"/>
          <w:color w:val="1E4959"/>
          <w:spacing w:val="0"/>
          <w:kern w:val="20"/>
          <w:sz w:val="28"/>
          <w:szCs w:val="22"/>
        </w:rPr>
      </w:pPr>
      <w:r w:rsidRPr="00F021E9">
        <w:rPr>
          <w:rFonts w:asciiTheme="minorHAnsi" w:hAnsiTheme="minorHAnsi" w:cs="Arial"/>
          <w:b w:val="0"/>
          <w:color w:val="1E4959"/>
          <w:spacing w:val="0"/>
          <w:kern w:val="20"/>
          <w:sz w:val="28"/>
          <w:szCs w:val="22"/>
        </w:rPr>
        <w:lastRenderedPageBreak/>
        <w:t>M</w:t>
      </w:r>
      <w:r>
        <w:rPr>
          <w:rFonts w:asciiTheme="minorHAnsi" w:hAnsiTheme="minorHAnsi" w:cs="Arial"/>
          <w:b w:val="0"/>
          <w:color w:val="1E4959"/>
          <w:spacing w:val="0"/>
          <w:kern w:val="20"/>
          <w:sz w:val="28"/>
          <w:szCs w:val="22"/>
        </w:rPr>
        <w:t>ini-Storage M</w:t>
      </w:r>
      <w:r w:rsidRPr="00F021E9">
        <w:rPr>
          <w:rFonts w:asciiTheme="minorHAnsi" w:hAnsiTheme="minorHAnsi" w:cs="Arial"/>
          <w:b w:val="0"/>
          <w:color w:val="1E4959"/>
          <w:spacing w:val="0"/>
          <w:kern w:val="20"/>
          <w:sz w:val="28"/>
          <w:szCs w:val="22"/>
        </w:rPr>
        <w:t>arket Rent Conclusion</w:t>
      </w:r>
      <w:r>
        <w:rPr>
          <w:rFonts w:asciiTheme="minorHAnsi" w:hAnsiTheme="minorHAnsi" w:cs="Arial"/>
          <w:b w:val="0"/>
          <w:color w:val="1E4959"/>
          <w:spacing w:val="0"/>
          <w:kern w:val="20"/>
          <w:sz w:val="28"/>
          <w:szCs w:val="22"/>
        </w:rPr>
        <w:t>s</w:t>
      </w:r>
    </w:p>
    <w:p w14:paraId="115450B2" w14:textId="77777777" w:rsidR="00A52416" w:rsidRPr="00F021E9" w:rsidRDefault="00A52416" w:rsidP="00A52416">
      <w:pPr>
        <w:pStyle w:val="Heading20"/>
        <w:keepNext w:val="0"/>
        <w:keepLines w:val="0"/>
        <w:widowControl w:val="0"/>
        <w:spacing w:before="0"/>
        <w:rPr>
          <w:rFonts w:asciiTheme="minorHAnsi" w:hAnsiTheme="minorHAnsi" w:cs="Arial"/>
          <w:b w:val="0"/>
          <w:iCs w:val="0"/>
          <w:color w:val="auto"/>
          <w:spacing w:val="0"/>
          <w:kern w:val="20"/>
          <w:sz w:val="22"/>
          <w:szCs w:val="22"/>
        </w:rPr>
      </w:pPr>
      <w:r w:rsidRPr="00F021E9">
        <w:rPr>
          <w:rFonts w:asciiTheme="minorHAnsi" w:hAnsiTheme="minorHAnsi" w:cs="Arial"/>
          <w:b w:val="0"/>
          <w:iCs w:val="0"/>
          <w:color w:val="auto"/>
          <w:spacing w:val="0"/>
          <w:kern w:val="20"/>
          <w:sz w:val="22"/>
          <w:szCs w:val="22"/>
        </w:rPr>
        <w:t>Based on the preceding analyses, the subject market rents for the mini-storage facility is as follows:</w:t>
      </w:r>
    </w:p>
    <w:p w14:paraId="6AA87C93" w14:textId="77777777" w:rsidR="00A52416" w:rsidRDefault="00A52416" w:rsidP="00A52416">
      <w:pPr>
        <w:pStyle w:val="Heading20"/>
        <w:keepNext w:val="0"/>
        <w:keepLines w:val="0"/>
        <w:widowControl w:val="0"/>
        <w:spacing w:before="0"/>
        <w:rPr>
          <w:rFonts w:asciiTheme="minorHAnsi" w:hAnsiTheme="minorHAnsi" w:cs="Arial"/>
          <w:b w:val="0"/>
          <w:iCs w:val="0"/>
          <w:color w:val="auto"/>
          <w:spacing w:val="0"/>
          <w:kern w:val="20"/>
          <w:sz w:val="22"/>
          <w:szCs w:val="22"/>
        </w:rPr>
      </w:pPr>
    </w:p>
    <w:p w14:paraId="5CC01148" w14:textId="46A8560B" w:rsidR="00A52416" w:rsidRPr="00F021E9" w:rsidRDefault="00137C1E" w:rsidP="00A52416">
      <w:pPr>
        <w:pStyle w:val="Heading20"/>
        <w:keepNext w:val="0"/>
        <w:keepLines w:val="0"/>
        <w:widowControl w:val="0"/>
        <w:spacing w:before="0"/>
        <w:jc w:val="center"/>
        <w:rPr>
          <w:rFonts w:asciiTheme="minorHAnsi" w:hAnsiTheme="minorHAnsi" w:cs="Arial"/>
          <w:b w:val="0"/>
          <w:iCs w:val="0"/>
          <w:color w:val="auto"/>
          <w:spacing w:val="0"/>
          <w:kern w:val="20"/>
          <w:sz w:val="22"/>
          <w:szCs w:val="22"/>
        </w:rPr>
      </w:pPr>
      <w:r w:rsidRPr="00137C1E">
        <w:rPr>
          <w:noProof/>
        </w:rPr>
        <w:drawing>
          <wp:inline distT="0" distB="0" distL="0" distR="0" wp14:anchorId="047D6020" wp14:editId="7323FCDB">
            <wp:extent cx="5943600" cy="45231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523105"/>
                    </a:xfrm>
                    <a:prstGeom prst="rect">
                      <a:avLst/>
                    </a:prstGeom>
                    <a:noFill/>
                    <a:ln>
                      <a:noFill/>
                    </a:ln>
                  </pic:spPr>
                </pic:pic>
              </a:graphicData>
            </a:graphic>
          </wp:inline>
        </w:drawing>
      </w:r>
    </w:p>
    <w:p w14:paraId="4F63D6FD" w14:textId="77777777" w:rsidR="00A52416" w:rsidRPr="00F021E9" w:rsidRDefault="00A52416" w:rsidP="00A52416">
      <w:pPr>
        <w:pStyle w:val="Heading20"/>
        <w:keepNext w:val="0"/>
        <w:keepLines w:val="0"/>
        <w:widowControl w:val="0"/>
        <w:spacing w:before="0"/>
        <w:rPr>
          <w:rFonts w:asciiTheme="minorHAnsi" w:hAnsiTheme="minorHAnsi" w:cs="Arial"/>
          <w:b w:val="0"/>
          <w:iCs w:val="0"/>
          <w:color w:val="auto"/>
          <w:spacing w:val="0"/>
          <w:kern w:val="20"/>
          <w:sz w:val="22"/>
          <w:szCs w:val="22"/>
        </w:rPr>
      </w:pPr>
    </w:p>
    <w:p w14:paraId="443B8DF6" w14:textId="77777777" w:rsidR="00A52416" w:rsidRPr="00FB3887" w:rsidRDefault="00A52416" w:rsidP="00A52416">
      <w:pPr>
        <w:pStyle w:val="Heading20"/>
        <w:keepNext w:val="0"/>
        <w:keepLines w:val="0"/>
        <w:widowControl w:val="0"/>
        <w:spacing w:before="0"/>
        <w:rPr>
          <w:rFonts w:asciiTheme="minorHAnsi" w:hAnsiTheme="minorHAnsi" w:cs="Arial"/>
          <w:b w:val="0"/>
          <w:iCs w:val="0"/>
          <w:color w:val="auto"/>
          <w:spacing w:val="0"/>
          <w:kern w:val="20"/>
          <w:sz w:val="22"/>
          <w:szCs w:val="22"/>
        </w:rPr>
      </w:pPr>
      <w:r w:rsidRPr="00F021E9">
        <w:rPr>
          <w:rFonts w:asciiTheme="minorHAnsi" w:hAnsiTheme="minorHAnsi" w:cs="Arial"/>
          <w:b w:val="0"/>
          <w:iCs w:val="0"/>
          <w:color w:val="auto"/>
          <w:spacing w:val="0"/>
          <w:kern w:val="20"/>
          <w:sz w:val="22"/>
          <w:szCs w:val="22"/>
        </w:rPr>
        <w:t xml:space="preserve">Based on the rent survey data, the subject mini-storage units are </w:t>
      </w:r>
      <w:r>
        <w:rPr>
          <w:rFonts w:asciiTheme="minorHAnsi" w:hAnsiTheme="minorHAnsi" w:cs="Arial"/>
          <w:b w:val="0"/>
          <w:iCs w:val="0"/>
          <w:color w:val="auto"/>
          <w:spacing w:val="0"/>
          <w:kern w:val="20"/>
          <w:sz w:val="22"/>
          <w:szCs w:val="22"/>
        </w:rPr>
        <w:t xml:space="preserve">considered slightly above market. Which is likely why the subject has more vacancy than most of its competitors. Based on the conclusions for each unit type the subject should average $216 per SF or an overall potential gross rental income of $202,260 annually.  </w:t>
      </w:r>
    </w:p>
    <w:p w14:paraId="74B5EC22" w14:textId="77777777" w:rsidR="004551C4" w:rsidRPr="009B6E44" w:rsidRDefault="004551C4" w:rsidP="004551C4">
      <w:pPr>
        <w:pStyle w:val="Footer"/>
        <w:keepNext/>
        <w:keepLines/>
        <w:tabs>
          <w:tab w:val="left" w:pos="3744"/>
        </w:tabs>
        <w:spacing w:before="260"/>
        <w:outlineLvl w:val="1"/>
        <w:rPr>
          <w:rFonts w:cs="Arial"/>
          <w:b/>
          <w:color w:val="1E4959"/>
          <w:kern w:val="20"/>
          <w:sz w:val="28"/>
          <w:szCs w:val="22"/>
        </w:rPr>
      </w:pPr>
      <w:r w:rsidRPr="009B6E44">
        <w:rPr>
          <w:rFonts w:cs="Arial"/>
          <w:color w:val="1E4959"/>
          <w:kern w:val="20"/>
          <w:sz w:val="28"/>
          <w:szCs w:val="22"/>
        </w:rPr>
        <w:t xml:space="preserve">Potential Gross </w:t>
      </w:r>
      <w:r>
        <w:rPr>
          <w:rFonts w:cs="Arial"/>
          <w:color w:val="1E4959"/>
          <w:kern w:val="20"/>
          <w:sz w:val="28"/>
          <w:szCs w:val="22"/>
        </w:rPr>
        <w:t xml:space="preserve">Rental </w:t>
      </w:r>
      <w:r w:rsidRPr="009B6E44">
        <w:rPr>
          <w:rFonts w:cs="Arial"/>
          <w:color w:val="1E4959"/>
          <w:kern w:val="20"/>
          <w:sz w:val="28"/>
          <w:szCs w:val="22"/>
        </w:rPr>
        <w:t>Income</w:t>
      </w:r>
    </w:p>
    <w:p w14:paraId="65524975" w14:textId="4093E81E" w:rsidR="004551C4" w:rsidRDefault="00A52416" w:rsidP="00A52416">
      <w:pPr>
        <w:rPr>
          <w:rFonts w:cs="Arial"/>
          <w:szCs w:val="22"/>
        </w:rPr>
      </w:pPr>
      <w:r w:rsidRPr="00E85D64">
        <w:rPr>
          <w:rFonts w:cs="Arial"/>
          <w:szCs w:val="22"/>
        </w:rPr>
        <w:t xml:space="preserve">Adding the projected market rental income to reimbursable expenses indicates a total potential gross income for the subject property of </w:t>
      </w:r>
      <w:r w:rsidRPr="004551C4">
        <w:rPr>
          <w:rFonts w:cs="Arial"/>
          <w:b/>
          <w:szCs w:val="22"/>
          <w:highlight w:val="yellow"/>
        </w:rPr>
        <w:t>$</w:t>
      </w:r>
      <w:r w:rsidR="004551C4" w:rsidRPr="004551C4">
        <w:rPr>
          <w:rFonts w:cs="Arial"/>
          <w:b/>
          <w:szCs w:val="22"/>
          <w:highlight w:val="yellow"/>
        </w:rPr>
        <w:t>_______</w:t>
      </w:r>
      <w:r w:rsidRPr="004551C4">
        <w:rPr>
          <w:rFonts w:cs="Arial"/>
          <w:szCs w:val="22"/>
          <w:highlight w:val="yellow"/>
        </w:rPr>
        <w:t xml:space="preserve"> ($</w:t>
      </w:r>
      <w:r w:rsidR="004551C4" w:rsidRPr="004551C4">
        <w:rPr>
          <w:rFonts w:cs="Arial"/>
          <w:szCs w:val="22"/>
          <w:highlight w:val="yellow"/>
        </w:rPr>
        <w:t>_____</w:t>
      </w:r>
      <w:r w:rsidRPr="004551C4">
        <w:rPr>
          <w:rFonts w:cs="Arial"/>
          <w:szCs w:val="22"/>
          <w:highlight w:val="yellow"/>
        </w:rPr>
        <w:t xml:space="preserve"> per SF </w:t>
      </w:r>
      <w:r w:rsidR="00137C1E">
        <w:rPr>
          <w:rFonts w:cs="Arial"/>
          <w:szCs w:val="22"/>
          <w:highlight w:val="yellow"/>
        </w:rPr>
        <w:t>NRA</w:t>
      </w:r>
      <w:r w:rsidRPr="004551C4">
        <w:rPr>
          <w:rFonts w:cs="Arial"/>
          <w:szCs w:val="22"/>
          <w:highlight w:val="yellow"/>
        </w:rPr>
        <w:t>)</w:t>
      </w:r>
      <w:r w:rsidRPr="00E85D64">
        <w:rPr>
          <w:rFonts w:cs="Arial"/>
          <w:szCs w:val="22"/>
        </w:rPr>
        <w:t>.</w:t>
      </w:r>
    </w:p>
    <w:p w14:paraId="2F33F29C" w14:textId="77777777" w:rsidR="0025432C" w:rsidRPr="009B6E44" w:rsidRDefault="0025432C" w:rsidP="0025432C">
      <w:pPr>
        <w:pStyle w:val="Heading20"/>
        <w:rPr>
          <w:rFonts w:asciiTheme="minorHAnsi" w:hAnsiTheme="minorHAnsi" w:cs="Arial"/>
          <w:b w:val="0"/>
          <w:color w:val="1E4959"/>
          <w:spacing w:val="0"/>
          <w:kern w:val="20"/>
          <w:sz w:val="28"/>
          <w:szCs w:val="22"/>
        </w:rPr>
      </w:pPr>
      <w:r w:rsidRPr="009B6E44">
        <w:rPr>
          <w:rFonts w:asciiTheme="minorHAnsi" w:hAnsiTheme="minorHAnsi" w:cs="Arial"/>
          <w:b w:val="0"/>
          <w:color w:val="1E4959"/>
          <w:spacing w:val="0"/>
          <w:kern w:val="20"/>
          <w:sz w:val="28"/>
          <w:szCs w:val="22"/>
        </w:rPr>
        <w:t>Vacancy and Credit Loss</w:t>
      </w:r>
    </w:p>
    <w:p w14:paraId="76EF2302" w14:textId="77777777" w:rsidR="0025432C" w:rsidRPr="004551C4" w:rsidRDefault="0025432C" w:rsidP="0025432C">
      <w:r w:rsidRPr="004551C4">
        <w:t>This expense category accounts for the time period between tenants, as well as possible prolonged vacancies under slow market conditions. The assignment will reflect the probable vacancy during the economic life of the property.</w:t>
      </w:r>
    </w:p>
    <w:p w14:paraId="4F1F09D9" w14:textId="77777777" w:rsidR="0025432C" w:rsidRPr="004551C4" w:rsidRDefault="0025432C" w:rsidP="0025432C"/>
    <w:p w14:paraId="5AB7A951" w14:textId="77777777" w:rsidR="004551C4" w:rsidRPr="004551C4" w:rsidRDefault="004551C4" w:rsidP="004551C4">
      <w:pPr>
        <w:widowControl w:val="0"/>
        <w:tabs>
          <w:tab w:val="left" w:pos="3744"/>
        </w:tabs>
      </w:pPr>
      <w:r w:rsidRPr="004551C4">
        <w:t xml:space="preserve">This expense category accounts for the time period between tenants, as well as possible prolonged </w:t>
      </w:r>
      <w:r w:rsidRPr="004551C4">
        <w:lastRenderedPageBreak/>
        <w:t xml:space="preserve">vacancies under slow market conditions. The assignment will reflect the probable vacancy during the economic life of the property. </w:t>
      </w:r>
    </w:p>
    <w:p w14:paraId="52E76F3A" w14:textId="77777777" w:rsidR="004551C4" w:rsidRPr="004551C4" w:rsidRDefault="004551C4" w:rsidP="004551C4">
      <w:pPr>
        <w:widowControl w:val="0"/>
        <w:tabs>
          <w:tab w:val="left" w:pos="3744"/>
        </w:tabs>
      </w:pPr>
    </w:p>
    <w:p w14:paraId="13A2E601" w14:textId="02F29092" w:rsidR="004551C4" w:rsidRPr="004551C4" w:rsidRDefault="004551C4" w:rsidP="004551C4">
      <w:r w:rsidRPr="004551C4">
        <w:t xml:space="preserve">Previously discussed in the "Industry Analysis" section of this report, the </w:t>
      </w:r>
      <w:r w:rsidRPr="004551C4">
        <w:rPr>
          <w:highlight w:val="yellow"/>
        </w:rPr>
        <w:t>28th Annual Self Storage Almanac 2020 estimates physical vacancy in the Pacific Region at 20.8%, 18.1% nationally</w:t>
      </w:r>
      <w:r w:rsidRPr="004551C4">
        <w:t xml:space="preserve">. </w:t>
      </w:r>
    </w:p>
    <w:p w14:paraId="6B5E7759" w14:textId="77777777" w:rsidR="004551C4" w:rsidRPr="004551C4" w:rsidRDefault="004551C4" w:rsidP="004551C4"/>
    <w:p w14:paraId="22157A02" w14:textId="38295F58" w:rsidR="004551C4" w:rsidRPr="004551C4" w:rsidRDefault="004551C4" w:rsidP="004551C4">
      <w:r w:rsidRPr="004551C4">
        <w:t xml:space="preserve">There is no available market research specific to the self-storage occupancy within the </w:t>
      </w:r>
      <w:r w:rsidRPr="004551C4">
        <w:rPr>
          <w:highlight w:val="yellow"/>
        </w:rPr>
        <w:t>Portland</w:t>
      </w:r>
      <w:r w:rsidRPr="004551C4">
        <w:t xml:space="preserve"> areas. </w:t>
      </w:r>
      <w:r w:rsidRPr="004551C4">
        <w:rPr>
          <w:highlight w:val="yellow"/>
        </w:rPr>
        <w:t>Discussions with Kevin Howard (971.236.9505), owner and manager of 72 Oregon properties indicates an overall vacancy of 17%. However, for his properties in Washington County, overall vacancy is 16%, and his property in Cornelius, the closest property to the subject and used in this Income Approach section as Rent Comp 2, vacancy is currently at 13%. Other properties surveyed in the subject area reported vacancy of 19%, 6%, and 1.2%. The subject would be considered to have a superior location to the two properties posting the high vacancy rates, while having an inferior location compared to Rent Comps 1 and 3, establishing the low vacancy indictors.</w:t>
      </w:r>
      <w:r w:rsidRPr="004551C4">
        <w:t xml:space="preserve"> </w:t>
      </w:r>
    </w:p>
    <w:p w14:paraId="2CF66F20" w14:textId="77777777" w:rsidR="004551C4" w:rsidRPr="004551C4" w:rsidRDefault="004551C4" w:rsidP="004551C4"/>
    <w:p w14:paraId="0511F4A6" w14:textId="2D950252" w:rsidR="004551C4" w:rsidRPr="004551C4" w:rsidRDefault="004551C4" w:rsidP="004551C4">
      <w:r w:rsidRPr="004551C4">
        <w:rPr>
          <w:highlight w:val="yellow"/>
        </w:rPr>
        <w:t xml:space="preserve">The subject currently has 589 units available for rent, </w:t>
      </w:r>
      <w:r w:rsidRPr="004551C4">
        <w:rPr>
          <w:highlight w:val="yellow"/>
          <w:u w:val="single"/>
        </w:rPr>
        <w:t>excluding the units used by the owner / management</w:t>
      </w:r>
      <w:r w:rsidRPr="004551C4">
        <w:rPr>
          <w:highlight w:val="yellow"/>
        </w:rPr>
        <w:t>. The current physical vacancy is 21.4%.  However, it is noted that the subject suffers from superadequacy, overbuilding the property with a second floor on Building D during the final phase of construction. This second level has consistently exhibited high vacancy, with the current vacancy on that level at 52.7%. If the second floor units are not considered, the subject would post a current vacancy of 7.4%. It is also noted that the subject vacancy rate has been steadily decreasing 14.1 basis points from May 2012 to June 2013. This may be attributable to the new professional management that was retained in 20</w:t>
      </w:r>
      <w:r>
        <w:rPr>
          <w:highlight w:val="yellow"/>
        </w:rPr>
        <w:t>19</w:t>
      </w:r>
      <w:r w:rsidRPr="004551C4">
        <w:rPr>
          <w:highlight w:val="yellow"/>
        </w:rPr>
        <w:t>.</w:t>
      </w:r>
    </w:p>
    <w:p w14:paraId="1CE32580" w14:textId="77777777" w:rsidR="004551C4" w:rsidRPr="004551C4" w:rsidRDefault="004551C4" w:rsidP="004551C4"/>
    <w:p w14:paraId="512264E2" w14:textId="77777777" w:rsidR="004551C4" w:rsidRPr="004551C4" w:rsidRDefault="004551C4" w:rsidP="004551C4">
      <w:r w:rsidRPr="004551C4">
        <w:t xml:space="preserve">Based on the subject and market data, a stabilized vacancy for the subject’s ground floor units </w:t>
      </w:r>
      <w:r w:rsidRPr="004551C4">
        <w:rPr>
          <w:highlight w:val="yellow"/>
        </w:rPr>
        <w:t>at 7.0% is considered reasonably estimated, and a 50.0% vacancy estimated for the subject’s 2nd floor units</w:t>
      </w:r>
      <w:r w:rsidRPr="004551C4">
        <w:t xml:space="preserve">. </w:t>
      </w:r>
    </w:p>
    <w:p w14:paraId="2F851396" w14:textId="77777777" w:rsidR="004551C4" w:rsidRPr="004551C4" w:rsidRDefault="004551C4" w:rsidP="004551C4"/>
    <w:p w14:paraId="1F4D2109" w14:textId="77777777" w:rsidR="004551C4" w:rsidRPr="004551C4" w:rsidRDefault="004551C4" w:rsidP="004551C4">
      <w:pPr>
        <w:widowControl w:val="0"/>
        <w:rPr>
          <w:highlight w:val="yellow"/>
        </w:rPr>
      </w:pPr>
      <w:r w:rsidRPr="004551C4">
        <w:rPr>
          <w:highlight w:val="yellow"/>
        </w:rPr>
        <w:t xml:space="preserve">The mini-storage industry operates on a month-to-month basis, with a turnover average of 10% to 15% per month, according to Kevin Howard, Kevin Howard Real Estate (971.236.9505), a leading participant in the northwest mini-storage market. Due to the high volume of tenants coming and going, there is an expected amount of credit loss. According to industry experts, credit losses are best controlled by having good managers who are able to screen tenants. However, even with good management, facilities can expect to suffer a 2% to 5% credit loss. </w:t>
      </w:r>
    </w:p>
    <w:p w14:paraId="6CF90AF1" w14:textId="77777777" w:rsidR="004551C4" w:rsidRPr="004551C4" w:rsidRDefault="004551C4" w:rsidP="004551C4">
      <w:pPr>
        <w:widowControl w:val="0"/>
        <w:rPr>
          <w:highlight w:val="yellow"/>
        </w:rPr>
      </w:pPr>
    </w:p>
    <w:p w14:paraId="2925B3FE" w14:textId="77777777" w:rsidR="004551C4" w:rsidRPr="004551C4" w:rsidRDefault="004551C4" w:rsidP="004551C4">
      <w:pPr>
        <w:widowControl w:val="0"/>
      </w:pPr>
      <w:r w:rsidRPr="004551C4">
        <w:rPr>
          <w:highlight w:val="yellow"/>
        </w:rPr>
        <w:t>The subject’s financial statements do not provide credit loss figures. The property is professionally managed by Cedartree Management Company, managing 13 facilities in Oregon and Washington. The subject is considered to be overbuilt, which will necessitate continued marketing challenges to maintain occupancy. This will exert downward pressure on the economic occupancy of the property as rent concessions will likely be an integral part of maintaining stabilized occupancy. Therefore, credit loss at the upper end of the range at 5% of mini-storage potential gross income, is estimated for the subject on a stabilized basis.</w:t>
      </w:r>
      <w:r w:rsidRPr="004551C4">
        <w:t xml:space="preserve">  </w:t>
      </w:r>
    </w:p>
    <w:p w14:paraId="2676D53E" w14:textId="77777777" w:rsidR="004551C4" w:rsidRPr="004551C4" w:rsidRDefault="004551C4" w:rsidP="004551C4"/>
    <w:p w14:paraId="37DF6751" w14:textId="263B852B" w:rsidR="004551C4" w:rsidRDefault="004551C4" w:rsidP="004551C4">
      <w:pPr>
        <w:widowControl w:val="0"/>
      </w:pPr>
      <w:r w:rsidRPr="004551C4">
        <w:rPr>
          <w:highlight w:val="yellow"/>
        </w:rPr>
        <w:t xml:space="preserve">Adding the estimated stabilized vacancy of 7% for the ground level units, 50% for the upper floor units, and the credit loss estimate of 5% results in a </w:t>
      </w:r>
      <w:r w:rsidRPr="004551C4">
        <w:rPr>
          <w:b/>
          <w:highlight w:val="yellow"/>
        </w:rPr>
        <w:t>stabilized vacancy and credit loss estimate</w:t>
      </w:r>
      <w:r w:rsidRPr="004551C4">
        <w:rPr>
          <w:highlight w:val="yellow"/>
        </w:rPr>
        <w:t xml:space="preserve"> of </w:t>
      </w:r>
      <w:r w:rsidRPr="004551C4">
        <w:rPr>
          <w:b/>
          <w:highlight w:val="yellow"/>
        </w:rPr>
        <w:t xml:space="preserve">20.5% </w:t>
      </w:r>
      <w:r w:rsidRPr="004551C4">
        <w:rPr>
          <w:highlight w:val="yellow"/>
        </w:rPr>
        <w:t>for the subject property, which is applied only to the rental income.</w:t>
      </w:r>
    </w:p>
    <w:p w14:paraId="0A2055A4" w14:textId="1A1D3494" w:rsidR="004551C4" w:rsidRPr="00460745" w:rsidRDefault="004551C4" w:rsidP="004551C4">
      <w:pPr>
        <w:pStyle w:val="Footer"/>
        <w:keepNext/>
        <w:keepLines/>
        <w:tabs>
          <w:tab w:val="left" w:pos="3744"/>
        </w:tabs>
        <w:spacing w:before="260"/>
        <w:outlineLvl w:val="1"/>
        <w:rPr>
          <w:rFonts w:cs="Arial"/>
          <w:b/>
          <w:color w:val="1E4959"/>
          <w:kern w:val="20"/>
          <w:sz w:val="28"/>
          <w:szCs w:val="22"/>
        </w:rPr>
      </w:pPr>
      <w:r>
        <w:rPr>
          <w:rFonts w:cs="Arial"/>
          <w:color w:val="1E4959"/>
          <w:kern w:val="20"/>
          <w:sz w:val="28"/>
          <w:szCs w:val="22"/>
        </w:rPr>
        <w:lastRenderedPageBreak/>
        <w:t>Other</w:t>
      </w:r>
      <w:r w:rsidRPr="00460745">
        <w:rPr>
          <w:rFonts w:cs="Arial"/>
          <w:color w:val="1E4959"/>
          <w:kern w:val="20"/>
          <w:sz w:val="28"/>
          <w:szCs w:val="22"/>
        </w:rPr>
        <w:t xml:space="preserve"> Income</w:t>
      </w:r>
    </w:p>
    <w:p w14:paraId="79C6B378" w14:textId="52A2BA60" w:rsidR="004551C4" w:rsidRPr="004551C4" w:rsidRDefault="004551C4" w:rsidP="004551C4">
      <w:pPr>
        <w:widowControl w:val="0"/>
      </w:pPr>
      <w:r w:rsidRPr="004551C4">
        <w:t xml:space="preserve">This category accounts for all non-rental associated income for the subject property. Other income sources include merchandise sales (boxes, locks, tape, etc.). truck rental, late fees and non-sufficient fund fees. According to the Self Storage Almanac, other income for self storage facilities generally ranges from </w:t>
      </w:r>
      <w:r w:rsidRPr="004551C4">
        <w:rPr>
          <w:highlight w:val="yellow"/>
        </w:rPr>
        <w:t>2.0% to 5.0% of gross rental income</w:t>
      </w:r>
      <w:r w:rsidRPr="004551C4">
        <w:t xml:space="preserve">. In terms of the estimated gross rental income of </w:t>
      </w:r>
      <w:r w:rsidRPr="004551C4">
        <w:rPr>
          <w:highlight w:val="yellow"/>
        </w:rPr>
        <w:t>$808,788, that would equate to a range of $16,176 to $40,439</w:t>
      </w:r>
      <w:r w:rsidRPr="004551C4">
        <w:t xml:space="preserve">. According to the subject's actual financial statements, the subject generated only </w:t>
      </w:r>
      <w:r w:rsidRPr="004551C4">
        <w:rPr>
          <w:highlight w:val="yellow"/>
        </w:rPr>
        <w:t>$4,777 in other income for 201</w:t>
      </w:r>
      <w:r>
        <w:rPr>
          <w:highlight w:val="yellow"/>
        </w:rPr>
        <w:t>9</w:t>
      </w:r>
      <w:r w:rsidRPr="004551C4">
        <w:rPr>
          <w:highlight w:val="yellow"/>
        </w:rPr>
        <w:t xml:space="preserve"> and is on track to generate only $2,254 in 20</w:t>
      </w:r>
      <w:r>
        <w:rPr>
          <w:highlight w:val="yellow"/>
        </w:rPr>
        <w:t>20</w:t>
      </w:r>
      <w:r w:rsidRPr="004551C4">
        <w:rPr>
          <w:highlight w:val="yellow"/>
        </w:rPr>
        <w:t>, based on the other income for January through May</w:t>
      </w:r>
      <w:r w:rsidRPr="004551C4">
        <w:t xml:space="preserve">. It is noted that other income increases significantly through the summer months. In reference to the Almanac statistics, it is also noted that other income is much more successfully generated within urban facilities. </w:t>
      </w:r>
    </w:p>
    <w:p w14:paraId="56E0009F" w14:textId="77777777" w:rsidR="004551C4" w:rsidRPr="004551C4" w:rsidRDefault="004551C4" w:rsidP="004551C4">
      <w:pPr>
        <w:widowControl w:val="0"/>
      </w:pPr>
    </w:p>
    <w:p w14:paraId="6A84C1AE" w14:textId="61BCB54F" w:rsidR="004551C4" w:rsidRPr="004551C4" w:rsidRDefault="004551C4" w:rsidP="004551C4">
      <w:pPr>
        <w:widowControl w:val="0"/>
      </w:pPr>
      <w:r w:rsidRPr="004551C4">
        <w:t xml:space="preserve">Based primarily on the subject's actual income, </w:t>
      </w:r>
      <w:r w:rsidRPr="004551C4">
        <w:rPr>
          <w:b/>
          <w:highlight w:val="yellow"/>
        </w:rPr>
        <w:t>$_______</w:t>
      </w:r>
      <w:r w:rsidRPr="004551C4">
        <w:t xml:space="preserve"> is estimated for stabilized </w:t>
      </w:r>
      <w:r w:rsidRPr="004551C4">
        <w:rPr>
          <w:b/>
        </w:rPr>
        <w:t>other income</w:t>
      </w:r>
      <w:r w:rsidRPr="004551C4">
        <w:t>, considered realistic for the subject property.</w:t>
      </w:r>
    </w:p>
    <w:p w14:paraId="4CC4A6CC" w14:textId="77777777" w:rsidR="0025432C" w:rsidRPr="009B6E44" w:rsidRDefault="0025432C" w:rsidP="0025432C">
      <w:pPr>
        <w:pStyle w:val="Heading20"/>
        <w:rPr>
          <w:rFonts w:asciiTheme="minorHAnsi" w:hAnsiTheme="minorHAnsi" w:cs="Arial"/>
          <w:b w:val="0"/>
          <w:color w:val="1E4959"/>
          <w:spacing w:val="0"/>
          <w:kern w:val="20"/>
          <w:sz w:val="28"/>
          <w:szCs w:val="22"/>
        </w:rPr>
      </w:pPr>
      <w:r w:rsidRPr="009B6E44">
        <w:rPr>
          <w:rFonts w:asciiTheme="minorHAnsi" w:hAnsiTheme="minorHAnsi" w:cs="Arial"/>
          <w:b w:val="0"/>
          <w:color w:val="1E4959"/>
          <w:spacing w:val="0"/>
          <w:kern w:val="20"/>
          <w:sz w:val="28"/>
          <w:szCs w:val="22"/>
        </w:rPr>
        <w:t>Effective Gross Income</w:t>
      </w:r>
    </w:p>
    <w:p w14:paraId="2F3FCE1B" w14:textId="691D4B72" w:rsidR="0025432C" w:rsidRPr="004551C4" w:rsidRDefault="004551C4" w:rsidP="0025432C">
      <w:r w:rsidRPr="004551C4">
        <w:t xml:space="preserve">Based on the preceding, </w:t>
      </w:r>
      <w:r w:rsidRPr="004551C4">
        <w:rPr>
          <w:b/>
        </w:rPr>
        <w:t>effective gross income</w:t>
      </w:r>
      <w:r w:rsidRPr="004551C4">
        <w:t xml:space="preserve"> for the subject property is estimated at </w:t>
      </w:r>
      <w:r w:rsidRPr="004551C4">
        <w:rPr>
          <w:b/>
        </w:rPr>
        <w:t>$</w:t>
      </w:r>
      <w:r>
        <w:rPr>
          <w:b/>
        </w:rPr>
        <w:t>_______</w:t>
      </w:r>
      <w:r w:rsidRPr="004551C4">
        <w:t xml:space="preserve">. This EGI conclusion is well above the subject’s historical EGI at </w:t>
      </w:r>
      <w:r w:rsidRPr="004551C4">
        <w:rPr>
          <w:highlight w:val="yellow"/>
        </w:rPr>
        <w:t>$</w:t>
      </w:r>
      <w:r>
        <w:rPr>
          <w:highlight w:val="yellow"/>
        </w:rPr>
        <w:t>_________</w:t>
      </w:r>
      <w:r w:rsidRPr="004551C4">
        <w:rPr>
          <w:highlight w:val="yellow"/>
        </w:rPr>
        <w:t xml:space="preserve"> in 2019</w:t>
      </w:r>
      <w:r w:rsidRPr="004551C4">
        <w:t xml:space="preserve">. However, the subject is on track to reach </w:t>
      </w:r>
      <w:r w:rsidRPr="004551C4">
        <w:rPr>
          <w:highlight w:val="yellow"/>
        </w:rPr>
        <w:t xml:space="preserve">an EGI of </w:t>
      </w:r>
      <w:r>
        <w:rPr>
          <w:highlight w:val="yellow"/>
        </w:rPr>
        <w:t>$</w:t>
      </w:r>
      <w:r w:rsidRPr="004551C4">
        <w:rPr>
          <w:highlight w:val="yellow"/>
        </w:rPr>
        <w:t>_______ in 2020</w:t>
      </w:r>
      <w:r w:rsidRPr="004551C4">
        <w:t xml:space="preserve"> based on the financials </w:t>
      </w:r>
      <w:r w:rsidRPr="004551C4">
        <w:rPr>
          <w:highlight w:val="yellow"/>
        </w:rPr>
        <w:t>for January through May</w:t>
      </w:r>
      <w:r w:rsidRPr="004551C4">
        <w:t xml:space="preserve">, which does not include the summer months, typically a very active season for self storage. Also, the stabilized EGI includes putting back into the available inventory </w:t>
      </w:r>
      <w:r w:rsidRPr="004551C4">
        <w:rPr>
          <w:highlight w:val="yellow"/>
        </w:rPr>
        <w:t>7 units</w:t>
      </w:r>
      <w:r w:rsidRPr="004551C4">
        <w:t xml:space="preserve"> currently used by the subject owner (</w:t>
      </w:r>
      <w:r w:rsidR="002B3B73" w:rsidRPr="004551C4">
        <w:t>approx</w:t>
      </w:r>
      <w:r w:rsidR="002B3B73">
        <w:t>imately</w:t>
      </w:r>
      <w:r w:rsidRPr="004551C4">
        <w:t xml:space="preserve"> $</w:t>
      </w:r>
      <w:r w:rsidR="002B3B73">
        <w:t>________</w:t>
      </w:r>
      <w:r w:rsidRPr="004551C4">
        <w:t xml:space="preserve"> annual income).</w:t>
      </w:r>
    </w:p>
    <w:p w14:paraId="3DD2AE29" w14:textId="77777777" w:rsidR="0025432C" w:rsidRPr="009B6E44" w:rsidRDefault="0025432C" w:rsidP="0025432C">
      <w:pPr>
        <w:keepNext/>
        <w:keepLines/>
        <w:spacing w:before="260"/>
        <w:outlineLvl w:val="1"/>
        <w:rPr>
          <w:rFonts w:cs="Arial"/>
          <w:b/>
          <w:color w:val="1E4959"/>
          <w:sz w:val="28"/>
          <w:szCs w:val="22"/>
        </w:rPr>
      </w:pPr>
      <w:r w:rsidRPr="009B6E44">
        <w:rPr>
          <w:rFonts w:cs="Arial"/>
          <w:color w:val="1E4959"/>
          <w:sz w:val="28"/>
          <w:szCs w:val="22"/>
        </w:rPr>
        <w:t>Projected Operating Expenses</w:t>
      </w:r>
    </w:p>
    <w:p w14:paraId="56703841" w14:textId="66CD3B41" w:rsidR="0025432C" w:rsidRPr="00B3013C" w:rsidRDefault="0025432C" w:rsidP="0025432C">
      <w:pPr>
        <w:widowControl w:val="0"/>
        <w:rPr>
          <w:rFonts w:cs="Segoe UI"/>
          <w:color w:val="000000"/>
          <w:szCs w:val="22"/>
        </w:rPr>
      </w:pPr>
      <w:r w:rsidRPr="00B3013C">
        <w:rPr>
          <w:rFonts w:cs="Segoe UI"/>
          <w:color w:val="000000"/>
          <w:szCs w:val="22"/>
        </w:rPr>
        <w:t xml:space="preserve">The next step in the Income Capitalization Approach is to estimate the subject's stabilized operating expenses. </w:t>
      </w:r>
      <w:r w:rsidR="002B3B73" w:rsidRPr="004146D6">
        <w:t>The market rent conclusion has been based on a full-service rent. The landlord is therefore responsible for real estate taxes, insurance, property management, utilities</w:t>
      </w:r>
      <w:r w:rsidR="002B3B73" w:rsidRPr="004146D6">
        <w:rPr>
          <w:i/>
        </w:rPr>
        <w:t>,</w:t>
      </w:r>
      <w:r w:rsidR="002B3B73" w:rsidRPr="004146D6">
        <w:t xml:space="preserve"> garbage, maintenance, advertising, office expenses, and reserves for replacement. To estimate expenses applicable to the subject property, the subject’s actual </w:t>
      </w:r>
      <w:r w:rsidR="002B3B73">
        <w:t>expenses are compared to i</w:t>
      </w:r>
      <w:r w:rsidR="002B3B73" w:rsidRPr="004146D6">
        <w:t>n-house expense comparables</w:t>
      </w:r>
      <w:r w:rsidR="002B3B73">
        <w:t xml:space="preserve"> </w:t>
      </w:r>
      <w:r w:rsidR="002B3B73" w:rsidRPr="002B3B73">
        <w:rPr>
          <w:highlight w:val="yellow"/>
        </w:rPr>
        <w:t>located in the Portland metro area, as well as the expanded market of Western Oregon</w:t>
      </w:r>
      <w:r w:rsidR="002B3B73">
        <w:t>.</w:t>
      </w:r>
    </w:p>
    <w:p w14:paraId="2A2AFBE4" w14:textId="77777777" w:rsidR="0025432C" w:rsidRPr="00B3013C" w:rsidRDefault="0025432C" w:rsidP="0025432C">
      <w:pPr>
        <w:widowControl w:val="0"/>
        <w:rPr>
          <w:rFonts w:cs="Segoe UI"/>
          <w:color w:val="000000"/>
          <w:szCs w:val="22"/>
        </w:rPr>
      </w:pPr>
    </w:p>
    <w:p w14:paraId="2EDAF959" w14:textId="5F7AFF18" w:rsidR="00F62920" w:rsidRDefault="0025432C" w:rsidP="00F62920">
      <w:pPr>
        <w:rPr>
          <w:rFonts w:cs="Segoe UI"/>
          <w:color w:val="000000"/>
        </w:rPr>
      </w:pPr>
      <w:r w:rsidRPr="00B3013C">
        <w:rPr>
          <w:rFonts w:cs="Segoe UI"/>
          <w:color w:val="000000"/>
          <w:szCs w:val="22"/>
        </w:rPr>
        <w:t>To estimate expenses applicable to the subject property, the subject</w:t>
      </w:r>
      <w:r>
        <w:rPr>
          <w:rFonts w:cs="Segoe UI"/>
          <w:color w:val="000000"/>
          <w:szCs w:val="22"/>
        </w:rPr>
        <w:t>’s most recent income statement was</w:t>
      </w:r>
      <w:r w:rsidRPr="00B3013C">
        <w:rPr>
          <w:rFonts w:cs="Segoe UI"/>
          <w:color w:val="000000"/>
          <w:szCs w:val="22"/>
        </w:rPr>
        <w:t xml:space="preserve"> analyzed. Additional expense information was obtained from </w:t>
      </w:r>
      <w:r w:rsidR="00F62920" w:rsidRPr="0008000B">
        <w:rPr>
          <w:rFonts w:cs="Segoe UI"/>
          <w:color w:val="000000"/>
        </w:rPr>
        <w:t xml:space="preserve">in-house expense comparables located in the </w:t>
      </w:r>
      <w:r w:rsidR="00F62920" w:rsidRPr="00F62920">
        <w:rPr>
          <w:rFonts w:cs="Segoe UI"/>
          <w:color w:val="000000"/>
          <w:highlight w:val="yellow"/>
        </w:rPr>
        <w:t>Portland-Vancouver</w:t>
      </w:r>
      <w:r w:rsidR="00F62920">
        <w:rPr>
          <w:rFonts w:cs="Segoe UI"/>
          <w:color w:val="000000"/>
        </w:rPr>
        <w:t xml:space="preserve"> </w:t>
      </w:r>
      <w:r w:rsidR="00F62920" w:rsidRPr="0008000B">
        <w:rPr>
          <w:rFonts w:cs="Segoe UI"/>
          <w:color w:val="000000"/>
        </w:rPr>
        <w:t>metro area, as well as market research provided by the 201</w:t>
      </w:r>
      <w:r w:rsidR="00F62920">
        <w:rPr>
          <w:rFonts w:cs="Segoe UI"/>
          <w:color w:val="000000"/>
        </w:rPr>
        <w:t>9</w:t>
      </w:r>
      <w:r w:rsidR="00F62920" w:rsidRPr="0008000B">
        <w:rPr>
          <w:rFonts w:cs="Segoe UI"/>
          <w:color w:val="000000"/>
        </w:rPr>
        <w:t xml:space="preserve"> Self Storage Almanac. The mini-storage expense comparables are summarized in the table below.</w:t>
      </w:r>
    </w:p>
    <w:p w14:paraId="69930125" w14:textId="77777777" w:rsidR="00F62920" w:rsidRDefault="00F62920" w:rsidP="00F62920">
      <w:pPr>
        <w:rPr>
          <w:rFonts w:cs="Segoe UI"/>
          <w:color w:val="000000"/>
        </w:rPr>
      </w:pPr>
    </w:p>
    <w:p w14:paraId="219C8D59" w14:textId="77777777" w:rsidR="00F62920" w:rsidRDefault="00F62920" w:rsidP="00F62920">
      <w:pPr>
        <w:ind w:left="-720"/>
        <w:rPr>
          <w:rFonts w:cs="Segoe UI"/>
          <w:color w:val="000000"/>
        </w:rPr>
      </w:pPr>
      <w:r w:rsidRPr="00BE15D8">
        <w:rPr>
          <w:noProof/>
        </w:rPr>
        <w:lastRenderedPageBreak/>
        <w:drawing>
          <wp:inline distT="0" distB="0" distL="0" distR="0" wp14:anchorId="0DE743C9" wp14:editId="253A1BF3">
            <wp:extent cx="6728460" cy="2696416"/>
            <wp:effectExtent l="0" t="0" r="0" b="889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759821" cy="2708984"/>
                    </a:xfrm>
                    <a:prstGeom prst="rect">
                      <a:avLst/>
                    </a:prstGeom>
                    <a:noFill/>
                    <a:ln>
                      <a:noFill/>
                    </a:ln>
                  </pic:spPr>
                </pic:pic>
              </a:graphicData>
            </a:graphic>
          </wp:inline>
        </w:drawing>
      </w:r>
    </w:p>
    <w:p w14:paraId="077BAE50" w14:textId="77777777" w:rsidR="00F62920" w:rsidRDefault="00F62920" w:rsidP="0025432C">
      <w:pPr>
        <w:rPr>
          <w:rFonts w:cs="Segoe UI"/>
          <w:color w:val="000000"/>
          <w:szCs w:val="22"/>
        </w:rPr>
      </w:pPr>
    </w:p>
    <w:p w14:paraId="242E8A87" w14:textId="2C846D52" w:rsidR="0025432C" w:rsidRDefault="000B0C0A" w:rsidP="0025432C">
      <w:r w:rsidRPr="00B570E9">
        <w:rPr>
          <w:rFonts w:eastAsiaTheme="majorEastAsia" w:cs="Arial"/>
          <w:color w:val="1E4959"/>
          <w:sz w:val="24"/>
          <w:szCs w:val="22"/>
          <w:u w:val="single"/>
        </w:rPr>
        <w:t>Real Estate Taxes</w:t>
      </w:r>
      <w:r w:rsidRPr="000B0C0A">
        <w:rPr>
          <w:rFonts w:eastAsiaTheme="majorEastAsia" w:cs="Arial"/>
          <w:color w:val="1E4959"/>
          <w:sz w:val="24"/>
          <w:szCs w:val="22"/>
        </w:rPr>
        <w:t>:</w:t>
      </w:r>
      <w:r w:rsidRPr="00B3013C">
        <w:t xml:space="preserve"> </w:t>
      </w:r>
      <w:r w:rsidR="0025432C">
        <w:t xml:space="preserve">Real estate taxes for this analysis are based on the subject’s most recent tax obligation and a projection (3% by law increase) of </w:t>
      </w:r>
      <w:r w:rsidR="0025432C" w:rsidRPr="003479F4">
        <w:t xml:space="preserve">next year’s rate because the fiscal tax year is more than half over of </w:t>
      </w:r>
      <w:r w:rsidR="0025432C" w:rsidRPr="00DD49B1">
        <w:rPr>
          <w:b/>
          <w:highlight w:val="yellow"/>
        </w:rPr>
        <w:t>$</w:t>
      </w:r>
      <w:r w:rsidR="008D26BD" w:rsidRPr="008D26BD">
        <w:rPr>
          <w:b/>
          <w:highlight w:val="yellow"/>
        </w:rPr>
        <w:t>________</w:t>
      </w:r>
      <w:r w:rsidR="0025432C" w:rsidRPr="008D26BD">
        <w:rPr>
          <w:highlight w:val="yellow"/>
        </w:rPr>
        <w:t>.</w:t>
      </w:r>
    </w:p>
    <w:p w14:paraId="478F0B92" w14:textId="77777777" w:rsidR="000B0C0A" w:rsidRPr="00B3013C" w:rsidRDefault="000B0C0A" w:rsidP="0025432C"/>
    <w:p w14:paraId="039B7117" w14:textId="054D6315" w:rsidR="002B3B73" w:rsidRDefault="002B3B73" w:rsidP="002B3B73">
      <w:pPr>
        <w:widowControl w:val="0"/>
        <w:tabs>
          <w:tab w:val="left" w:pos="288"/>
          <w:tab w:val="left" w:pos="576"/>
        </w:tabs>
        <w:rPr>
          <w:szCs w:val="22"/>
        </w:rPr>
      </w:pPr>
      <w:r w:rsidRPr="007F2895">
        <w:rPr>
          <w:color w:val="1E4959"/>
          <w:sz w:val="24"/>
          <w:u w:val="single"/>
        </w:rPr>
        <w:t>Insurance</w:t>
      </w:r>
      <w:r w:rsidRPr="007F2895">
        <w:rPr>
          <w:color w:val="1E4959"/>
          <w:sz w:val="24"/>
        </w:rPr>
        <w:t xml:space="preserve">: </w:t>
      </w:r>
      <w:r w:rsidRPr="007F2895">
        <w:rPr>
          <w:szCs w:val="22"/>
        </w:rPr>
        <w:t xml:space="preserve">Building insurance for similar </w:t>
      </w:r>
      <w:r>
        <w:rPr>
          <w:szCs w:val="22"/>
        </w:rPr>
        <w:t xml:space="preserve">mini-storage </w:t>
      </w:r>
      <w:r w:rsidRPr="007F2895">
        <w:rPr>
          <w:szCs w:val="22"/>
        </w:rPr>
        <w:t xml:space="preserve">properties in the </w:t>
      </w:r>
      <w:r w:rsidRPr="002B3B73">
        <w:rPr>
          <w:szCs w:val="22"/>
          <w:highlight w:val="yellow"/>
        </w:rPr>
        <w:t>Portland</w:t>
      </w:r>
      <w:r w:rsidRPr="007F2895">
        <w:rPr>
          <w:szCs w:val="22"/>
        </w:rPr>
        <w:t xml:space="preserve"> metropolitan area generally range </w:t>
      </w:r>
      <w:r w:rsidRPr="00036327">
        <w:rPr>
          <w:szCs w:val="22"/>
        </w:rPr>
        <w:t xml:space="preserve">from </w:t>
      </w:r>
      <w:r w:rsidRPr="00F83EB0">
        <w:rPr>
          <w:szCs w:val="22"/>
          <w:highlight w:val="yellow"/>
        </w:rPr>
        <w:t>$0.20 to $0.</w:t>
      </w:r>
      <w:r w:rsidRPr="002B3B73">
        <w:rPr>
          <w:szCs w:val="22"/>
          <w:highlight w:val="yellow"/>
        </w:rPr>
        <w:t>50 per SF.</w:t>
      </w:r>
      <w:r w:rsidRPr="00036327">
        <w:rPr>
          <w:szCs w:val="22"/>
        </w:rPr>
        <w:t xml:space="preserve"> The </w:t>
      </w:r>
      <w:r w:rsidRPr="00F83EB0">
        <w:rPr>
          <w:szCs w:val="22"/>
          <w:highlight w:val="yellow"/>
        </w:rPr>
        <w:t>2020</w:t>
      </w:r>
      <w:r w:rsidRPr="00036327">
        <w:rPr>
          <w:szCs w:val="22"/>
        </w:rPr>
        <w:t xml:space="preserve"> amount was </w:t>
      </w:r>
      <w:r w:rsidRPr="00F83EB0">
        <w:rPr>
          <w:szCs w:val="22"/>
          <w:highlight w:val="yellow"/>
        </w:rPr>
        <w:t>$0.11</w:t>
      </w:r>
      <w:r>
        <w:rPr>
          <w:szCs w:val="22"/>
          <w:highlight w:val="yellow"/>
        </w:rPr>
        <w:t xml:space="preserve">7 per </w:t>
      </w:r>
      <w:r w:rsidRPr="00F83EB0">
        <w:rPr>
          <w:szCs w:val="22"/>
          <w:highlight w:val="yellow"/>
        </w:rPr>
        <w:t>SF</w:t>
      </w:r>
      <w:r w:rsidRPr="00036327">
        <w:rPr>
          <w:szCs w:val="22"/>
        </w:rPr>
        <w:t xml:space="preserve"> with no other expense provided</w:t>
      </w:r>
      <w:r>
        <w:rPr>
          <w:szCs w:val="22"/>
        </w:rPr>
        <w:t xml:space="preserve"> and appears unreasonably low for this property type</w:t>
      </w:r>
      <w:r w:rsidRPr="00036327">
        <w:rPr>
          <w:szCs w:val="22"/>
        </w:rPr>
        <w:t>. Therefore, a</w:t>
      </w:r>
      <w:r>
        <w:rPr>
          <w:szCs w:val="22"/>
        </w:rPr>
        <w:t xml:space="preserve">n </w:t>
      </w:r>
      <w:r w:rsidRPr="00036327">
        <w:rPr>
          <w:szCs w:val="22"/>
        </w:rPr>
        <w:t xml:space="preserve">expense </w:t>
      </w:r>
      <w:r>
        <w:rPr>
          <w:szCs w:val="22"/>
        </w:rPr>
        <w:t xml:space="preserve">at the lower end of the comparable range </w:t>
      </w:r>
      <w:r w:rsidRPr="00036327">
        <w:rPr>
          <w:szCs w:val="22"/>
        </w:rPr>
        <w:t xml:space="preserve">of </w:t>
      </w:r>
      <w:r w:rsidRPr="00F83EB0">
        <w:rPr>
          <w:b/>
          <w:szCs w:val="22"/>
          <w:highlight w:val="yellow"/>
        </w:rPr>
        <w:t>$0.20 per SF</w:t>
      </w:r>
      <w:r w:rsidRPr="00036327">
        <w:rPr>
          <w:szCs w:val="22"/>
        </w:rPr>
        <w:t xml:space="preserve"> has been applied.</w:t>
      </w:r>
    </w:p>
    <w:p w14:paraId="04DEC70B" w14:textId="71869D20" w:rsidR="002B3B73" w:rsidRDefault="002B3B73" w:rsidP="002B3B73">
      <w:pPr>
        <w:widowControl w:val="0"/>
        <w:tabs>
          <w:tab w:val="left" w:pos="288"/>
          <w:tab w:val="left" w:pos="576"/>
        </w:tabs>
        <w:rPr>
          <w:szCs w:val="22"/>
        </w:rPr>
      </w:pPr>
    </w:p>
    <w:p w14:paraId="23E37832" w14:textId="306BC682" w:rsidR="002B3B73" w:rsidRPr="002B3B73" w:rsidRDefault="002B3B73" w:rsidP="002B3B73">
      <w:r>
        <w:rPr>
          <w:rFonts w:eastAsiaTheme="majorEastAsia" w:cs="Arial"/>
          <w:color w:val="1E4959"/>
          <w:sz w:val="24"/>
          <w:szCs w:val="22"/>
          <w:u w:val="single"/>
        </w:rPr>
        <w:t xml:space="preserve">On-Site </w:t>
      </w:r>
      <w:r w:rsidRPr="001A5949">
        <w:rPr>
          <w:rFonts w:eastAsiaTheme="majorEastAsia" w:cs="Arial"/>
          <w:color w:val="1E4959"/>
          <w:sz w:val="24"/>
          <w:szCs w:val="22"/>
          <w:u w:val="single"/>
        </w:rPr>
        <w:t>Management</w:t>
      </w:r>
      <w:r w:rsidRPr="000B0C0A">
        <w:rPr>
          <w:rFonts w:eastAsiaTheme="majorEastAsia" w:cs="Arial"/>
          <w:color w:val="1E4959"/>
          <w:sz w:val="24"/>
          <w:szCs w:val="22"/>
        </w:rPr>
        <w:t>:</w:t>
      </w:r>
      <w:r w:rsidRPr="00B3013C">
        <w:t xml:space="preserve"> </w:t>
      </w:r>
      <w:r w:rsidRPr="002B3B73">
        <w:t xml:space="preserve">The subject’s on-site management expenses total </w:t>
      </w:r>
      <w:r w:rsidRPr="00FB0A80">
        <w:rPr>
          <w:highlight w:val="yellow"/>
        </w:rPr>
        <w:t>$______ in 2019</w:t>
      </w:r>
      <w:r w:rsidRPr="002B3B73">
        <w:t xml:space="preserve"> for the on-site </w:t>
      </w:r>
      <w:r>
        <w:t xml:space="preserve">managers on </w:t>
      </w:r>
      <w:r w:rsidRPr="002B3B73">
        <w:t xml:space="preserve">the property. This equates to </w:t>
      </w:r>
      <w:r w:rsidRPr="002B3B73">
        <w:rPr>
          <w:highlight w:val="yellow"/>
        </w:rPr>
        <w:t>7.5% of the reported EGI</w:t>
      </w:r>
      <w:r w:rsidRPr="002B3B73">
        <w:t xml:space="preserve">. However, the expense is on track to increase to </w:t>
      </w:r>
      <w:r w:rsidRPr="002B3B73">
        <w:rPr>
          <w:highlight w:val="yellow"/>
        </w:rPr>
        <w:t>8.1% in 2020</w:t>
      </w:r>
      <w:r w:rsidRPr="002B3B73">
        <w:t xml:space="preserve">, based on the financials from </w:t>
      </w:r>
      <w:r w:rsidRPr="002B3B73">
        <w:rPr>
          <w:highlight w:val="yellow"/>
        </w:rPr>
        <w:t>January through May</w:t>
      </w:r>
      <w:r w:rsidRPr="002B3B73">
        <w:t xml:space="preserve">. The industry averages for on-site management generally range from </w:t>
      </w:r>
      <w:r w:rsidRPr="002B3B73">
        <w:rPr>
          <w:highlight w:val="yellow"/>
        </w:rPr>
        <w:t>10% to 20% of EGI</w:t>
      </w:r>
      <w:r w:rsidRPr="002B3B73">
        <w:t xml:space="preserve">, depending on the area. </w:t>
      </w:r>
      <w:r w:rsidRPr="002B3B73">
        <w:rPr>
          <w:highlight w:val="yellow"/>
        </w:rPr>
        <w:t>The Self-Storage Almanac uses an expense of 10.88% in their Valuation section</w:t>
      </w:r>
      <w:r w:rsidRPr="002B3B73">
        <w:t xml:space="preserve">. Thus, the subject on-site costs appear to be below market and increasing. A stabilized expense at the </w:t>
      </w:r>
      <w:r w:rsidRPr="002B3B73">
        <w:rPr>
          <w:highlight w:val="yellow"/>
        </w:rPr>
        <w:t>low end</w:t>
      </w:r>
      <w:r w:rsidRPr="002B3B73">
        <w:t xml:space="preserve"> of the market range of </w:t>
      </w:r>
      <w:r w:rsidRPr="002B3B73">
        <w:rPr>
          <w:b/>
          <w:highlight w:val="yellow"/>
        </w:rPr>
        <w:t>10.0% of EGI</w:t>
      </w:r>
      <w:r w:rsidRPr="002B3B73">
        <w:t xml:space="preserve"> is considered reasonable and is used in this analysis.</w:t>
      </w:r>
    </w:p>
    <w:p w14:paraId="2847772A" w14:textId="77777777" w:rsidR="002B3B73" w:rsidRDefault="002B3B73" w:rsidP="002B3B73">
      <w:pPr>
        <w:widowControl w:val="0"/>
        <w:tabs>
          <w:tab w:val="left" w:pos="288"/>
          <w:tab w:val="left" w:pos="576"/>
        </w:tabs>
        <w:rPr>
          <w:szCs w:val="22"/>
        </w:rPr>
      </w:pPr>
    </w:p>
    <w:p w14:paraId="58B33EC1" w14:textId="57C530DA" w:rsidR="002B3B73" w:rsidRPr="002B3B73" w:rsidRDefault="002B3B73" w:rsidP="002B3B73">
      <w:r>
        <w:rPr>
          <w:rFonts w:eastAsiaTheme="majorEastAsia" w:cs="Arial"/>
          <w:color w:val="1E4959"/>
          <w:sz w:val="24"/>
          <w:szCs w:val="22"/>
          <w:u w:val="single"/>
        </w:rPr>
        <w:t xml:space="preserve">Professional </w:t>
      </w:r>
      <w:r w:rsidRPr="001A5949">
        <w:rPr>
          <w:rFonts w:eastAsiaTheme="majorEastAsia" w:cs="Arial"/>
          <w:color w:val="1E4959"/>
          <w:sz w:val="24"/>
          <w:szCs w:val="22"/>
          <w:u w:val="single"/>
        </w:rPr>
        <w:t>Managemen</w:t>
      </w:r>
      <w:r>
        <w:rPr>
          <w:rFonts w:eastAsiaTheme="majorEastAsia" w:cs="Arial"/>
          <w:color w:val="1E4959"/>
          <w:sz w:val="24"/>
          <w:szCs w:val="22"/>
          <w:u w:val="single"/>
        </w:rPr>
        <w:t>t Fees</w:t>
      </w:r>
      <w:r w:rsidRPr="000B0C0A">
        <w:rPr>
          <w:rFonts w:eastAsiaTheme="majorEastAsia" w:cs="Arial"/>
          <w:color w:val="1E4959"/>
          <w:sz w:val="24"/>
          <w:szCs w:val="22"/>
        </w:rPr>
        <w:t>:</w:t>
      </w:r>
      <w:r w:rsidRPr="00B3013C">
        <w:t xml:space="preserve"> </w:t>
      </w:r>
      <w:r>
        <w:t xml:space="preserve">The subject is managed by </w:t>
      </w:r>
      <w:r w:rsidRPr="002B3B73">
        <w:rPr>
          <w:highlight w:val="yellow"/>
        </w:rPr>
        <w:t>Cedartree Management Company</w:t>
      </w:r>
      <w:r>
        <w:t xml:space="preserve">. The reported professional management of the property in </w:t>
      </w:r>
      <w:r w:rsidRPr="002B3B73">
        <w:rPr>
          <w:highlight w:val="yellow"/>
        </w:rPr>
        <w:t>2019 was 6.0% of the EG</w:t>
      </w:r>
      <w:r>
        <w:t xml:space="preserve">I. Professional management firms such as </w:t>
      </w:r>
      <w:r w:rsidRPr="002B3B73">
        <w:rPr>
          <w:highlight w:val="yellow"/>
        </w:rPr>
        <w:t>Capital Management, Public Storage, Urban Management, and Kevin Howard are currently charging from 5% to 6%</w:t>
      </w:r>
      <w:r>
        <w:t xml:space="preserve"> of the effective gross income. Based on the subject and market data, a management expense of </w:t>
      </w:r>
      <w:r w:rsidRPr="002B3B73">
        <w:rPr>
          <w:b/>
          <w:highlight w:val="yellow"/>
        </w:rPr>
        <w:t>6.0</w:t>
      </w:r>
      <w:r w:rsidRPr="002B3B73">
        <w:rPr>
          <w:highlight w:val="yellow"/>
        </w:rPr>
        <w:t>%</w:t>
      </w:r>
      <w:r w:rsidRPr="002B3B73">
        <w:rPr>
          <w:b/>
          <w:highlight w:val="yellow"/>
        </w:rPr>
        <w:t xml:space="preserve"> of EGI</w:t>
      </w:r>
      <w:r>
        <w:t xml:space="preserve"> is considered applicable.</w:t>
      </w:r>
    </w:p>
    <w:p w14:paraId="5446D44D" w14:textId="77777777" w:rsidR="002B3B73" w:rsidRPr="002B3B73" w:rsidRDefault="002B3B73" w:rsidP="002B3B73">
      <w:pPr>
        <w:widowControl w:val="0"/>
        <w:tabs>
          <w:tab w:val="left" w:pos="288"/>
          <w:tab w:val="left" w:pos="576"/>
        </w:tabs>
        <w:rPr>
          <w:szCs w:val="22"/>
        </w:rPr>
      </w:pPr>
    </w:p>
    <w:p w14:paraId="1DABA05A" w14:textId="77777777" w:rsidR="000B0C0A" w:rsidRPr="00B3013C" w:rsidRDefault="000B0C0A" w:rsidP="0025432C"/>
    <w:p w14:paraId="0984BF29" w14:textId="00EC8FFA" w:rsidR="0025432C" w:rsidRDefault="000B0C0A" w:rsidP="0025432C">
      <w:r w:rsidRPr="001A5949">
        <w:rPr>
          <w:rFonts w:eastAsiaTheme="majorEastAsia" w:cs="Arial"/>
          <w:color w:val="1E4959"/>
          <w:sz w:val="24"/>
          <w:szCs w:val="22"/>
          <w:u w:val="single"/>
        </w:rPr>
        <w:t>Utilitie</w:t>
      </w:r>
      <w:r w:rsidR="002B3B73">
        <w:rPr>
          <w:rFonts w:eastAsiaTheme="majorEastAsia" w:cs="Arial"/>
          <w:color w:val="1E4959"/>
          <w:sz w:val="24"/>
          <w:szCs w:val="22"/>
          <w:u w:val="single"/>
        </w:rPr>
        <w:t>s / Garage</w:t>
      </w:r>
      <w:r w:rsidRPr="000B0C0A">
        <w:rPr>
          <w:rFonts w:eastAsiaTheme="majorEastAsia" w:cs="Arial"/>
          <w:color w:val="1E4959"/>
          <w:sz w:val="24"/>
          <w:szCs w:val="22"/>
        </w:rPr>
        <w:t>:</w:t>
      </w:r>
      <w:r w:rsidRPr="00B3013C">
        <w:t xml:space="preserve"> </w:t>
      </w:r>
      <w:r w:rsidR="0025432C" w:rsidRPr="002B3B73">
        <w:rPr>
          <w:highlight w:val="yellow"/>
        </w:rPr>
        <w:t>This category includes the water, sewer, trash, and minimal common area electricity</w:t>
      </w:r>
      <w:r w:rsidR="0025432C" w:rsidRPr="00B3013C">
        <w:t xml:space="preserve">. </w:t>
      </w:r>
      <w:r w:rsidR="002B3B73" w:rsidRPr="001927C0">
        <w:t xml:space="preserve">The subject’s utilities / </w:t>
      </w:r>
      <w:r w:rsidR="002B3B73">
        <w:t xml:space="preserve">garage </w:t>
      </w:r>
      <w:r w:rsidR="002B3B73" w:rsidRPr="001927C0">
        <w:t xml:space="preserve">expenses </w:t>
      </w:r>
      <w:r w:rsidR="002B3B73" w:rsidRPr="002B3B73">
        <w:rPr>
          <w:highlight w:val="yellow"/>
        </w:rPr>
        <w:t xml:space="preserve">in 2019 were $0.35 per SF </w:t>
      </w:r>
      <w:r w:rsidR="00137C1E">
        <w:rPr>
          <w:highlight w:val="yellow"/>
        </w:rPr>
        <w:t>NRA</w:t>
      </w:r>
      <w:r w:rsidR="002B3B73" w:rsidRPr="001927C0">
        <w:t xml:space="preserve">. This is well within the market range and is used in </w:t>
      </w:r>
      <w:r w:rsidR="002B3B73" w:rsidRPr="00320020">
        <w:t>this income analysis.</w:t>
      </w:r>
    </w:p>
    <w:p w14:paraId="52985AB5" w14:textId="6C352DE1" w:rsidR="000B0C0A" w:rsidRDefault="000B0C0A" w:rsidP="0025432C">
      <w:pPr>
        <w:rPr>
          <w:bCs/>
        </w:rPr>
      </w:pPr>
    </w:p>
    <w:p w14:paraId="023AB977" w14:textId="6AE19681" w:rsidR="00FB0A80" w:rsidRDefault="00FB0A80" w:rsidP="00FB0A80">
      <w:r>
        <w:rPr>
          <w:rFonts w:eastAsiaTheme="majorEastAsia" w:cs="Arial"/>
          <w:color w:val="1E4959"/>
          <w:sz w:val="24"/>
          <w:szCs w:val="22"/>
          <w:u w:val="single"/>
        </w:rPr>
        <w:lastRenderedPageBreak/>
        <w:t>Advertising</w:t>
      </w:r>
      <w:r w:rsidRPr="000B0C0A">
        <w:rPr>
          <w:rFonts w:eastAsiaTheme="majorEastAsia" w:cs="Arial"/>
          <w:color w:val="1E4959"/>
          <w:sz w:val="24"/>
          <w:szCs w:val="22"/>
        </w:rPr>
        <w:t>:</w:t>
      </w:r>
      <w:r w:rsidRPr="00B3013C">
        <w:t xml:space="preserve"> </w:t>
      </w:r>
      <w:r w:rsidRPr="001927C0">
        <w:t>The subject reported</w:t>
      </w:r>
      <w:r w:rsidRPr="00320020">
        <w:t xml:space="preserve"> </w:t>
      </w:r>
      <w:r w:rsidRPr="00FB0A80">
        <w:rPr>
          <w:highlight w:val="yellow"/>
        </w:rPr>
        <w:t>2019 advertising costs at $____ or ____% of EGI</w:t>
      </w:r>
      <w:r w:rsidRPr="00320020">
        <w:t xml:space="preserve">. Based on market research, advertising costs for self-storage facilities average </w:t>
      </w:r>
      <w:r w:rsidRPr="00F62920">
        <w:rPr>
          <w:highlight w:val="yellow"/>
        </w:rPr>
        <w:t>2.5% to 3.0% of EGI</w:t>
      </w:r>
      <w:r w:rsidRPr="00320020">
        <w:t xml:space="preserve">. Though the subject has had steady improvement in occupancy over the last year, stronger upward movement may have resulted from a larger advertising budget. Due to the </w:t>
      </w:r>
      <w:r w:rsidRPr="00F62920">
        <w:rPr>
          <w:highlight w:val="yellow"/>
        </w:rPr>
        <w:t>subject's overbuilt status</w:t>
      </w:r>
      <w:r w:rsidRPr="00320020">
        <w:t xml:space="preserve">, an </w:t>
      </w:r>
      <w:r w:rsidRPr="00F62920">
        <w:rPr>
          <w:highlight w:val="yellow"/>
        </w:rPr>
        <w:t>upper-end rate</w:t>
      </w:r>
      <w:r w:rsidRPr="00320020">
        <w:t xml:space="preserve"> of </w:t>
      </w:r>
      <w:r w:rsidRPr="00F62920">
        <w:rPr>
          <w:b/>
          <w:highlight w:val="yellow"/>
        </w:rPr>
        <w:t>3.0% of EGI</w:t>
      </w:r>
      <w:r w:rsidRPr="00320020">
        <w:t xml:space="preserve"> applied to the estimated stabilized EGI is considered reasonable to maintain stabilized occupancy and is used in this analysis.</w:t>
      </w:r>
    </w:p>
    <w:p w14:paraId="487D428D" w14:textId="77777777" w:rsidR="00F62920" w:rsidRDefault="00F62920" w:rsidP="00F62920">
      <w:pPr>
        <w:rPr>
          <w:bCs/>
        </w:rPr>
      </w:pPr>
    </w:p>
    <w:p w14:paraId="086F08FF" w14:textId="7CE2D50A" w:rsidR="00F62920" w:rsidRPr="00F62920" w:rsidRDefault="00F62920" w:rsidP="00F62920">
      <w:r>
        <w:rPr>
          <w:rFonts w:eastAsiaTheme="majorEastAsia" w:cs="Arial"/>
          <w:color w:val="1E4959"/>
          <w:sz w:val="24"/>
          <w:szCs w:val="22"/>
          <w:u w:val="single"/>
        </w:rPr>
        <w:t>Office / Misc. Expenses</w:t>
      </w:r>
      <w:r w:rsidRPr="000B0C0A">
        <w:rPr>
          <w:rFonts w:eastAsiaTheme="majorEastAsia" w:cs="Arial"/>
          <w:color w:val="1E4959"/>
          <w:sz w:val="24"/>
          <w:szCs w:val="22"/>
        </w:rPr>
        <w:t>:</w:t>
      </w:r>
      <w:r w:rsidRPr="00B3013C">
        <w:t xml:space="preserve"> </w:t>
      </w:r>
      <w:r w:rsidRPr="00F62920">
        <w:t xml:space="preserve">Office expenses relates to those items required for the day to day operation of the facility (legal, accounting, postage, supplies, etc.). The subject costs for </w:t>
      </w:r>
      <w:r w:rsidRPr="00F62920">
        <w:rPr>
          <w:highlight w:val="yellow"/>
        </w:rPr>
        <w:t xml:space="preserve">2019 equated to $0.30 per SF </w:t>
      </w:r>
      <w:r w:rsidR="00137C1E">
        <w:rPr>
          <w:highlight w:val="yellow"/>
        </w:rPr>
        <w:t>NRA</w:t>
      </w:r>
      <w:r w:rsidRPr="00F62920">
        <w:rPr>
          <w:highlight w:val="yellow"/>
        </w:rPr>
        <w:t xml:space="preserve"> or 4.4% of the EGI.</w:t>
      </w:r>
      <w:r w:rsidRPr="00F62920">
        <w:t xml:space="preserve"> Based on market research, this is somewhat high, with an expense around 3.0% of EGI applicable for the subject as stabilized. It is noted that the </w:t>
      </w:r>
      <w:r w:rsidRPr="00F62920">
        <w:rPr>
          <w:highlight w:val="yellow"/>
        </w:rPr>
        <w:t>2020 expenses for January through May 2013 show a slight decrease to 4.1% of the EGI</w:t>
      </w:r>
      <w:r w:rsidRPr="00F62920">
        <w:t xml:space="preserve">. Based on the market norm, and considering the subject’s decreasing expenditures in this category, a stabilized expense </w:t>
      </w:r>
      <w:r w:rsidRPr="00F62920">
        <w:rPr>
          <w:highlight w:val="yellow"/>
        </w:rPr>
        <w:t xml:space="preserve">of </w:t>
      </w:r>
      <w:r w:rsidRPr="00F62920">
        <w:rPr>
          <w:b/>
          <w:highlight w:val="yellow"/>
        </w:rPr>
        <w:t>3.0% of EGI</w:t>
      </w:r>
      <w:r w:rsidRPr="00F62920">
        <w:t xml:space="preserve"> considered reasonable for use in this analysis.</w:t>
      </w:r>
    </w:p>
    <w:p w14:paraId="3023523A" w14:textId="77777777" w:rsidR="002B3B73" w:rsidRPr="002B3B73" w:rsidRDefault="002B3B73" w:rsidP="0025432C">
      <w:pPr>
        <w:rPr>
          <w:bCs/>
        </w:rPr>
      </w:pPr>
    </w:p>
    <w:p w14:paraId="06D205C9" w14:textId="70339E0B" w:rsidR="0025432C" w:rsidRDefault="000B0C0A" w:rsidP="0025432C">
      <w:r w:rsidRPr="00B570E9">
        <w:rPr>
          <w:rFonts w:eastAsiaTheme="majorEastAsia" w:cs="Arial"/>
          <w:color w:val="1E4959"/>
          <w:sz w:val="24"/>
          <w:szCs w:val="22"/>
          <w:u w:val="single"/>
        </w:rPr>
        <w:t xml:space="preserve">Repairs </w:t>
      </w:r>
      <w:r w:rsidR="00F62920">
        <w:rPr>
          <w:rFonts w:eastAsiaTheme="majorEastAsia" w:cs="Arial"/>
          <w:color w:val="1E4959"/>
          <w:sz w:val="24"/>
          <w:szCs w:val="22"/>
          <w:u w:val="single"/>
        </w:rPr>
        <w:t>&amp;</w:t>
      </w:r>
      <w:r w:rsidRPr="00B570E9">
        <w:rPr>
          <w:rFonts w:eastAsiaTheme="majorEastAsia" w:cs="Arial"/>
          <w:color w:val="1E4959"/>
          <w:sz w:val="24"/>
          <w:szCs w:val="22"/>
          <w:u w:val="single"/>
        </w:rPr>
        <w:t xml:space="preserve"> Maintenance</w:t>
      </w:r>
      <w:r w:rsidR="00F62920">
        <w:rPr>
          <w:rFonts w:eastAsiaTheme="majorEastAsia" w:cs="Arial"/>
          <w:color w:val="1E4959"/>
          <w:sz w:val="24"/>
          <w:szCs w:val="22"/>
          <w:u w:val="single"/>
        </w:rPr>
        <w:t xml:space="preserve"> / Security</w:t>
      </w:r>
      <w:r w:rsidRPr="000B0C0A">
        <w:rPr>
          <w:rFonts w:eastAsiaTheme="majorEastAsia" w:cs="Arial"/>
          <w:color w:val="1E4959"/>
          <w:sz w:val="24"/>
          <w:szCs w:val="22"/>
        </w:rPr>
        <w:t>:</w:t>
      </w:r>
      <w:r w:rsidRPr="00B3013C">
        <w:t xml:space="preserve"> </w:t>
      </w:r>
      <w:r w:rsidR="00F62920">
        <w:t xml:space="preserve">The subject reported expenses in this category at </w:t>
      </w:r>
      <w:r w:rsidR="00F62920" w:rsidRPr="00F62920">
        <w:rPr>
          <w:highlight w:val="yellow"/>
        </w:rPr>
        <w:t>2.0% of EGI</w:t>
      </w:r>
      <w:r w:rsidR="00F62920">
        <w:t xml:space="preserve"> for </w:t>
      </w:r>
      <w:r w:rsidR="00F62920" w:rsidRPr="00F62920">
        <w:rPr>
          <w:highlight w:val="yellow"/>
        </w:rPr>
        <w:t>201</w:t>
      </w:r>
      <w:r w:rsidR="00F62920">
        <w:rPr>
          <w:highlight w:val="yellow"/>
        </w:rPr>
        <w:t>9</w:t>
      </w:r>
      <w:r w:rsidR="00F62920">
        <w:t xml:space="preserve">. This is at the </w:t>
      </w:r>
      <w:r w:rsidR="00F62920" w:rsidRPr="00F62920">
        <w:rPr>
          <w:highlight w:val="yellow"/>
        </w:rPr>
        <w:t>extreme low end</w:t>
      </w:r>
      <w:r w:rsidR="00F62920">
        <w:t xml:space="preserve"> of the market range, generally from </w:t>
      </w:r>
      <w:r w:rsidR="00F62920" w:rsidRPr="00F62920">
        <w:rPr>
          <w:highlight w:val="yellow"/>
        </w:rPr>
        <w:t>2.0% to 3.5%.</w:t>
      </w:r>
      <w:r w:rsidR="00F62920">
        <w:t xml:space="preserve"> Based on the age, quality, and condition of the subject, an expense toward the </w:t>
      </w:r>
      <w:r w:rsidR="00F62920" w:rsidRPr="00F62920">
        <w:rPr>
          <w:highlight w:val="yellow"/>
        </w:rPr>
        <w:t>low end</w:t>
      </w:r>
      <w:r w:rsidR="00F62920">
        <w:t xml:space="preserve"> of the range, estimated at </w:t>
      </w:r>
      <w:r w:rsidR="00F62920" w:rsidRPr="00F62920">
        <w:rPr>
          <w:b/>
          <w:highlight w:val="yellow"/>
        </w:rPr>
        <w:t>2.5% of EGI</w:t>
      </w:r>
      <w:r w:rsidR="00F62920">
        <w:t>, is used in this analysis.</w:t>
      </w:r>
    </w:p>
    <w:p w14:paraId="6447BA04" w14:textId="77777777" w:rsidR="000B0C0A" w:rsidRPr="00B3013C" w:rsidRDefault="000B0C0A" w:rsidP="0025432C"/>
    <w:p w14:paraId="7AD27563" w14:textId="7007F14C" w:rsidR="0025432C" w:rsidRPr="00B3013C" w:rsidRDefault="000B0C0A" w:rsidP="0025432C">
      <w:r w:rsidRPr="00B570E9">
        <w:rPr>
          <w:rFonts w:eastAsiaTheme="majorEastAsia" w:cs="Arial"/>
          <w:color w:val="1E4959"/>
          <w:sz w:val="24"/>
          <w:szCs w:val="22"/>
          <w:u w:val="single"/>
        </w:rPr>
        <w:t>Reserves for Capital Replacements</w:t>
      </w:r>
      <w:r w:rsidRPr="000B0C0A">
        <w:rPr>
          <w:rFonts w:eastAsiaTheme="majorEastAsia" w:cs="Arial"/>
          <w:color w:val="1E4959"/>
          <w:sz w:val="24"/>
          <w:szCs w:val="22"/>
        </w:rPr>
        <w:t>:</w:t>
      </w:r>
      <w:r w:rsidRPr="00B3013C">
        <w:t xml:space="preserve"> </w:t>
      </w:r>
      <w:r w:rsidR="0025432C" w:rsidRPr="00B3013C">
        <w:t>This expense is typically not an annual cash outflow, but rather a set-aside for major expenses anticipated in the future for replacement of short</w:t>
      </w:r>
      <w:r w:rsidR="0025432C">
        <w:t>-</w:t>
      </w:r>
      <w:r w:rsidR="0025432C" w:rsidRPr="00B3013C">
        <w:t xml:space="preserve">lived items. Park infrastructure is constantly in need of upkeep/investment. The annual expense for reserves for replacement is estimated by determining the replacement cost for the individual items and assuming a realistic economic life. </w:t>
      </w:r>
      <w:r w:rsidR="0025432C">
        <w:t xml:space="preserve"> </w:t>
      </w:r>
      <w:r w:rsidR="0025432C" w:rsidRPr="00B3013C">
        <w:t xml:space="preserve">The annual replacement expense is a contribution to the reserve account based on a four-percent sinking fund factor. While expenses for reserves will not be incurred for a number of years, and not every year, it is important that these short-lived components be kept in good condition in order to attract a good tenant base. Reserves for replacement will typically range from below </w:t>
      </w:r>
      <w:r w:rsidR="00157A57">
        <w:t>2.0%</w:t>
      </w:r>
      <w:r w:rsidR="0025432C" w:rsidRPr="00B3013C">
        <w:t xml:space="preserve"> to over </w:t>
      </w:r>
      <w:r w:rsidR="00157A57">
        <w:t>3.0% or 4.0%</w:t>
      </w:r>
      <w:r w:rsidR="0025432C">
        <w:t xml:space="preserve"> </w:t>
      </w:r>
      <w:r w:rsidR="0025432C" w:rsidRPr="00B3013C">
        <w:t xml:space="preserve">percent of the effective gross income. </w:t>
      </w:r>
      <w:r w:rsidR="00F62920">
        <w:t xml:space="preserve">Considering the </w:t>
      </w:r>
      <w:r w:rsidR="00F62920" w:rsidRPr="00F62920">
        <w:rPr>
          <w:highlight w:val="yellow"/>
        </w:rPr>
        <w:t>subject's age, quality, condition, and features with one elevator and 57.8% of the units heated</w:t>
      </w:r>
      <w:r w:rsidR="00F62920">
        <w:t xml:space="preserve">, an allocation of </w:t>
      </w:r>
      <w:r w:rsidR="00F62920" w:rsidRPr="00F62920">
        <w:rPr>
          <w:b/>
          <w:highlight w:val="yellow"/>
        </w:rPr>
        <w:t>2.5% of EGI</w:t>
      </w:r>
      <w:r w:rsidR="00F62920" w:rsidRPr="00F62920">
        <w:rPr>
          <w:highlight w:val="yellow"/>
        </w:rPr>
        <w:t xml:space="preserve"> is</w:t>
      </w:r>
      <w:r w:rsidR="00F62920">
        <w:t xml:space="preserve"> considered reasonable for reserves for replacement items for the subject.</w:t>
      </w:r>
    </w:p>
    <w:p w14:paraId="76EE5F68" w14:textId="77777777" w:rsidR="0025432C" w:rsidRPr="009B6E44" w:rsidRDefault="0025432C" w:rsidP="0025432C">
      <w:pPr>
        <w:keepNext/>
        <w:numPr>
          <w:ilvl w:val="1"/>
          <w:numId w:val="0"/>
        </w:numPr>
        <w:spacing w:before="200" w:line="233" w:lineRule="auto"/>
        <w:outlineLvl w:val="2"/>
        <w:rPr>
          <w:rFonts w:eastAsiaTheme="majorEastAsia" w:cs="Arial"/>
          <w:bCs/>
          <w:color w:val="1E4959"/>
          <w:sz w:val="24"/>
          <w:szCs w:val="22"/>
          <w:u w:val="single"/>
        </w:rPr>
      </w:pPr>
      <w:r w:rsidRPr="009B6E44">
        <w:rPr>
          <w:rFonts w:eastAsiaTheme="majorEastAsia" w:cs="Arial"/>
          <w:color w:val="1E4959"/>
          <w:sz w:val="24"/>
          <w:szCs w:val="22"/>
          <w:u w:val="single"/>
        </w:rPr>
        <w:t>Total Operating Expenses</w:t>
      </w:r>
    </w:p>
    <w:p w14:paraId="31CF1025" w14:textId="07C346AA" w:rsidR="0025432C" w:rsidRDefault="0025432C" w:rsidP="0025432C">
      <w:pPr>
        <w:rPr>
          <w:rFonts w:eastAsiaTheme="majorEastAsia" w:cs="Arial"/>
          <w:color w:val="1E4959"/>
          <w:sz w:val="24"/>
          <w:szCs w:val="22"/>
          <w:u w:val="single"/>
        </w:rPr>
      </w:pPr>
      <w:r w:rsidRPr="00082DA4">
        <w:t xml:space="preserve">Based on the preceding, total stabilized operating expenses for the subject property equate to </w:t>
      </w:r>
      <w:r w:rsidRPr="00DD49B1">
        <w:rPr>
          <w:b/>
          <w:highlight w:val="yellow"/>
        </w:rPr>
        <w:t>$</w:t>
      </w:r>
      <w:r w:rsidR="00DD49B1" w:rsidRPr="00DD49B1">
        <w:rPr>
          <w:b/>
          <w:highlight w:val="yellow"/>
        </w:rPr>
        <w:t>_________</w:t>
      </w:r>
      <w:r w:rsidRPr="00DD49B1">
        <w:rPr>
          <w:b/>
          <w:highlight w:val="yellow"/>
        </w:rPr>
        <w:t xml:space="preserve"> </w:t>
      </w:r>
      <w:r w:rsidRPr="00DD49B1">
        <w:rPr>
          <w:highlight w:val="yellow"/>
        </w:rPr>
        <w:t>($</w:t>
      </w:r>
      <w:r w:rsidR="00DD49B1" w:rsidRPr="00DD49B1">
        <w:rPr>
          <w:highlight w:val="yellow"/>
        </w:rPr>
        <w:t>______</w:t>
      </w:r>
      <w:r w:rsidRPr="00DD49B1">
        <w:rPr>
          <w:highlight w:val="yellow"/>
        </w:rPr>
        <w:t xml:space="preserve"> per </w:t>
      </w:r>
      <w:r w:rsidR="00F62920" w:rsidRPr="00F83EB0">
        <w:rPr>
          <w:rFonts w:cs="Segoe UI"/>
          <w:highlight w:val="yellow"/>
        </w:rPr>
        <w:t xml:space="preserve">SF </w:t>
      </w:r>
      <w:r w:rsidR="00137C1E">
        <w:rPr>
          <w:rFonts w:cs="Segoe UI"/>
          <w:highlight w:val="yellow"/>
        </w:rPr>
        <w:t>NRA</w:t>
      </w:r>
      <w:r w:rsidRPr="00DD49B1">
        <w:rPr>
          <w:highlight w:val="yellow"/>
        </w:rPr>
        <w:t xml:space="preserve">; </w:t>
      </w:r>
      <w:r w:rsidR="00DD49B1" w:rsidRPr="00DD49B1">
        <w:rPr>
          <w:highlight w:val="yellow"/>
        </w:rPr>
        <w:t>___.__</w:t>
      </w:r>
      <w:r w:rsidRPr="00DD49B1">
        <w:rPr>
          <w:highlight w:val="yellow"/>
        </w:rPr>
        <w:t>% of EGI)</w:t>
      </w:r>
      <w:r w:rsidRPr="00DD49B1">
        <w:rPr>
          <w:i/>
          <w:highlight w:val="yellow"/>
        </w:rPr>
        <w:t>.</w:t>
      </w:r>
      <w:r w:rsidRPr="00B3013C">
        <w:t xml:space="preserve"> The estimated stabilized operating expenses are considered reasonably supported in this analysis.</w:t>
      </w:r>
    </w:p>
    <w:p w14:paraId="6FAB1C8D" w14:textId="77777777" w:rsidR="0025432C" w:rsidRPr="009B6E44" w:rsidRDefault="0025432C" w:rsidP="0025432C">
      <w:pPr>
        <w:pStyle w:val="Heading20"/>
        <w:rPr>
          <w:rFonts w:asciiTheme="minorHAnsi" w:hAnsiTheme="minorHAnsi" w:cs="Arial"/>
          <w:b w:val="0"/>
          <w:color w:val="1E4959"/>
          <w:spacing w:val="0"/>
          <w:kern w:val="20"/>
          <w:sz w:val="28"/>
          <w:szCs w:val="22"/>
        </w:rPr>
      </w:pPr>
      <w:r w:rsidRPr="009B6E44">
        <w:rPr>
          <w:rFonts w:asciiTheme="minorHAnsi" w:hAnsiTheme="minorHAnsi" w:cs="Arial"/>
          <w:b w:val="0"/>
          <w:color w:val="1E4959"/>
          <w:spacing w:val="0"/>
          <w:kern w:val="20"/>
          <w:sz w:val="28"/>
          <w:szCs w:val="22"/>
        </w:rPr>
        <w:t>Net Operating Income</w:t>
      </w:r>
    </w:p>
    <w:p w14:paraId="09D9F137" w14:textId="1D2C9ACB" w:rsidR="00F62920" w:rsidRPr="007C23B6" w:rsidRDefault="00F62920" w:rsidP="00F62920">
      <w:pPr>
        <w:rPr>
          <w:rFonts w:cs="Segoe UI"/>
        </w:rPr>
      </w:pPr>
      <w:r w:rsidRPr="00036327">
        <w:rPr>
          <w:rFonts w:cs="Segoe UI"/>
        </w:rPr>
        <w:t xml:space="preserve">Based on the preceding, </w:t>
      </w:r>
      <w:r w:rsidRPr="00036327">
        <w:rPr>
          <w:rFonts w:cs="Segoe UI"/>
          <w:b/>
        </w:rPr>
        <w:t>total stabilized operating expenses</w:t>
      </w:r>
      <w:r w:rsidRPr="00036327">
        <w:rPr>
          <w:rFonts w:cs="Segoe UI"/>
        </w:rPr>
        <w:t xml:space="preserve"> for the subject property of </w:t>
      </w:r>
      <w:r w:rsidRPr="00F83EB0">
        <w:rPr>
          <w:rFonts w:cs="Segoe UI"/>
          <w:b/>
          <w:highlight w:val="yellow"/>
        </w:rPr>
        <w:t xml:space="preserve">$__________ </w:t>
      </w:r>
      <w:r w:rsidRPr="00F83EB0">
        <w:rPr>
          <w:rFonts w:cs="Segoe UI"/>
          <w:highlight w:val="yellow"/>
        </w:rPr>
        <w:t xml:space="preserve">($______ per SF </w:t>
      </w:r>
      <w:r w:rsidR="00137C1E">
        <w:rPr>
          <w:rFonts w:cs="Segoe UI"/>
          <w:highlight w:val="yellow"/>
        </w:rPr>
        <w:t>NRA</w:t>
      </w:r>
      <w:r w:rsidRPr="00F83EB0">
        <w:rPr>
          <w:rFonts w:cs="Segoe UI"/>
          <w:highlight w:val="yellow"/>
        </w:rPr>
        <w:t>; ____.__% of EGI)</w:t>
      </w:r>
      <w:r w:rsidRPr="00036327">
        <w:rPr>
          <w:rFonts w:cs="Segoe UI"/>
        </w:rPr>
        <w:t xml:space="preserve"> were considered reasonably supported in this analysis. </w:t>
      </w:r>
    </w:p>
    <w:p w14:paraId="332C917B" w14:textId="77777777" w:rsidR="004F6CAE" w:rsidRPr="000754FA" w:rsidRDefault="004F6CAE" w:rsidP="004F6CAE">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Overall Capitalization Rate</w:t>
      </w:r>
    </w:p>
    <w:p w14:paraId="4FD5E317" w14:textId="77777777" w:rsidR="004F6CAE" w:rsidRPr="000754FA" w:rsidRDefault="004F6CAE" w:rsidP="004F6CAE">
      <w:pPr>
        <w:keepNext/>
        <w:numPr>
          <w:ilvl w:val="1"/>
          <w:numId w:val="0"/>
        </w:numPr>
        <w:spacing w:before="60" w:line="233" w:lineRule="auto"/>
        <w:outlineLvl w:val="2"/>
        <w:rPr>
          <w:rFonts w:eastAsiaTheme="majorEastAsia" w:cs="Arial"/>
          <w:bCs/>
          <w:color w:val="1E4959"/>
          <w:sz w:val="24"/>
          <w:szCs w:val="22"/>
          <w:u w:val="single"/>
        </w:rPr>
      </w:pPr>
      <w:r w:rsidRPr="000754FA">
        <w:rPr>
          <w:rFonts w:eastAsiaTheme="majorEastAsia" w:cs="Arial"/>
          <w:color w:val="1E4959"/>
          <w:sz w:val="24"/>
          <w:szCs w:val="22"/>
          <w:u w:val="single"/>
        </w:rPr>
        <w:t>Direct Comparison Analysis</w:t>
      </w:r>
    </w:p>
    <w:p w14:paraId="5B75C72A" w14:textId="77777777" w:rsidR="004F6CAE" w:rsidRDefault="004F6CAE" w:rsidP="004F6CAE">
      <w:pPr>
        <w:rPr>
          <w:rFonts w:cs="Arial"/>
          <w:szCs w:val="22"/>
        </w:rPr>
      </w:pPr>
      <w:r w:rsidRPr="000754FA">
        <w:rPr>
          <w:rFonts w:cs="Arial"/>
          <w:szCs w:val="22"/>
        </w:rPr>
        <w:t xml:space="preserve">The final step of the Income Capitalization Approach is to capitalize the estimated net operating income by an appropriate rate. The capitalization rate is estimated using the market sales method. The overall capitalization rate of each sale is market derived by dividing its net operating income by its cash equivalent </w:t>
      </w:r>
      <w:r w:rsidRPr="000754FA">
        <w:rPr>
          <w:rFonts w:cs="Arial"/>
          <w:szCs w:val="22"/>
        </w:rPr>
        <w:lastRenderedPageBreak/>
        <w:t xml:space="preserve">sale price. This technique illustrates what purchasers are willing to pay for the net operating income available from competitive investment properties. This method best approximates the decision-making processes of the typical investor. </w:t>
      </w:r>
    </w:p>
    <w:p w14:paraId="50667FFB" w14:textId="77777777" w:rsidR="004F6CAE" w:rsidRPr="000754FA" w:rsidRDefault="004F6CAE" w:rsidP="004F6CAE">
      <w:pPr>
        <w:rPr>
          <w:rFonts w:cs="Arial"/>
          <w:szCs w:val="22"/>
        </w:rPr>
      </w:pPr>
    </w:p>
    <w:p w14:paraId="109FD990" w14:textId="77777777" w:rsidR="004F6CAE" w:rsidRDefault="004F6CAE" w:rsidP="004F6CAE">
      <w:pPr>
        <w:rPr>
          <w:rFonts w:cs="Arial"/>
          <w:szCs w:val="22"/>
        </w:rPr>
      </w:pPr>
      <w:r w:rsidRPr="000754FA">
        <w:rPr>
          <w:rFonts w:cs="Arial"/>
          <w:szCs w:val="22"/>
        </w:rPr>
        <w:t xml:space="preserve">The primary factors influencing capitalization rates are:  1) The quality and certainty of the net operating income stream; 2) risk factors; 3) physical and locational characteristics of the property; 4) the competitive market position of the property and 5) the potential for future appreciation. </w:t>
      </w:r>
      <w:r w:rsidRPr="00E955E2">
        <w:rPr>
          <w:rFonts w:cs="Arial"/>
          <w:szCs w:val="22"/>
        </w:rPr>
        <w:t>The following chart summarizes the data used to estimate the market capitalization rate applicable to the subject property.</w:t>
      </w:r>
    </w:p>
    <w:p w14:paraId="5F6A1B4A" w14:textId="77777777" w:rsidR="004F6CAE" w:rsidRDefault="004F6CAE" w:rsidP="004F6CAE">
      <w:pPr>
        <w:rPr>
          <w:rFonts w:cs="Arial"/>
          <w:szCs w:val="22"/>
        </w:rPr>
      </w:pPr>
    </w:p>
    <w:p w14:paraId="04A5C5A5" w14:textId="77777777" w:rsidR="004F6CAE" w:rsidRDefault="004F6CAE" w:rsidP="004F6CAE">
      <w:pPr>
        <w:rPr>
          <w:rFonts w:cs="Arial"/>
          <w:szCs w:val="22"/>
        </w:rPr>
      </w:pPr>
      <w:r w:rsidRPr="00E26156">
        <w:rPr>
          <w:rFonts w:cs="Arial"/>
          <w:szCs w:val="22"/>
          <w:highlight w:val="green"/>
        </w:rPr>
        <w:t>Merge cap rate comparables from CARDS and insert into here (example below)</w:t>
      </w:r>
    </w:p>
    <w:p w14:paraId="2447F682" w14:textId="12B4E71A" w:rsidR="000B0C0A" w:rsidRDefault="000B0C0A" w:rsidP="004F6CAE">
      <w:pPr>
        <w:rPr>
          <w:rFonts w:cs="Arial"/>
          <w:szCs w:val="22"/>
        </w:rPr>
      </w:pPr>
    </w:p>
    <w:tbl>
      <w:tblPr>
        <w:tblW w:w="0" w:type="auto"/>
        <w:tblLayout w:type="fixed"/>
        <w:tblLook w:val="01E0" w:firstRow="1" w:lastRow="1" w:firstColumn="1" w:lastColumn="1" w:noHBand="0" w:noVBand="0"/>
      </w:tblPr>
      <w:tblGrid>
        <w:gridCol w:w="817"/>
        <w:gridCol w:w="2513"/>
        <w:gridCol w:w="900"/>
        <w:gridCol w:w="1440"/>
        <w:gridCol w:w="1260"/>
        <w:gridCol w:w="1506"/>
        <w:gridCol w:w="924"/>
      </w:tblGrid>
      <w:tr w:rsidR="00F62920" w:rsidRPr="00EE6F4E" w14:paraId="57077578" w14:textId="77777777" w:rsidTr="00800172">
        <w:tc>
          <w:tcPr>
            <w:tcW w:w="817" w:type="dxa"/>
            <w:tcBorders>
              <w:bottom w:val="single" w:sz="24" w:space="0" w:color="3FB44F"/>
            </w:tcBorders>
            <w:shd w:val="clear" w:color="auto" w:fill="1E4959"/>
            <w:vAlign w:val="bottom"/>
          </w:tcPr>
          <w:p w14:paraId="176FF27A" w14:textId="77777777" w:rsidR="00F62920" w:rsidRPr="00674D31" w:rsidRDefault="00F62920" w:rsidP="00800172">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Comp.</w:t>
            </w:r>
            <w:r w:rsidRPr="00674D31">
              <w:rPr>
                <w:rFonts w:ascii="Calibri" w:hAnsi="Calibri" w:cs="Arial"/>
                <w:b/>
                <w:smallCaps/>
                <w:color w:val="FFFFFF"/>
                <w:spacing w:val="20"/>
                <w:sz w:val="20"/>
              </w:rPr>
              <w:br/>
              <w:t>No.</w:t>
            </w:r>
          </w:p>
        </w:tc>
        <w:tc>
          <w:tcPr>
            <w:tcW w:w="2513" w:type="dxa"/>
            <w:tcBorders>
              <w:bottom w:val="single" w:sz="24" w:space="0" w:color="3FB44F"/>
            </w:tcBorders>
            <w:shd w:val="clear" w:color="auto" w:fill="1E4959"/>
            <w:vAlign w:val="bottom"/>
          </w:tcPr>
          <w:p w14:paraId="3CB5E26D" w14:textId="77777777" w:rsidR="00F62920" w:rsidRPr="00674D31" w:rsidRDefault="00F62920" w:rsidP="00800172">
            <w:pPr>
              <w:pStyle w:val="StylePlainTextArial"/>
              <w:jc w:val="left"/>
              <w:rPr>
                <w:rFonts w:ascii="Calibri" w:hAnsi="Calibri" w:cs="Arial"/>
                <w:b/>
                <w:smallCaps/>
                <w:color w:val="FFFFFF"/>
                <w:spacing w:val="20"/>
                <w:sz w:val="20"/>
              </w:rPr>
            </w:pPr>
            <w:r w:rsidRPr="00674D31">
              <w:rPr>
                <w:rFonts w:ascii="Calibri" w:hAnsi="Calibri" w:cs="Arial"/>
                <w:b/>
                <w:smallCaps/>
                <w:color w:val="FFFFFF"/>
                <w:spacing w:val="20"/>
                <w:sz w:val="20"/>
              </w:rPr>
              <w:t>Property Name</w:t>
            </w:r>
            <w:r w:rsidRPr="00674D31">
              <w:rPr>
                <w:rFonts w:ascii="Calibri" w:hAnsi="Calibri" w:cs="Arial"/>
                <w:b/>
                <w:smallCaps/>
                <w:color w:val="FFFFFF"/>
                <w:spacing w:val="20"/>
                <w:sz w:val="20"/>
              </w:rPr>
              <w:br/>
              <w:t>Address</w:t>
            </w:r>
            <w:r w:rsidRPr="00674D31">
              <w:rPr>
                <w:rFonts w:ascii="Calibri" w:hAnsi="Calibri" w:cs="Arial"/>
                <w:b/>
                <w:smallCaps/>
                <w:color w:val="FFFFFF"/>
                <w:spacing w:val="20"/>
                <w:sz w:val="20"/>
              </w:rPr>
              <w:br/>
              <w:t>Location</w:t>
            </w:r>
          </w:p>
        </w:tc>
        <w:tc>
          <w:tcPr>
            <w:tcW w:w="900" w:type="dxa"/>
            <w:tcBorders>
              <w:bottom w:val="single" w:sz="24" w:space="0" w:color="3FB44F"/>
            </w:tcBorders>
            <w:shd w:val="clear" w:color="auto" w:fill="1E4959"/>
            <w:vAlign w:val="bottom"/>
          </w:tcPr>
          <w:p w14:paraId="28BC3A9A" w14:textId="77777777" w:rsidR="00F62920" w:rsidRPr="00674D31" w:rsidRDefault="00F62920" w:rsidP="00800172">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Sale</w:t>
            </w:r>
            <w:r w:rsidRPr="00674D31">
              <w:rPr>
                <w:rFonts w:ascii="Calibri" w:hAnsi="Calibri" w:cs="Arial"/>
                <w:b/>
                <w:smallCaps/>
                <w:color w:val="FFFFFF"/>
                <w:spacing w:val="20"/>
                <w:sz w:val="20"/>
              </w:rPr>
              <w:br/>
              <w:t>Date</w:t>
            </w:r>
          </w:p>
        </w:tc>
        <w:tc>
          <w:tcPr>
            <w:tcW w:w="1440" w:type="dxa"/>
            <w:tcBorders>
              <w:bottom w:val="single" w:sz="24" w:space="0" w:color="3FB44F"/>
            </w:tcBorders>
            <w:shd w:val="clear" w:color="auto" w:fill="1E4959"/>
            <w:vAlign w:val="bottom"/>
          </w:tcPr>
          <w:p w14:paraId="5820F8F7" w14:textId="77777777" w:rsidR="00F62920" w:rsidRPr="00674D31" w:rsidRDefault="00F62920" w:rsidP="00800172">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Year</w:t>
            </w:r>
            <w:r w:rsidRPr="00674D31">
              <w:rPr>
                <w:rFonts w:ascii="Calibri" w:hAnsi="Calibri" w:cs="Arial"/>
                <w:b/>
                <w:smallCaps/>
                <w:color w:val="FFFFFF"/>
                <w:spacing w:val="20"/>
                <w:sz w:val="20"/>
              </w:rPr>
              <w:br/>
              <w:t>Built</w:t>
            </w:r>
            <w:r w:rsidRPr="00674D31">
              <w:rPr>
                <w:rFonts w:ascii="Calibri" w:hAnsi="Calibri" w:cs="Arial"/>
                <w:b/>
                <w:smallCaps/>
                <w:color w:val="FFFFFF"/>
                <w:spacing w:val="20"/>
                <w:sz w:val="20"/>
              </w:rPr>
              <w:br/>
              <w:t>(Renovated)</w:t>
            </w:r>
          </w:p>
        </w:tc>
        <w:tc>
          <w:tcPr>
            <w:tcW w:w="1260" w:type="dxa"/>
            <w:tcBorders>
              <w:bottom w:val="single" w:sz="24" w:space="0" w:color="3FB44F"/>
            </w:tcBorders>
            <w:shd w:val="clear" w:color="auto" w:fill="1E4959"/>
            <w:vAlign w:val="bottom"/>
          </w:tcPr>
          <w:p w14:paraId="03FBFF77" w14:textId="77777777" w:rsidR="00F62920" w:rsidRDefault="00F62920" w:rsidP="00800172">
            <w:pPr>
              <w:pStyle w:val="StylePlainTextArial"/>
              <w:jc w:val="center"/>
              <w:rPr>
                <w:rFonts w:ascii="Calibri" w:hAnsi="Calibri" w:cs="Arial"/>
                <w:b/>
                <w:smallCaps/>
                <w:color w:val="FFFFFF"/>
                <w:spacing w:val="20"/>
                <w:sz w:val="20"/>
              </w:rPr>
            </w:pPr>
            <w:r>
              <w:rPr>
                <w:rFonts w:ascii="Calibri" w:hAnsi="Calibri" w:cs="Arial"/>
                <w:b/>
                <w:smallCaps/>
                <w:color w:val="FFFFFF"/>
                <w:spacing w:val="20"/>
                <w:sz w:val="20"/>
              </w:rPr>
              <w:t>Rentable</w:t>
            </w:r>
            <w:r w:rsidRPr="00674D31">
              <w:rPr>
                <w:rFonts w:ascii="Calibri" w:hAnsi="Calibri" w:cs="Arial"/>
                <w:b/>
                <w:smallCaps/>
                <w:color w:val="FFFFFF"/>
                <w:spacing w:val="20"/>
                <w:sz w:val="20"/>
              </w:rPr>
              <w:br/>
              <w:t>Area</w:t>
            </w:r>
          </w:p>
          <w:p w14:paraId="758422A3" w14:textId="77777777" w:rsidR="00F62920" w:rsidRPr="00674D31" w:rsidRDefault="00F62920" w:rsidP="00800172">
            <w:pPr>
              <w:pStyle w:val="StylePlainTextArial"/>
              <w:jc w:val="center"/>
              <w:rPr>
                <w:rFonts w:ascii="Calibri" w:hAnsi="Calibri" w:cs="Arial"/>
                <w:b/>
                <w:smallCaps/>
                <w:color w:val="FFFFFF"/>
                <w:spacing w:val="20"/>
                <w:sz w:val="20"/>
              </w:rPr>
            </w:pPr>
            <w:r>
              <w:rPr>
                <w:rFonts w:ascii="Calibri" w:hAnsi="Calibri" w:cs="Arial"/>
                <w:b/>
                <w:smallCaps/>
                <w:color w:val="FFFFFF"/>
                <w:spacing w:val="20"/>
                <w:sz w:val="20"/>
              </w:rPr>
              <w:t>(SF)</w:t>
            </w:r>
          </w:p>
        </w:tc>
        <w:tc>
          <w:tcPr>
            <w:tcW w:w="1506" w:type="dxa"/>
            <w:tcBorders>
              <w:bottom w:val="single" w:sz="24" w:space="0" w:color="3FB44F"/>
            </w:tcBorders>
            <w:shd w:val="clear" w:color="auto" w:fill="1E4959"/>
            <w:vAlign w:val="bottom"/>
          </w:tcPr>
          <w:p w14:paraId="6931C012" w14:textId="77777777" w:rsidR="00F62920" w:rsidRPr="00674D31" w:rsidRDefault="00F62920" w:rsidP="00800172">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Cash</w:t>
            </w:r>
            <w:r w:rsidRPr="00674D31">
              <w:rPr>
                <w:rFonts w:ascii="Calibri" w:hAnsi="Calibri" w:cs="Arial"/>
                <w:b/>
                <w:smallCaps/>
                <w:color w:val="FFFFFF"/>
                <w:spacing w:val="20"/>
                <w:sz w:val="20"/>
              </w:rPr>
              <w:br/>
              <w:t>Equivalent</w:t>
            </w:r>
            <w:r w:rsidRPr="00674D31">
              <w:rPr>
                <w:rFonts w:ascii="Calibri" w:hAnsi="Calibri" w:cs="Arial"/>
                <w:b/>
                <w:smallCaps/>
                <w:color w:val="FFFFFF"/>
                <w:spacing w:val="20"/>
                <w:sz w:val="20"/>
              </w:rPr>
              <w:br/>
              <w:t>Sales Price</w:t>
            </w:r>
          </w:p>
        </w:tc>
        <w:tc>
          <w:tcPr>
            <w:tcW w:w="924" w:type="dxa"/>
            <w:tcBorders>
              <w:bottom w:val="single" w:sz="24" w:space="0" w:color="3FB44F"/>
            </w:tcBorders>
            <w:shd w:val="clear" w:color="auto" w:fill="1E4959"/>
            <w:vAlign w:val="bottom"/>
          </w:tcPr>
          <w:p w14:paraId="34A2724B" w14:textId="77777777" w:rsidR="00F62920" w:rsidRPr="00674D31" w:rsidRDefault="00F62920" w:rsidP="00800172">
            <w:pPr>
              <w:pStyle w:val="StylePlainTextArial"/>
              <w:jc w:val="center"/>
              <w:rPr>
                <w:rFonts w:ascii="Calibri" w:hAnsi="Calibri" w:cs="Arial"/>
                <w:b/>
                <w:smallCaps/>
                <w:color w:val="FFFFFF"/>
                <w:spacing w:val="20"/>
                <w:sz w:val="20"/>
              </w:rPr>
            </w:pPr>
            <w:r w:rsidRPr="00674D31">
              <w:rPr>
                <w:rFonts w:ascii="Calibri" w:hAnsi="Calibri" w:cs="Arial"/>
                <w:b/>
                <w:smallCaps/>
                <w:color w:val="FFFFFF"/>
                <w:spacing w:val="20"/>
                <w:sz w:val="20"/>
              </w:rPr>
              <w:t>Cap</w:t>
            </w:r>
            <w:r w:rsidRPr="00674D31">
              <w:rPr>
                <w:rFonts w:ascii="Calibri" w:hAnsi="Calibri" w:cs="Arial"/>
                <w:b/>
                <w:smallCaps/>
                <w:color w:val="FFFFFF"/>
                <w:spacing w:val="20"/>
                <w:sz w:val="20"/>
              </w:rPr>
              <w:br/>
              <w:t>Rate</w:t>
            </w:r>
          </w:p>
        </w:tc>
      </w:tr>
      <w:tr w:rsidR="00F62920" w:rsidRPr="00F62920" w14:paraId="375DAA5C" w14:textId="77777777" w:rsidTr="00800172">
        <w:tc>
          <w:tcPr>
            <w:tcW w:w="817" w:type="dxa"/>
            <w:tcBorders>
              <w:top w:val="single" w:sz="24" w:space="0" w:color="3FB44F"/>
              <w:bottom w:val="single" w:sz="6" w:space="0" w:color="auto"/>
              <w:right w:val="single" w:sz="2" w:space="0" w:color="auto"/>
            </w:tcBorders>
            <w:shd w:val="clear" w:color="auto" w:fill="auto"/>
          </w:tcPr>
          <w:p w14:paraId="54326EB5" w14:textId="77777777" w:rsidR="00F62920" w:rsidRPr="00F62920" w:rsidRDefault="00F62920" w:rsidP="00800172">
            <w:pPr>
              <w:pStyle w:val="StylePlainTextArial"/>
              <w:spacing w:before="120" w:line="240" w:lineRule="exact"/>
              <w:jc w:val="center"/>
              <w:rPr>
                <w:rFonts w:ascii="Calibri" w:hAnsi="Calibri" w:cs="Arial"/>
                <w:sz w:val="20"/>
                <w:highlight w:val="yellow"/>
              </w:rPr>
            </w:pPr>
            <w:r w:rsidRPr="00F62920">
              <w:rPr>
                <w:rFonts w:ascii="Calibri" w:hAnsi="Calibri" w:cs="Arial"/>
                <w:sz w:val="20"/>
                <w:highlight w:val="yellow"/>
              </w:rPr>
              <w:t>1</w:t>
            </w:r>
          </w:p>
        </w:tc>
        <w:tc>
          <w:tcPr>
            <w:tcW w:w="2513" w:type="dxa"/>
            <w:tcBorders>
              <w:left w:val="single" w:sz="2" w:space="0" w:color="auto"/>
              <w:bottom w:val="single" w:sz="4" w:space="0" w:color="auto"/>
              <w:right w:val="single" w:sz="2" w:space="0" w:color="auto"/>
            </w:tcBorders>
            <w:shd w:val="clear" w:color="auto" w:fill="auto"/>
          </w:tcPr>
          <w:p w14:paraId="2DCE0819" w14:textId="77777777" w:rsidR="00F62920" w:rsidRPr="00F62920" w:rsidRDefault="00F62920" w:rsidP="00800172">
            <w:pPr>
              <w:pStyle w:val="StylePlainTextArial"/>
              <w:spacing w:before="120" w:line="240" w:lineRule="exact"/>
              <w:jc w:val="left"/>
              <w:rPr>
                <w:rFonts w:ascii="Calibri" w:hAnsi="Calibri" w:cs="Arial"/>
                <w:sz w:val="20"/>
                <w:highlight w:val="yellow"/>
              </w:rPr>
            </w:pPr>
            <w:r w:rsidRPr="00F62920">
              <w:rPr>
                <w:rFonts w:ascii="Calibri" w:hAnsi="Calibri" w:cs="Arial"/>
                <w:sz w:val="20"/>
                <w:highlight w:val="yellow"/>
              </w:rPr>
              <w:t>A-1 U-Store-It</w:t>
            </w:r>
            <w:r w:rsidRPr="00F62920">
              <w:rPr>
                <w:rFonts w:ascii="Calibri" w:hAnsi="Calibri" w:cs="Arial"/>
                <w:sz w:val="20"/>
                <w:highlight w:val="yellow"/>
              </w:rPr>
              <w:br/>
              <w:t>2900 Kauffman Avenue</w:t>
            </w:r>
            <w:r w:rsidRPr="00F62920">
              <w:rPr>
                <w:rFonts w:ascii="Calibri" w:hAnsi="Calibri" w:cs="Arial"/>
                <w:sz w:val="20"/>
                <w:highlight w:val="yellow"/>
              </w:rPr>
              <w:br/>
              <w:t>Vancouver, WA</w:t>
            </w:r>
          </w:p>
        </w:tc>
        <w:tc>
          <w:tcPr>
            <w:tcW w:w="900" w:type="dxa"/>
            <w:tcBorders>
              <w:left w:val="single" w:sz="2" w:space="0" w:color="auto"/>
              <w:bottom w:val="single" w:sz="4" w:space="0" w:color="auto"/>
            </w:tcBorders>
            <w:shd w:val="clear" w:color="auto" w:fill="auto"/>
          </w:tcPr>
          <w:p w14:paraId="5419619A" w14:textId="77777777" w:rsidR="00F62920" w:rsidRPr="00F62920" w:rsidRDefault="00F62920" w:rsidP="00800172">
            <w:pPr>
              <w:pStyle w:val="StylePlainTextArial"/>
              <w:spacing w:before="120" w:line="240" w:lineRule="exact"/>
              <w:jc w:val="center"/>
              <w:rPr>
                <w:rFonts w:ascii="Calibri" w:hAnsi="Calibri" w:cs="Arial"/>
                <w:sz w:val="20"/>
                <w:highlight w:val="yellow"/>
              </w:rPr>
            </w:pPr>
            <w:r w:rsidRPr="00F62920">
              <w:rPr>
                <w:rFonts w:ascii="Calibri" w:hAnsi="Calibri" w:cs="Arial"/>
                <w:sz w:val="20"/>
                <w:highlight w:val="yellow"/>
              </w:rPr>
              <w:t>03/19</w:t>
            </w:r>
            <w:r w:rsidRPr="00F62920">
              <w:rPr>
                <w:rFonts w:ascii="Calibri" w:hAnsi="Calibri" w:cs="Arial"/>
                <w:sz w:val="20"/>
                <w:highlight w:val="yellow"/>
              </w:rPr>
              <w:br/>
              <w:t>(Pending)</w:t>
            </w:r>
          </w:p>
        </w:tc>
        <w:tc>
          <w:tcPr>
            <w:tcW w:w="1440" w:type="dxa"/>
            <w:tcBorders>
              <w:bottom w:val="single" w:sz="4" w:space="0" w:color="auto"/>
            </w:tcBorders>
            <w:shd w:val="clear" w:color="auto" w:fill="auto"/>
          </w:tcPr>
          <w:p w14:paraId="6CC22576" w14:textId="77777777" w:rsidR="00F62920" w:rsidRPr="00F62920" w:rsidRDefault="00F62920" w:rsidP="00800172">
            <w:pPr>
              <w:pStyle w:val="StylePlainTextArial"/>
              <w:spacing w:before="120" w:line="240" w:lineRule="exact"/>
              <w:jc w:val="center"/>
              <w:rPr>
                <w:rFonts w:ascii="Calibri" w:hAnsi="Calibri" w:cs="Arial"/>
                <w:sz w:val="20"/>
                <w:highlight w:val="yellow"/>
              </w:rPr>
            </w:pPr>
            <w:r w:rsidRPr="00F62920">
              <w:rPr>
                <w:rFonts w:ascii="Calibri" w:hAnsi="Calibri" w:cs="Arial"/>
                <w:sz w:val="20"/>
                <w:highlight w:val="yellow"/>
              </w:rPr>
              <w:t>1974</w:t>
            </w:r>
            <w:r w:rsidRPr="00F62920">
              <w:rPr>
                <w:rFonts w:ascii="Calibri" w:hAnsi="Calibri" w:cs="Arial"/>
                <w:sz w:val="20"/>
                <w:highlight w:val="yellow"/>
              </w:rPr>
              <w:br/>
              <w:t xml:space="preserve"> </w:t>
            </w:r>
          </w:p>
        </w:tc>
        <w:tc>
          <w:tcPr>
            <w:tcW w:w="1260" w:type="dxa"/>
            <w:tcBorders>
              <w:bottom w:val="single" w:sz="4" w:space="0" w:color="auto"/>
            </w:tcBorders>
            <w:shd w:val="clear" w:color="auto" w:fill="auto"/>
          </w:tcPr>
          <w:p w14:paraId="6F241BDF" w14:textId="77777777" w:rsidR="00F62920" w:rsidRPr="00F62920" w:rsidRDefault="00F62920" w:rsidP="00800172">
            <w:pPr>
              <w:pStyle w:val="StylePlainTextArial"/>
              <w:spacing w:before="120" w:line="240" w:lineRule="exact"/>
              <w:jc w:val="center"/>
              <w:rPr>
                <w:rFonts w:ascii="Calibri" w:hAnsi="Calibri" w:cs="Arial"/>
                <w:sz w:val="20"/>
                <w:highlight w:val="yellow"/>
              </w:rPr>
            </w:pPr>
            <w:r w:rsidRPr="00F62920">
              <w:rPr>
                <w:rFonts w:ascii="Calibri" w:hAnsi="Calibri" w:cs="Arial"/>
                <w:sz w:val="20"/>
                <w:highlight w:val="yellow"/>
              </w:rPr>
              <w:t>23,700</w:t>
            </w:r>
          </w:p>
        </w:tc>
        <w:tc>
          <w:tcPr>
            <w:tcW w:w="1506" w:type="dxa"/>
            <w:tcBorders>
              <w:bottom w:val="single" w:sz="4" w:space="0" w:color="auto"/>
              <w:right w:val="single" w:sz="2" w:space="0" w:color="auto"/>
            </w:tcBorders>
            <w:shd w:val="clear" w:color="auto" w:fill="auto"/>
          </w:tcPr>
          <w:p w14:paraId="574E2B87" w14:textId="77777777" w:rsidR="00F62920" w:rsidRPr="00F62920" w:rsidRDefault="00F62920" w:rsidP="00800172">
            <w:pPr>
              <w:pStyle w:val="StylePlainTextArial"/>
              <w:spacing w:before="120" w:line="240" w:lineRule="exact"/>
              <w:jc w:val="center"/>
              <w:rPr>
                <w:rFonts w:ascii="Calibri" w:hAnsi="Calibri" w:cs="Arial"/>
                <w:sz w:val="20"/>
                <w:highlight w:val="yellow"/>
              </w:rPr>
            </w:pPr>
            <w:r w:rsidRPr="00F62920">
              <w:rPr>
                <w:rFonts w:ascii="Calibri" w:hAnsi="Calibri" w:cs="Arial"/>
                <w:sz w:val="20"/>
                <w:highlight w:val="yellow"/>
              </w:rPr>
              <w:t>$3,000,000</w:t>
            </w:r>
          </w:p>
        </w:tc>
        <w:tc>
          <w:tcPr>
            <w:tcW w:w="924" w:type="dxa"/>
            <w:tcBorders>
              <w:left w:val="single" w:sz="2" w:space="0" w:color="auto"/>
              <w:bottom w:val="single" w:sz="4" w:space="0" w:color="auto"/>
            </w:tcBorders>
            <w:shd w:val="clear" w:color="auto" w:fill="auto"/>
          </w:tcPr>
          <w:p w14:paraId="6CE8BB13" w14:textId="77777777" w:rsidR="00F62920" w:rsidRPr="00F62920" w:rsidRDefault="00F62920" w:rsidP="00800172">
            <w:pPr>
              <w:pStyle w:val="StylePlainTextArial"/>
              <w:spacing w:before="120" w:line="240" w:lineRule="exact"/>
              <w:jc w:val="center"/>
              <w:rPr>
                <w:rFonts w:ascii="Calibri" w:hAnsi="Calibri" w:cs="Arial"/>
                <w:sz w:val="20"/>
                <w:highlight w:val="yellow"/>
              </w:rPr>
            </w:pPr>
            <w:r w:rsidRPr="00F62920">
              <w:rPr>
                <w:rFonts w:ascii="Calibri" w:hAnsi="Calibri" w:cs="Arial"/>
                <w:sz w:val="20"/>
                <w:highlight w:val="yellow"/>
              </w:rPr>
              <w:t>6.35 %</w:t>
            </w:r>
          </w:p>
        </w:tc>
      </w:tr>
      <w:tr w:rsidR="00F62920" w:rsidRPr="00F62920" w14:paraId="054E6198" w14:textId="77777777" w:rsidTr="00800172">
        <w:tc>
          <w:tcPr>
            <w:tcW w:w="817" w:type="dxa"/>
            <w:tcBorders>
              <w:top w:val="single" w:sz="6" w:space="0" w:color="auto"/>
              <w:bottom w:val="single" w:sz="4" w:space="0" w:color="auto"/>
              <w:right w:val="single" w:sz="2" w:space="0" w:color="auto"/>
            </w:tcBorders>
            <w:shd w:val="clear" w:color="auto" w:fill="auto"/>
          </w:tcPr>
          <w:p w14:paraId="1F5D58FA" w14:textId="77777777" w:rsidR="00F62920" w:rsidRPr="00F62920" w:rsidRDefault="00F62920" w:rsidP="00800172">
            <w:pPr>
              <w:pStyle w:val="StylePlainTextArial"/>
              <w:spacing w:before="120" w:line="240" w:lineRule="exact"/>
              <w:jc w:val="center"/>
              <w:rPr>
                <w:rFonts w:ascii="Calibri" w:hAnsi="Calibri" w:cs="Arial"/>
                <w:sz w:val="20"/>
                <w:highlight w:val="yellow"/>
              </w:rPr>
            </w:pPr>
            <w:r w:rsidRPr="00F62920">
              <w:rPr>
                <w:rFonts w:ascii="Calibri" w:hAnsi="Calibri" w:cs="Arial"/>
                <w:sz w:val="20"/>
                <w:highlight w:val="yellow"/>
              </w:rPr>
              <w:t>2</w:t>
            </w:r>
          </w:p>
        </w:tc>
        <w:tc>
          <w:tcPr>
            <w:tcW w:w="2513" w:type="dxa"/>
            <w:tcBorders>
              <w:left w:val="single" w:sz="2" w:space="0" w:color="auto"/>
              <w:bottom w:val="single" w:sz="4" w:space="0" w:color="auto"/>
              <w:right w:val="single" w:sz="2" w:space="0" w:color="auto"/>
            </w:tcBorders>
            <w:shd w:val="clear" w:color="auto" w:fill="auto"/>
          </w:tcPr>
          <w:p w14:paraId="5B2B2238" w14:textId="77777777" w:rsidR="00F62920" w:rsidRPr="00F62920" w:rsidRDefault="00F62920" w:rsidP="00800172">
            <w:pPr>
              <w:pStyle w:val="StylePlainTextArial"/>
              <w:spacing w:before="120" w:line="240" w:lineRule="exact"/>
              <w:jc w:val="left"/>
              <w:rPr>
                <w:rFonts w:ascii="Calibri" w:hAnsi="Calibri" w:cs="Arial"/>
                <w:sz w:val="20"/>
                <w:highlight w:val="yellow"/>
              </w:rPr>
            </w:pPr>
            <w:r w:rsidRPr="00F62920">
              <w:rPr>
                <w:rFonts w:ascii="Calibri" w:hAnsi="Calibri" w:cs="Arial"/>
                <w:sz w:val="20"/>
                <w:highlight w:val="yellow"/>
              </w:rPr>
              <w:t>Hubbard Self Storage</w:t>
            </w:r>
            <w:r w:rsidRPr="00F62920">
              <w:rPr>
                <w:rFonts w:ascii="Calibri" w:hAnsi="Calibri" w:cs="Arial"/>
                <w:sz w:val="20"/>
                <w:highlight w:val="yellow"/>
              </w:rPr>
              <w:br/>
              <w:t>3267 J Street</w:t>
            </w:r>
            <w:r w:rsidRPr="00F62920">
              <w:rPr>
                <w:rFonts w:ascii="Calibri" w:hAnsi="Calibri" w:cs="Arial"/>
                <w:sz w:val="20"/>
                <w:highlight w:val="yellow"/>
              </w:rPr>
              <w:br/>
              <w:t>Hubbard, OR</w:t>
            </w:r>
          </w:p>
        </w:tc>
        <w:tc>
          <w:tcPr>
            <w:tcW w:w="900" w:type="dxa"/>
            <w:tcBorders>
              <w:left w:val="single" w:sz="2" w:space="0" w:color="auto"/>
              <w:bottom w:val="single" w:sz="4" w:space="0" w:color="auto"/>
            </w:tcBorders>
            <w:shd w:val="clear" w:color="auto" w:fill="auto"/>
          </w:tcPr>
          <w:p w14:paraId="20CCAF6A" w14:textId="77777777" w:rsidR="00F62920" w:rsidRPr="00F62920" w:rsidRDefault="00F62920" w:rsidP="00800172">
            <w:pPr>
              <w:pStyle w:val="StylePlainTextArial"/>
              <w:spacing w:before="120" w:line="240" w:lineRule="exact"/>
              <w:jc w:val="center"/>
              <w:rPr>
                <w:rFonts w:ascii="Calibri" w:hAnsi="Calibri" w:cs="Arial"/>
                <w:sz w:val="20"/>
                <w:highlight w:val="yellow"/>
              </w:rPr>
            </w:pPr>
            <w:r w:rsidRPr="00F62920">
              <w:rPr>
                <w:rFonts w:ascii="Calibri" w:hAnsi="Calibri" w:cs="Arial"/>
                <w:sz w:val="20"/>
                <w:highlight w:val="yellow"/>
              </w:rPr>
              <w:t>02/19</w:t>
            </w:r>
            <w:r w:rsidRPr="00F62920">
              <w:rPr>
                <w:rFonts w:ascii="Calibri" w:hAnsi="Calibri" w:cs="Arial"/>
                <w:sz w:val="20"/>
                <w:highlight w:val="yellow"/>
              </w:rPr>
              <w:br/>
            </w:r>
          </w:p>
        </w:tc>
        <w:tc>
          <w:tcPr>
            <w:tcW w:w="1440" w:type="dxa"/>
            <w:tcBorders>
              <w:bottom w:val="single" w:sz="4" w:space="0" w:color="auto"/>
            </w:tcBorders>
            <w:shd w:val="clear" w:color="auto" w:fill="auto"/>
          </w:tcPr>
          <w:p w14:paraId="67722CA7" w14:textId="77777777" w:rsidR="00F62920" w:rsidRPr="00F62920" w:rsidRDefault="00F62920" w:rsidP="00800172">
            <w:pPr>
              <w:pStyle w:val="StylePlainTextArial"/>
              <w:spacing w:before="120" w:line="240" w:lineRule="exact"/>
              <w:jc w:val="center"/>
              <w:rPr>
                <w:rFonts w:ascii="Calibri" w:hAnsi="Calibri" w:cs="Arial"/>
                <w:sz w:val="20"/>
                <w:highlight w:val="yellow"/>
              </w:rPr>
            </w:pPr>
            <w:r w:rsidRPr="00F62920">
              <w:rPr>
                <w:rFonts w:ascii="Calibri" w:hAnsi="Calibri" w:cs="Arial"/>
                <w:sz w:val="20"/>
                <w:highlight w:val="yellow"/>
              </w:rPr>
              <w:t>1993</w:t>
            </w:r>
            <w:r w:rsidRPr="00F62920">
              <w:rPr>
                <w:rFonts w:ascii="Calibri" w:hAnsi="Calibri" w:cs="Arial"/>
                <w:sz w:val="20"/>
                <w:highlight w:val="yellow"/>
              </w:rPr>
              <w:br/>
              <w:t xml:space="preserve"> (2007)</w:t>
            </w:r>
          </w:p>
        </w:tc>
        <w:tc>
          <w:tcPr>
            <w:tcW w:w="1260" w:type="dxa"/>
            <w:tcBorders>
              <w:bottom w:val="single" w:sz="4" w:space="0" w:color="auto"/>
            </w:tcBorders>
            <w:shd w:val="clear" w:color="auto" w:fill="auto"/>
          </w:tcPr>
          <w:p w14:paraId="2227F6E2" w14:textId="77777777" w:rsidR="00F62920" w:rsidRPr="00F62920" w:rsidRDefault="00F62920" w:rsidP="00800172">
            <w:pPr>
              <w:pStyle w:val="StylePlainTextArial"/>
              <w:spacing w:before="120" w:line="240" w:lineRule="exact"/>
              <w:jc w:val="center"/>
              <w:rPr>
                <w:rFonts w:ascii="Calibri" w:hAnsi="Calibri" w:cs="Arial"/>
                <w:sz w:val="20"/>
                <w:highlight w:val="yellow"/>
              </w:rPr>
            </w:pPr>
            <w:r w:rsidRPr="00F62920">
              <w:rPr>
                <w:rFonts w:ascii="Calibri" w:hAnsi="Calibri" w:cs="Arial"/>
                <w:sz w:val="20"/>
                <w:highlight w:val="yellow"/>
              </w:rPr>
              <w:t>32,371</w:t>
            </w:r>
          </w:p>
        </w:tc>
        <w:tc>
          <w:tcPr>
            <w:tcW w:w="1506" w:type="dxa"/>
            <w:tcBorders>
              <w:bottom w:val="single" w:sz="4" w:space="0" w:color="auto"/>
              <w:right w:val="single" w:sz="2" w:space="0" w:color="auto"/>
            </w:tcBorders>
            <w:shd w:val="clear" w:color="auto" w:fill="auto"/>
          </w:tcPr>
          <w:p w14:paraId="72370B5F" w14:textId="77777777" w:rsidR="00F62920" w:rsidRPr="00F62920" w:rsidRDefault="00F62920" w:rsidP="00800172">
            <w:pPr>
              <w:pStyle w:val="StylePlainTextArial"/>
              <w:spacing w:before="120" w:line="240" w:lineRule="exact"/>
              <w:jc w:val="center"/>
              <w:rPr>
                <w:rFonts w:ascii="Calibri" w:hAnsi="Calibri" w:cs="Arial"/>
                <w:sz w:val="20"/>
                <w:highlight w:val="yellow"/>
              </w:rPr>
            </w:pPr>
            <w:r w:rsidRPr="00F62920">
              <w:rPr>
                <w:rFonts w:ascii="Calibri" w:hAnsi="Calibri" w:cs="Arial"/>
                <w:sz w:val="20"/>
                <w:highlight w:val="yellow"/>
              </w:rPr>
              <w:t>$2,650,000</w:t>
            </w:r>
          </w:p>
        </w:tc>
        <w:tc>
          <w:tcPr>
            <w:tcW w:w="924" w:type="dxa"/>
            <w:tcBorders>
              <w:left w:val="single" w:sz="2" w:space="0" w:color="auto"/>
              <w:bottom w:val="single" w:sz="4" w:space="0" w:color="auto"/>
            </w:tcBorders>
            <w:shd w:val="clear" w:color="auto" w:fill="auto"/>
          </w:tcPr>
          <w:p w14:paraId="44BC4275" w14:textId="77777777" w:rsidR="00F62920" w:rsidRPr="00F62920" w:rsidRDefault="00F62920" w:rsidP="00800172">
            <w:pPr>
              <w:pStyle w:val="StylePlainTextArial"/>
              <w:spacing w:before="120" w:line="240" w:lineRule="exact"/>
              <w:jc w:val="center"/>
              <w:rPr>
                <w:rFonts w:ascii="Calibri" w:hAnsi="Calibri" w:cs="Arial"/>
                <w:sz w:val="20"/>
                <w:highlight w:val="yellow"/>
              </w:rPr>
            </w:pPr>
            <w:r w:rsidRPr="00F62920">
              <w:rPr>
                <w:rFonts w:ascii="Calibri" w:hAnsi="Calibri" w:cs="Arial"/>
                <w:sz w:val="20"/>
                <w:highlight w:val="yellow"/>
              </w:rPr>
              <w:t>6.50 %</w:t>
            </w:r>
          </w:p>
        </w:tc>
      </w:tr>
      <w:tr w:rsidR="00F62920" w:rsidRPr="00F62920" w14:paraId="4E3BED9E" w14:textId="77777777" w:rsidTr="00800172">
        <w:tc>
          <w:tcPr>
            <w:tcW w:w="817" w:type="dxa"/>
            <w:tcBorders>
              <w:bottom w:val="single" w:sz="4" w:space="0" w:color="auto"/>
              <w:right w:val="single" w:sz="2" w:space="0" w:color="auto"/>
            </w:tcBorders>
            <w:shd w:val="clear" w:color="auto" w:fill="auto"/>
          </w:tcPr>
          <w:p w14:paraId="2B02A497" w14:textId="77777777" w:rsidR="00F62920" w:rsidRPr="00F62920" w:rsidRDefault="00F62920" w:rsidP="00800172">
            <w:pPr>
              <w:pStyle w:val="StylePlainTextArial"/>
              <w:spacing w:before="120" w:line="240" w:lineRule="exact"/>
              <w:jc w:val="center"/>
              <w:rPr>
                <w:rFonts w:ascii="Calibri" w:hAnsi="Calibri" w:cs="Arial"/>
                <w:sz w:val="20"/>
                <w:highlight w:val="yellow"/>
              </w:rPr>
            </w:pPr>
            <w:r w:rsidRPr="00F62920">
              <w:rPr>
                <w:rFonts w:ascii="Calibri" w:hAnsi="Calibri" w:cs="Arial"/>
                <w:sz w:val="20"/>
                <w:highlight w:val="yellow"/>
              </w:rPr>
              <w:t>3</w:t>
            </w:r>
          </w:p>
        </w:tc>
        <w:tc>
          <w:tcPr>
            <w:tcW w:w="2513" w:type="dxa"/>
            <w:tcBorders>
              <w:left w:val="single" w:sz="2" w:space="0" w:color="auto"/>
              <w:bottom w:val="single" w:sz="4" w:space="0" w:color="auto"/>
              <w:right w:val="single" w:sz="2" w:space="0" w:color="auto"/>
            </w:tcBorders>
            <w:shd w:val="clear" w:color="auto" w:fill="auto"/>
          </w:tcPr>
          <w:p w14:paraId="1F70FA51" w14:textId="77777777" w:rsidR="00F62920" w:rsidRPr="00F62920" w:rsidRDefault="00F62920" w:rsidP="00800172">
            <w:pPr>
              <w:pStyle w:val="StylePlainTextArial"/>
              <w:spacing w:before="120" w:line="240" w:lineRule="exact"/>
              <w:jc w:val="left"/>
              <w:rPr>
                <w:rFonts w:ascii="Calibri" w:hAnsi="Calibri" w:cs="Arial"/>
                <w:sz w:val="20"/>
                <w:highlight w:val="yellow"/>
              </w:rPr>
            </w:pPr>
            <w:r w:rsidRPr="00F62920">
              <w:rPr>
                <w:rFonts w:ascii="Calibri" w:hAnsi="Calibri" w:cs="Arial"/>
                <w:sz w:val="20"/>
                <w:highlight w:val="yellow"/>
              </w:rPr>
              <w:t>Safegard Mini Storage</w:t>
            </w:r>
            <w:r w:rsidRPr="00F62920">
              <w:rPr>
                <w:rFonts w:ascii="Calibri" w:hAnsi="Calibri" w:cs="Arial"/>
                <w:sz w:val="20"/>
                <w:highlight w:val="yellow"/>
              </w:rPr>
              <w:br/>
              <w:t>1314 N. Schmeer Road</w:t>
            </w:r>
            <w:r w:rsidRPr="00F62920">
              <w:rPr>
                <w:rFonts w:ascii="Calibri" w:hAnsi="Calibri" w:cs="Arial"/>
                <w:sz w:val="20"/>
                <w:highlight w:val="yellow"/>
              </w:rPr>
              <w:br/>
              <w:t>Portland, OR</w:t>
            </w:r>
          </w:p>
        </w:tc>
        <w:tc>
          <w:tcPr>
            <w:tcW w:w="900" w:type="dxa"/>
            <w:tcBorders>
              <w:left w:val="single" w:sz="2" w:space="0" w:color="auto"/>
              <w:bottom w:val="single" w:sz="4" w:space="0" w:color="auto"/>
            </w:tcBorders>
            <w:shd w:val="clear" w:color="auto" w:fill="auto"/>
          </w:tcPr>
          <w:p w14:paraId="4C3FB783" w14:textId="77777777" w:rsidR="00F62920" w:rsidRPr="00F62920" w:rsidRDefault="00F62920" w:rsidP="00800172">
            <w:pPr>
              <w:pStyle w:val="StylePlainTextArial"/>
              <w:spacing w:before="120" w:line="240" w:lineRule="exact"/>
              <w:jc w:val="center"/>
              <w:rPr>
                <w:rFonts w:ascii="Calibri" w:hAnsi="Calibri" w:cs="Arial"/>
                <w:sz w:val="20"/>
                <w:highlight w:val="yellow"/>
              </w:rPr>
            </w:pPr>
            <w:r w:rsidRPr="00F62920">
              <w:rPr>
                <w:rFonts w:ascii="Calibri" w:hAnsi="Calibri" w:cs="Arial"/>
                <w:sz w:val="20"/>
                <w:highlight w:val="yellow"/>
              </w:rPr>
              <w:t>08/18</w:t>
            </w:r>
            <w:r w:rsidRPr="00F62920">
              <w:rPr>
                <w:rFonts w:ascii="Calibri" w:hAnsi="Calibri" w:cs="Arial"/>
                <w:sz w:val="20"/>
                <w:highlight w:val="yellow"/>
              </w:rPr>
              <w:br/>
            </w:r>
          </w:p>
        </w:tc>
        <w:tc>
          <w:tcPr>
            <w:tcW w:w="1440" w:type="dxa"/>
            <w:tcBorders>
              <w:bottom w:val="single" w:sz="4" w:space="0" w:color="auto"/>
            </w:tcBorders>
            <w:shd w:val="clear" w:color="auto" w:fill="auto"/>
          </w:tcPr>
          <w:p w14:paraId="436FFE5F" w14:textId="77777777" w:rsidR="00F62920" w:rsidRPr="00F62920" w:rsidRDefault="00F62920" w:rsidP="00800172">
            <w:pPr>
              <w:pStyle w:val="StylePlainTextArial"/>
              <w:spacing w:before="120" w:line="240" w:lineRule="exact"/>
              <w:jc w:val="center"/>
              <w:rPr>
                <w:rFonts w:ascii="Calibri" w:hAnsi="Calibri" w:cs="Arial"/>
                <w:sz w:val="20"/>
                <w:highlight w:val="yellow"/>
              </w:rPr>
            </w:pPr>
            <w:r w:rsidRPr="00F62920">
              <w:rPr>
                <w:rFonts w:ascii="Calibri" w:hAnsi="Calibri" w:cs="Arial"/>
                <w:sz w:val="20"/>
                <w:highlight w:val="yellow"/>
              </w:rPr>
              <w:t>1980</w:t>
            </w:r>
            <w:r w:rsidRPr="00F62920">
              <w:rPr>
                <w:rFonts w:ascii="Calibri" w:hAnsi="Calibri" w:cs="Arial"/>
                <w:sz w:val="20"/>
                <w:highlight w:val="yellow"/>
              </w:rPr>
              <w:br/>
              <w:t xml:space="preserve"> </w:t>
            </w:r>
          </w:p>
        </w:tc>
        <w:tc>
          <w:tcPr>
            <w:tcW w:w="1260" w:type="dxa"/>
            <w:tcBorders>
              <w:bottom w:val="single" w:sz="4" w:space="0" w:color="auto"/>
            </w:tcBorders>
            <w:shd w:val="clear" w:color="auto" w:fill="auto"/>
          </w:tcPr>
          <w:p w14:paraId="3A7E5DED" w14:textId="77777777" w:rsidR="00F62920" w:rsidRPr="00F62920" w:rsidRDefault="00F62920" w:rsidP="00800172">
            <w:pPr>
              <w:pStyle w:val="StylePlainTextArial"/>
              <w:spacing w:before="120" w:line="240" w:lineRule="exact"/>
              <w:jc w:val="center"/>
              <w:rPr>
                <w:rFonts w:ascii="Calibri" w:hAnsi="Calibri" w:cs="Arial"/>
                <w:sz w:val="20"/>
                <w:highlight w:val="yellow"/>
              </w:rPr>
            </w:pPr>
            <w:r w:rsidRPr="00F62920">
              <w:rPr>
                <w:rFonts w:ascii="Calibri" w:hAnsi="Calibri" w:cs="Arial"/>
                <w:sz w:val="20"/>
                <w:highlight w:val="yellow"/>
              </w:rPr>
              <w:t>39,110</w:t>
            </w:r>
          </w:p>
        </w:tc>
        <w:tc>
          <w:tcPr>
            <w:tcW w:w="1506" w:type="dxa"/>
            <w:tcBorders>
              <w:bottom w:val="single" w:sz="4" w:space="0" w:color="auto"/>
              <w:right w:val="single" w:sz="2" w:space="0" w:color="auto"/>
            </w:tcBorders>
            <w:shd w:val="clear" w:color="auto" w:fill="auto"/>
          </w:tcPr>
          <w:p w14:paraId="1CE617A7" w14:textId="77777777" w:rsidR="00F62920" w:rsidRPr="00F62920" w:rsidRDefault="00F62920" w:rsidP="00800172">
            <w:pPr>
              <w:pStyle w:val="StylePlainTextArial"/>
              <w:spacing w:before="120" w:line="240" w:lineRule="exact"/>
              <w:jc w:val="center"/>
              <w:rPr>
                <w:rFonts w:ascii="Calibri" w:hAnsi="Calibri" w:cs="Arial"/>
                <w:sz w:val="20"/>
                <w:highlight w:val="yellow"/>
              </w:rPr>
            </w:pPr>
            <w:r w:rsidRPr="00F62920">
              <w:rPr>
                <w:rFonts w:ascii="Calibri" w:hAnsi="Calibri" w:cs="Arial"/>
                <w:sz w:val="20"/>
                <w:highlight w:val="yellow"/>
              </w:rPr>
              <w:t>$5,400,000</w:t>
            </w:r>
          </w:p>
        </w:tc>
        <w:tc>
          <w:tcPr>
            <w:tcW w:w="924" w:type="dxa"/>
            <w:tcBorders>
              <w:left w:val="single" w:sz="2" w:space="0" w:color="auto"/>
              <w:bottom w:val="single" w:sz="4" w:space="0" w:color="auto"/>
            </w:tcBorders>
            <w:shd w:val="clear" w:color="auto" w:fill="auto"/>
          </w:tcPr>
          <w:p w14:paraId="4226313E" w14:textId="77777777" w:rsidR="00F62920" w:rsidRPr="00F62920" w:rsidRDefault="00F62920" w:rsidP="00800172">
            <w:pPr>
              <w:pStyle w:val="StylePlainTextArial"/>
              <w:spacing w:before="120" w:line="240" w:lineRule="exact"/>
              <w:jc w:val="center"/>
              <w:rPr>
                <w:rFonts w:ascii="Calibri" w:hAnsi="Calibri" w:cs="Arial"/>
                <w:sz w:val="20"/>
                <w:highlight w:val="yellow"/>
              </w:rPr>
            </w:pPr>
            <w:r w:rsidRPr="00F62920">
              <w:rPr>
                <w:rFonts w:ascii="Calibri" w:hAnsi="Calibri" w:cs="Arial"/>
                <w:sz w:val="20"/>
                <w:highlight w:val="yellow"/>
              </w:rPr>
              <w:t>6.30 %</w:t>
            </w:r>
          </w:p>
        </w:tc>
      </w:tr>
      <w:tr w:rsidR="00F62920" w:rsidRPr="00F62920" w14:paraId="67FA6900" w14:textId="77777777" w:rsidTr="00800172">
        <w:tc>
          <w:tcPr>
            <w:tcW w:w="817" w:type="dxa"/>
            <w:tcBorders>
              <w:bottom w:val="single" w:sz="4" w:space="0" w:color="auto"/>
              <w:right w:val="single" w:sz="2" w:space="0" w:color="auto"/>
            </w:tcBorders>
            <w:shd w:val="clear" w:color="auto" w:fill="auto"/>
          </w:tcPr>
          <w:p w14:paraId="6C1794EC" w14:textId="77777777" w:rsidR="00F62920" w:rsidRPr="00F62920" w:rsidRDefault="00F62920" w:rsidP="00800172">
            <w:pPr>
              <w:pStyle w:val="StylePlainTextArial"/>
              <w:spacing w:before="120" w:line="240" w:lineRule="exact"/>
              <w:jc w:val="center"/>
              <w:rPr>
                <w:rFonts w:ascii="Calibri" w:hAnsi="Calibri" w:cs="Arial"/>
                <w:sz w:val="20"/>
                <w:highlight w:val="yellow"/>
              </w:rPr>
            </w:pPr>
            <w:r w:rsidRPr="00F62920">
              <w:rPr>
                <w:rFonts w:ascii="Calibri" w:hAnsi="Calibri" w:cs="Arial"/>
                <w:sz w:val="20"/>
                <w:highlight w:val="yellow"/>
              </w:rPr>
              <w:t>4</w:t>
            </w:r>
          </w:p>
        </w:tc>
        <w:tc>
          <w:tcPr>
            <w:tcW w:w="2513" w:type="dxa"/>
            <w:tcBorders>
              <w:left w:val="single" w:sz="2" w:space="0" w:color="auto"/>
              <w:bottom w:val="single" w:sz="4" w:space="0" w:color="auto"/>
              <w:right w:val="single" w:sz="2" w:space="0" w:color="auto"/>
            </w:tcBorders>
            <w:shd w:val="clear" w:color="auto" w:fill="auto"/>
          </w:tcPr>
          <w:p w14:paraId="5FB9095C" w14:textId="77777777" w:rsidR="00F62920" w:rsidRPr="00F62920" w:rsidRDefault="00F62920" w:rsidP="00800172">
            <w:pPr>
              <w:pStyle w:val="StylePlainTextArial"/>
              <w:spacing w:before="120" w:line="240" w:lineRule="exact"/>
              <w:jc w:val="left"/>
              <w:rPr>
                <w:rFonts w:ascii="Calibri" w:hAnsi="Calibri" w:cs="Arial"/>
                <w:sz w:val="20"/>
                <w:highlight w:val="yellow"/>
              </w:rPr>
            </w:pPr>
            <w:r w:rsidRPr="00F62920">
              <w:rPr>
                <w:rFonts w:ascii="Calibri" w:hAnsi="Calibri" w:cs="Arial"/>
                <w:sz w:val="20"/>
                <w:highlight w:val="yellow"/>
              </w:rPr>
              <w:t>Northwest Self Storage</w:t>
            </w:r>
            <w:r w:rsidRPr="00F62920">
              <w:rPr>
                <w:rFonts w:ascii="Calibri" w:hAnsi="Calibri" w:cs="Arial"/>
                <w:sz w:val="20"/>
                <w:highlight w:val="yellow"/>
              </w:rPr>
              <w:br/>
              <w:t>23830 NE Dunberg Loop</w:t>
            </w:r>
            <w:r w:rsidRPr="00F62920">
              <w:rPr>
                <w:rFonts w:ascii="Calibri" w:hAnsi="Calibri" w:cs="Arial"/>
                <w:sz w:val="20"/>
                <w:highlight w:val="yellow"/>
              </w:rPr>
              <w:br/>
              <w:t>Newberg, OR</w:t>
            </w:r>
          </w:p>
        </w:tc>
        <w:tc>
          <w:tcPr>
            <w:tcW w:w="900" w:type="dxa"/>
            <w:tcBorders>
              <w:left w:val="single" w:sz="2" w:space="0" w:color="auto"/>
              <w:bottom w:val="single" w:sz="4" w:space="0" w:color="auto"/>
            </w:tcBorders>
            <w:shd w:val="clear" w:color="auto" w:fill="auto"/>
          </w:tcPr>
          <w:p w14:paraId="58A8F05A" w14:textId="77777777" w:rsidR="00F62920" w:rsidRPr="00F62920" w:rsidRDefault="00F62920" w:rsidP="00800172">
            <w:pPr>
              <w:pStyle w:val="StylePlainTextArial"/>
              <w:spacing w:before="120" w:line="240" w:lineRule="exact"/>
              <w:jc w:val="center"/>
              <w:rPr>
                <w:rFonts w:ascii="Calibri" w:hAnsi="Calibri" w:cs="Arial"/>
                <w:sz w:val="20"/>
                <w:highlight w:val="yellow"/>
              </w:rPr>
            </w:pPr>
            <w:r w:rsidRPr="00F62920">
              <w:rPr>
                <w:rFonts w:ascii="Calibri" w:hAnsi="Calibri" w:cs="Arial"/>
                <w:sz w:val="20"/>
                <w:highlight w:val="yellow"/>
              </w:rPr>
              <w:t>11/17</w:t>
            </w:r>
            <w:r w:rsidRPr="00F62920">
              <w:rPr>
                <w:rFonts w:ascii="Calibri" w:hAnsi="Calibri" w:cs="Arial"/>
                <w:sz w:val="20"/>
                <w:highlight w:val="yellow"/>
              </w:rPr>
              <w:br/>
            </w:r>
          </w:p>
        </w:tc>
        <w:tc>
          <w:tcPr>
            <w:tcW w:w="1440" w:type="dxa"/>
            <w:tcBorders>
              <w:bottom w:val="single" w:sz="4" w:space="0" w:color="auto"/>
            </w:tcBorders>
            <w:shd w:val="clear" w:color="auto" w:fill="auto"/>
          </w:tcPr>
          <w:p w14:paraId="6419960B" w14:textId="77777777" w:rsidR="00F62920" w:rsidRPr="00F62920" w:rsidRDefault="00F62920" w:rsidP="00800172">
            <w:pPr>
              <w:pStyle w:val="StylePlainTextArial"/>
              <w:spacing w:before="120" w:line="240" w:lineRule="exact"/>
              <w:jc w:val="center"/>
              <w:rPr>
                <w:rFonts w:ascii="Calibri" w:hAnsi="Calibri" w:cs="Arial"/>
                <w:sz w:val="20"/>
                <w:highlight w:val="yellow"/>
              </w:rPr>
            </w:pPr>
            <w:r w:rsidRPr="00F62920">
              <w:rPr>
                <w:rFonts w:ascii="Calibri" w:hAnsi="Calibri" w:cs="Arial"/>
                <w:sz w:val="20"/>
                <w:highlight w:val="yellow"/>
              </w:rPr>
              <w:t>2016</w:t>
            </w:r>
            <w:r w:rsidRPr="00F62920">
              <w:rPr>
                <w:rFonts w:ascii="Calibri" w:hAnsi="Calibri" w:cs="Arial"/>
                <w:sz w:val="20"/>
                <w:highlight w:val="yellow"/>
              </w:rPr>
              <w:br/>
              <w:t xml:space="preserve"> </w:t>
            </w:r>
          </w:p>
        </w:tc>
        <w:tc>
          <w:tcPr>
            <w:tcW w:w="1260" w:type="dxa"/>
            <w:tcBorders>
              <w:bottom w:val="single" w:sz="4" w:space="0" w:color="auto"/>
            </w:tcBorders>
            <w:shd w:val="clear" w:color="auto" w:fill="auto"/>
          </w:tcPr>
          <w:p w14:paraId="449E0CAC" w14:textId="77777777" w:rsidR="00F62920" w:rsidRPr="00F62920" w:rsidRDefault="00F62920" w:rsidP="00800172">
            <w:pPr>
              <w:pStyle w:val="StylePlainTextArial"/>
              <w:spacing w:before="120" w:line="240" w:lineRule="exact"/>
              <w:jc w:val="center"/>
              <w:rPr>
                <w:rFonts w:ascii="Calibri" w:hAnsi="Calibri" w:cs="Arial"/>
                <w:sz w:val="20"/>
                <w:highlight w:val="yellow"/>
              </w:rPr>
            </w:pPr>
            <w:r w:rsidRPr="00F62920">
              <w:rPr>
                <w:rFonts w:ascii="Calibri" w:hAnsi="Calibri" w:cs="Arial"/>
                <w:sz w:val="20"/>
                <w:highlight w:val="yellow"/>
              </w:rPr>
              <w:t>39,300</w:t>
            </w:r>
          </w:p>
        </w:tc>
        <w:tc>
          <w:tcPr>
            <w:tcW w:w="1506" w:type="dxa"/>
            <w:tcBorders>
              <w:bottom w:val="single" w:sz="4" w:space="0" w:color="auto"/>
              <w:right w:val="single" w:sz="2" w:space="0" w:color="auto"/>
            </w:tcBorders>
            <w:shd w:val="clear" w:color="auto" w:fill="auto"/>
          </w:tcPr>
          <w:p w14:paraId="7E58F2CE" w14:textId="77777777" w:rsidR="00F62920" w:rsidRPr="00F62920" w:rsidRDefault="00F62920" w:rsidP="00800172">
            <w:pPr>
              <w:pStyle w:val="StylePlainTextArial"/>
              <w:spacing w:before="120" w:line="240" w:lineRule="exact"/>
              <w:jc w:val="center"/>
              <w:rPr>
                <w:rFonts w:ascii="Calibri" w:hAnsi="Calibri" w:cs="Arial"/>
                <w:sz w:val="20"/>
                <w:highlight w:val="yellow"/>
              </w:rPr>
            </w:pPr>
            <w:r w:rsidRPr="00F62920">
              <w:rPr>
                <w:rFonts w:ascii="Calibri" w:hAnsi="Calibri" w:cs="Arial"/>
                <w:sz w:val="20"/>
                <w:highlight w:val="yellow"/>
              </w:rPr>
              <w:t>$4,950,000</w:t>
            </w:r>
          </w:p>
        </w:tc>
        <w:tc>
          <w:tcPr>
            <w:tcW w:w="924" w:type="dxa"/>
            <w:tcBorders>
              <w:left w:val="single" w:sz="2" w:space="0" w:color="auto"/>
              <w:bottom w:val="single" w:sz="4" w:space="0" w:color="auto"/>
            </w:tcBorders>
            <w:shd w:val="clear" w:color="auto" w:fill="auto"/>
          </w:tcPr>
          <w:p w14:paraId="3567BE40" w14:textId="77777777" w:rsidR="00F62920" w:rsidRPr="00F62920" w:rsidRDefault="00F62920" w:rsidP="00800172">
            <w:pPr>
              <w:pStyle w:val="StylePlainTextArial"/>
              <w:spacing w:before="120" w:line="240" w:lineRule="exact"/>
              <w:jc w:val="center"/>
              <w:rPr>
                <w:rFonts w:ascii="Calibri" w:hAnsi="Calibri" w:cs="Arial"/>
                <w:sz w:val="20"/>
                <w:highlight w:val="yellow"/>
              </w:rPr>
            </w:pPr>
            <w:r w:rsidRPr="00F62920">
              <w:rPr>
                <w:rFonts w:ascii="Calibri" w:hAnsi="Calibri" w:cs="Arial"/>
                <w:sz w:val="20"/>
                <w:highlight w:val="yellow"/>
              </w:rPr>
              <w:t>6.00 %</w:t>
            </w:r>
          </w:p>
        </w:tc>
      </w:tr>
      <w:tr w:rsidR="00F62920" w:rsidRPr="00F62920" w14:paraId="7643C831" w14:textId="77777777" w:rsidTr="00800172">
        <w:tc>
          <w:tcPr>
            <w:tcW w:w="817" w:type="dxa"/>
            <w:tcBorders>
              <w:bottom w:val="single" w:sz="4" w:space="0" w:color="auto"/>
              <w:right w:val="single" w:sz="2" w:space="0" w:color="auto"/>
            </w:tcBorders>
            <w:shd w:val="clear" w:color="auto" w:fill="auto"/>
          </w:tcPr>
          <w:p w14:paraId="0C9B1758" w14:textId="77777777" w:rsidR="00F62920" w:rsidRPr="00F62920" w:rsidRDefault="00F62920" w:rsidP="00800172">
            <w:pPr>
              <w:pStyle w:val="StylePlainTextArial"/>
              <w:spacing w:before="120" w:line="240" w:lineRule="exact"/>
              <w:jc w:val="center"/>
              <w:rPr>
                <w:rFonts w:ascii="Calibri" w:hAnsi="Calibri" w:cs="Arial"/>
                <w:sz w:val="20"/>
                <w:highlight w:val="yellow"/>
              </w:rPr>
            </w:pPr>
            <w:bookmarkStart w:id="6" w:name="_Hlk783948"/>
            <w:r w:rsidRPr="00F62920">
              <w:rPr>
                <w:rFonts w:ascii="Calibri" w:hAnsi="Calibri" w:cs="Arial"/>
                <w:sz w:val="20"/>
                <w:highlight w:val="yellow"/>
              </w:rPr>
              <w:t>5</w:t>
            </w:r>
          </w:p>
        </w:tc>
        <w:tc>
          <w:tcPr>
            <w:tcW w:w="2513" w:type="dxa"/>
            <w:tcBorders>
              <w:left w:val="single" w:sz="2" w:space="0" w:color="auto"/>
              <w:bottom w:val="single" w:sz="4" w:space="0" w:color="auto"/>
              <w:right w:val="single" w:sz="2" w:space="0" w:color="auto"/>
            </w:tcBorders>
            <w:shd w:val="clear" w:color="auto" w:fill="auto"/>
          </w:tcPr>
          <w:p w14:paraId="34DB457D" w14:textId="77777777" w:rsidR="00F62920" w:rsidRPr="00F62920" w:rsidRDefault="00F62920" w:rsidP="00800172">
            <w:pPr>
              <w:pStyle w:val="StylePlainTextArial"/>
              <w:spacing w:before="120" w:line="240" w:lineRule="exact"/>
              <w:jc w:val="left"/>
              <w:rPr>
                <w:rFonts w:ascii="Calibri" w:hAnsi="Calibri" w:cs="Arial"/>
                <w:sz w:val="20"/>
                <w:highlight w:val="yellow"/>
              </w:rPr>
            </w:pPr>
            <w:r w:rsidRPr="00F62920">
              <w:rPr>
                <w:rFonts w:ascii="Calibri" w:hAnsi="Calibri" w:cs="Arial"/>
                <w:sz w:val="20"/>
                <w:highlight w:val="yellow"/>
              </w:rPr>
              <w:t>Stor-Rite</w:t>
            </w:r>
            <w:r w:rsidRPr="00F62920">
              <w:rPr>
                <w:rFonts w:ascii="Calibri" w:hAnsi="Calibri" w:cs="Arial"/>
                <w:sz w:val="20"/>
                <w:highlight w:val="yellow"/>
              </w:rPr>
              <w:br/>
              <w:t>5515 NE 121st Avenue</w:t>
            </w:r>
            <w:r w:rsidRPr="00F62920">
              <w:rPr>
                <w:rFonts w:ascii="Calibri" w:hAnsi="Calibri" w:cs="Arial"/>
                <w:sz w:val="20"/>
                <w:highlight w:val="yellow"/>
              </w:rPr>
              <w:br/>
              <w:t>Vancouver, WA</w:t>
            </w:r>
          </w:p>
        </w:tc>
        <w:tc>
          <w:tcPr>
            <w:tcW w:w="900" w:type="dxa"/>
            <w:tcBorders>
              <w:left w:val="single" w:sz="2" w:space="0" w:color="auto"/>
              <w:bottom w:val="single" w:sz="4" w:space="0" w:color="auto"/>
            </w:tcBorders>
            <w:shd w:val="clear" w:color="auto" w:fill="auto"/>
          </w:tcPr>
          <w:p w14:paraId="5B05A0EE" w14:textId="77777777" w:rsidR="00F62920" w:rsidRPr="00F62920" w:rsidRDefault="00F62920" w:rsidP="00800172">
            <w:pPr>
              <w:pStyle w:val="StylePlainTextArial"/>
              <w:spacing w:before="120" w:line="240" w:lineRule="exact"/>
              <w:jc w:val="center"/>
              <w:rPr>
                <w:rFonts w:ascii="Calibri" w:hAnsi="Calibri" w:cs="Arial"/>
                <w:sz w:val="20"/>
                <w:highlight w:val="yellow"/>
              </w:rPr>
            </w:pPr>
            <w:r w:rsidRPr="00F62920">
              <w:rPr>
                <w:rFonts w:ascii="Calibri" w:hAnsi="Calibri" w:cs="Arial"/>
                <w:sz w:val="20"/>
                <w:highlight w:val="yellow"/>
              </w:rPr>
              <w:t>08/17</w:t>
            </w:r>
            <w:r w:rsidRPr="00F62920">
              <w:rPr>
                <w:rFonts w:ascii="Calibri" w:hAnsi="Calibri" w:cs="Arial"/>
                <w:sz w:val="20"/>
                <w:highlight w:val="yellow"/>
              </w:rPr>
              <w:br/>
            </w:r>
          </w:p>
        </w:tc>
        <w:tc>
          <w:tcPr>
            <w:tcW w:w="1440" w:type="dxa"/>
            <w:tcBorders>
              <w:bottom w:val="single" w:sz="4" w:space="0" w:color="auto"/>
            </w:tcBorders>
            <w:shd w:val="clear" w:color="auto" w:fill="auto"/>
          </w:tcPr>
          <w:p w14:paraId="01FBA01C" w14:textId="77777777" w:rsidR="00F62920" w:rsidRPr="00F62920" w:rsidRDefault="00F62920" w:rsidP="00800172">
            <w:pPr>
              <w:pStyle w:val="StylePlainTextArial"/>
              <w:spacing w:before="120" w:line="240" w:lineRule="exact"/>
              <w:jc w:val="center"/>
              <w:rPr>
                <w:rFonts w:ascii="Calibri" w:hAnsi="Calibri" w:cs="Arial"/>
                <w:sz w:val="20"/>
                <w:highlight w:val="yellow"/>
              </w:rPr>
            </w:pPr>
            <w:r w:rsidRPr="00F62920">
              <w:rPr>
                <w:rFonts w:ascii="Calibri" w:hAnsi="Calibri" w:cs="Arial"/>
                <w:sz w:val="20"/>
                <w:highlight w:val="yellow"/>
              </w:rPr>
              <w:t>2005</w:t>
            </w:r>
            <w:r w:rsidRPr="00F62920">
              <w:rPr>
                <w:rFonts w:ascii="Calibri" w:hAnsi="Calibri" w:cs="Arial"/>
                <w:sz w:val="20"/>
                <w:highlight w:val="yellow"/>
              </w:rPr>
              <w:br/>
              <w:t xml:space="preserve"> </w:t>
            </w:r>
          </w:p>
        </w:tc>
        <w:tc>
          <w:tcPr>
            <w:tcW w:w="1260" w:type="dxa"/>
            <w:tcBorders>
              <w:bottom w:val="single" w:sz="4" w:space="0" w:color="auto"/>
            </w:tcBorders>
            <w:shd w:val="clear" w:color="auto" w:fill="auto"/>
          </w:tcPr>
          <w:p w14:paraId="2D39F6E3" w14:textId="77777777" w:rsidR="00F62920" w:rsidRPr="00F62920" w:rsidRDefault="00F62920" w:rsidP="00800172">
            <w:pPr>
              <w:pStyle w:val="StylePlainTextArial"/>
              <w:spacing w:before="120" w:line="240" w:lineRule="exact"/>
              <w:jc w:val="center"/>
              <w:rPr>
                <w:rFonts w:ascii="Calibri" w:hAnsi="Calibri" w:cs="Arial"/>
                <w:sz w:val="20"/>
                <w:highlight w:val="yellow"/>
              </w:rPr>
            </w:pPr>
            <w:r w:rsidRPr="00F62920">
              <w:rPr>
                <w:rFonts w:ascii="Calibri" w:hAnsi="Calibri" w:cs="Arial"/>
                <w:sz w:val="20"/>
                <w:highlight w:val="yellow"/>
              </w:rPr>
              <w:t>24,486</w:t>
            </w:r>
          </w:p>
        </w:tc>
        <w:tc>
          <w:tcPr>
            <w:tcW w:w="1506" w:type="dxa"/>
            <w:tcBorders>
              <w:bottom w:val="single" w:sz="4" w:space="0" w:color="auto"/>
              <w:right w:val="single" w:sz="2" w:space="0" w:color="auto"/>
            </w:tcBorders>
            <w:shd w:val="clear" w:color="auto" w:fill="auto"/>
          </w:tcPr>
          <w:p w14:paraId="23C13C75" w14:textId="77777777" w:rsidR="00F62920" w:rsidRPr="00F62920" w:rsidRDefault="00F62920" w:rsidP="00800172">
            <w:pPr>
              <w:pStyle w:val="StylePlainTextArial"/>
              <w:spacing w:before="120" w:line="240" w:lineRule="exact"/>
              <w:jc w:val="center"/>
              <w:rPr>
                <w:rFonts w:ascii="Calibri" w:hAnsi="Calibri" w:cs="Arial"/>
                <w:sz w:val="20"/>
                <w:highlight w:val="yellow"/>
              </w:rPr>
            </w:pPr>
            <w:r w:rsidRPr="00F62920">
              <w:rPr>
                <w:rFonts w:ascii="Calibri" w:hAnsi="Calibri" w:cs="Arial"/>
                <w:sz w:val="20"/>
                <w:highlight w:val="yellow"/>
              </w:rPr>
              <w:t>$2,750,000</w:t>
            </w:r>
          </w:p>
        </w:tc>
        <w:tc>
          <w:tcPr>
            <w:tcW w:w="924" w:type="dxa"/>
            <w:tcBorders>
              <w:left w:val="single" w:sz="2" w:space="0" w:color="auto"/>
              <w:bottom w:val="single" w:sz="4" w:space="0" w:color="auto"/>
            </w:tcBorders>
            <w:shd w:val="clear" w:color="auto" w:fill="auto"/>
          </w:tcPr>
          <w:p w14:paraId="473924C1" w14:textId="77777777" w:rsidR="00F62920" w:rsidRPr="00F62920" w:rsidRDefault="00F62920" w:rsidP="00800172">
            <w:pPr>
              <w:pStyle w:val="StylePlainTextArial"/>
              <w:spacing w:before="120" w:line="240" w:lineRule="exact"/>
              <w:jc w:val="center"/>
              <w:rPr>
                <w:rFonts w:ascii="Calibri" w:hAnsi="Calibri" w:cs="Arial"/>
                <w:sz w:val="20"/>
                <w:highlight w:val="yellow"/>
              </w:rPr>
            </w:pPr>
            <w:r w:rsidRPr="00F62920">
              <w:rPr>
                <w:rFonts w:ascii="Calibri" w:hAnsi="Calibri" w:cs="Arial"/>
                <w:sz w:val="20"/>
                <w:highlight w:val="yellow"/>
              </w:rPr>
              <w:t>7.68 %</w:t>
            </w:r>
          </w:p>
        </w:tc>
      </w:tr>
      <w:tr w:rsidR="00F62920" w:rsidRPr="00F62920" w14:paraId="4D84B8F2" w14:textId="77777777" w:rsidTr="00800172">
        <w:tc>
          <w:tcPr>
            <w:tcW w:w="817" w:type="dxa"/>
            <w:tcBorders>
              <w:bottom w:val="single" w:sz="4" w:space="0" w:color="auto"/>
              <w:right w:val="single" w:sz="2" w:space="0" w:color="auto"/>
            </w:tcBorders>
            <w:shd w:val="clear" w:color="auto" w:fill="auto"/>
          </w:tcPr>
          <w:p w14:paraId="2163F5F7" w14:textId="77777777" w:rsidR="00F62920" w:rsidRPr="00F62920" w:rsidRDefault="00F62920" w:rsidP="00800172">
            <w:pPr>
              <w:pStyle w:val="StylePlainTextArial"/>
              <w:spacing w:before="120" w:line="240" w:lineRule="exact"/>
              <w:jc w:val="center"/>
              <w:rPr>
                <w:rFonts w:ascii="Calibri" w:hAnsi="Calibri" w:cs="Arial"/>
                <w:sz w:val="20"/>
                <w:highlight w:val="yellow"/>
              </w:rPr>
            </w:pPr>
            <w:r w:rsidRPr="00F62920">
              <w:rPr>
                <w:rFonts w:ascii="Calibri" w:hAnsi="Calibri" w:cs="Arial"/>
                <w:sz w:val="20"/>
                <w:highlight w:val="yellow"/>
              </w:rPr>
              <w:t>6</w:t>
            </w:r>
          </w:p>
        </w:tc>
        <w:tc>
          <w:tcPr>
            <w:tcW w:w="2513" w:type="dxa"/>
            <w:tcBorders>
              <w:left w:val="single" w:sz="2" w:space="0" w:color="auto"/>
              <w:bottom w:val="single" w:sz="4" w:space="0" w:color="auto"/>
              <w:right w:val="single" w:sz="2" w:space="0" w:color="auto"/>
            </w:tcBorders>
            <w:shd w:val="clear" w:color="auto" w:fill="auto"/>
          </w:tcPr>
          <w:p w14:paraId="12DFC971" w14:textId="77777777" w:rsidR="00F62920" w:rsidRPr="00F62920" w:rsidRDefault="00F62920" w:rsidP="00800172">
            <w:pPr>
              <w:pStyle w:val="StylePlainTextArial"/>
              <w:spacing w:before="120" w:line="240" w:lineRule="exact"/>
              <w:jc w:val="left"/>
              <w:rPr>
                <w:rFonts w:ascii="Calibri" w:hAnsi="Calibri" w:cs="Arial"/>
                <w:sz w:val="20"/>
                <w:highlight w:val="yellow"/>
              </w:rPr>
            </w:pPr>
            <w:r w:rsidRPr="00F62920">
              <w:rPr>
                <w:rFonts w:ascii="Calibri" w:hAnsi="Calibri" w:cs="Arial"/>
                <w:sz w:val="20"/>
                <w:highlight w:val="yellow"/>
              </w:rPr>
              <w:t>EZ Stor It</w:t>
            </w:r>
            <w:r w:rsidRPr="00F62920">
              <w:rPr>
                <w:rFonts w:ascii="Calibri" w:hAnsi="Calibri" w:cs="Arial"/>
                <w:sz w:val="20"/>
                <w:highlight w:val="yellow"/>
              </w:rPr>
              <w:br/>
              <w:t>615 Molalla Avenue</w:t>
            </w:r>
            <w:r w:rsidRPr="00F62920">
              <w:rPr>
                <w:rFonts w:ascii="Calibri" w:hAnsi="Calibri" w:cs="Arial"/>
                <w:sz w:val="20"/>
                <w:highlight w:val="yellow"/>
              </w:rPr>
              <w:br/>
              <w:t>Oregon City, OR</w:t>
            </w:r>
          </w:p>
        </w:tc>
        <w:tc>
          <w:tcPr>
            <w:tcW w:w="900" w:type="dxa"/>
            <w:tcBorders>
              <w:left w:val="single" w:sz="2" w:space="0" w:color="auto"/>
              <w:bottom w:val="single" w:sz="4" w:space="0" w:color="auto"/>
            </w:tcBorders>
            <w:shd w:val="clear" w:color="auto" w:fill="auto"/>
          </w:tcPr>
          <w:p w14:paraId="2E3FBD2F" w14:textId="77777777" w:rsidR="00F62920" w:rsidRPr="00F62920" w:rsidRDefault="00F62920" w:rsidP="00800172">
            <w:pPr>
              <w:pStyle w:val="StylePlainTextArial"/>
              <w:spacing w:before="120" w:line="240" w:lineRule="exact"/>
              <w:jc w:val="center"/>
              <w:rPr>
                <w:rFonts w:ascii="Calibri" w:hAnsi="Calibri" w:cs="Arial"/>
                <w:sz w:val="20"/>
                <w:highlight w:val="yellow"/>
              </w:rPr>
            </w:pPr>
            <w:r w:rsidRPr="00F62920">
              <w:rPr>
                <w:rFonts w:ascii="Calibri" w:hAnsi="Calibri" w:cs="Arial"/>
                <w:sz w:val="20"/>
                <w:highlight w:val="yellow"/>
              </w:rPr>
              <w:t>07/16</w:t>
            </w:r>
            <w:r w:rsidRPr="00F62920">
              <w:rPr>
                <w:rFonts w:ascii="Calibri" w:hAnsi="Calibri" w:cs="Arial"/>
                <w:sz w:val="20"/>
                <w:highlight w:val="yellow"/>
              </w:rPr>
              <w:br/>
            </w:r>
          </w:p>
        </w:tc>
        <w:tc>
          <w:tcPr>
            <w:tcW w:w="1440" w:type="dxa"/>
            <w:tcBorders>
              <w:bottom w:val="single" w:sz="4" w:space="0" w:color="auto"/>
            </w:tcBorders>
            <w:shd w:val="clear" w:color="auto" w:fill="auto"/>
          </w:tcPr>
          <w:p w14:paraId="5E497257" w14:textId="77777777" w:rsidR="00F62920" w:rsidRPr="00F62920" w:rsidRDefault="00F62920" w:rsidP="00800172">
            <w:pPr>
              <w:pStyle w:val="StylePlainTextArial"/>
              <w:spacing w:before="120" w:line="240" w:lineRule="exact"/>
              <w:jc w:val="center"/>
              <w:rPr>
                <w:rFonts w:ascii="Calibri" w:hAnsi="Calibri" w:cs="Arial"/>
                <w:sz w:val="20"/>
                <w:highlight w:val="yellow"/>
              </w:rPr>
            </w:pPr>
            <w:r w:rsidRPr="00F62920">
              <w:rPr>
                <w:rFonts w:ascii="Calibri" w:hAnsi="Calibri" w:cs="Arial"/>
                <w:sz w:val="20"/>
                <w:highlight w:val="yellow"/>
              </w:rPr>
              <w:t>1975</w:t>
            </w:r>
            <w:r w:rsidRPr="00F62920">
              <w:rPr>
                <w:rFonts w:ascii="Calibri" w:hAnsi="Calibri" w:cs="Arial"/>
                <w:sz w:val="20"/>
                <w:highlight w:val="yellow"/>
              </w:rPr>
              <w:br/>
              <w:t xml:space="preserve">  (2007)</w:t>
            </w:r>
          </w:p>
        </w:tc>
        <w:tc>
          <w:tcPr>
            <w:tcW w:w="1260" w:type="dxa"/>
            <w:tcBorders>
              <w:bottom w:val="single" w:sz="4" w:space="0" w:color="auto"/>
            </w:tcBorders>
            <w:shd w:val="clear" w:color="auto" w:fill="auto"/>
          </w:tcPr>
          <w:p w14:paraId="42B44B46" w14:textId="77777777" w:rsidR="00F62920" w:rsidRPr="00F62920" w:rsidRDefault="00F62920" w:rsidP="00800172">
            <w:pPr>
              <w:pStyle w:val="StylePlainTextArial"/>
              <w:spacing w:before="120" w:line="240" w:lineRule="exact"/>
              <w:jc w:val="center"/>
              <w:rPr>
                <w:rFonts w:ascii="Calibri" w:hAnsi="Calibri" w:cs="Arial"/>
                <w:sz w:val="20"/>
                <w:highlight w:val="yellow"/>
              </w:rPr>
            </w:pPr>
            <w:r w:rsidRPr="00F62920">
              <w:rPr>
                <w:rFonts w:ascii="Calibri" w:hAnsi="Calibri" w:cs="Arial"/>
                <w:sz w:val="20"/>
                <w:highlight w:val="yellow"/>
              </w:rPr>
              <w:t>15,330</w:t>
            </w:r>
          </w:p>
        </w:tc>
        <w:tc>
          <w:tcPr>
            <w:tcW w:w="1506" w:type="dxa"/>
            <w:tcBorders>
              <w:bottom w:val="single" w:sz="4" w:space="0" w:color="auto"/>
              <w:right w:val="single" w:sz="2" w:space="0" w:color="auto"/>
            </w:tcBorders>
            <w:shd w:val="clear" w:color="auto" w:fill="auto"/>
          </w:tcPr>
          <w:p w14:paraId="19B883D7" w14:textId="77777777" w:rsidR="00F62920" w:rsidRPr="00F62920" w:rsidRDefault="00F62920" w:rsidP="00800172">
            <w:pPr>
              <w:pStyle w:val="StylePlainTextArial"/>
              <w:spacing w:before="120" w:line="240" w:lineRule="exact"/>
              <w:jc w:val="center"/>
              <w:rPr>
                <w:rFonts w:ascii="Calibri" w:hAnsi="Calibri" w:cs="Arial"/>
                <w:sz w:val="20"/>
                <w:highlight w:val="yellow"/>
              </w:rPr>
            </w:pPr>
            <w:r w:rsidRPr="00F62920">
              <w:rPr>
                <w:rFonts w:ascii="Calibri" w:hAnsi="Calibri" w:cs="Arial"/>
                <w:sz w:val="20"/>
                <w:highlight w:val="yellow"/>
              </w:rPr>
              <w:t>$1,232,180</w:t>
            </w:r>
          </w:p>
        </w:tc>
        <w:tc>
          <w:tcPr>
            <w:tcW w:w="924" w:type="dxa"/>
            <w:tcBorders>
              <w:left w:val="single" w:sz="2" w:space="0" w:color="auto"/>
              <w:bottom w:val="single" w:sz="4" w:space="0" w:color="auto"/>
            </w:tcBorders>
            <w:shd w:val="clear" w:color="auto" w:fill="auto"/>
          </w:tcPr>
          <w:p w14:paraId="56A6868D" w14:textId="77777777" w:rsidR="00F62920" w:rsidRPr="00F62920" w:rsidRDefault="00F62920" w:rsidP="00800172">
            <w:pPr>
              <w:pStyle w:val="StylePlainTextArial"/>
              <w:spacing w:before="120" w:line="240" w:lineRule="exact"/>
              <w:jc w:val="center"/>
              <w:rPr>
                <w:rFonts w:ascii="Calibri" w:hAnsi="Calibri" w:cs="Arial"/>
                <w:sz w:val="20"/>
                <w:highlight w:val="yellow"/>
              </w:rPr>
            </w:pPr>
            <w:r w:rsidRPr="00F62920">
              <w:rPr>
                <w:rFonts w:ascii="Calibri" w:hAnsi="Calibri" w:cs="Arial"/>
                <w:sz w:val="20"/>
                <w:highlight w:val="yellow"/>
              </w:rPr>
              <w:t>7.76 %</w:t>
            </w:r>
          </w:p>
        </w:tc>
      </w:tr>
      <w:bookmarkEnd w:id="6"/>
      <w:tr w:rsidR="00F62920" w:rsidRPr="00EE6F4E" w14:paraId="3749916D" w14:textId="77777777" w:rsidTr="00800172">
        <w:tc>
          <w:tcPr>
            <w:tcW w:w="817" w:type="dxa"/>
            <w:tcBorders>
              <w:top w:val="single" w:sz="4" w:space="0" w:color="auto"/>
              <w:bottom w:val="single" w:sz="4" w:space="0" w:color="auto"/>
              <w:right w:val="single" w:sz="2" w:space="0" w:color="auto"/>
            </w:tcBorders>
            <w:shd w:val="clear" w:color="auto" w:fill="auto"/>
          </w:tcPr>
          <w:p w14:paraId="77B80110" w14:textId="77777777" w:rsidR="00F62920" w:rsidRPr="00F62920" w:rsidRDefault="00F62920" w:rsidP="00800172">
            <w:pPr>
              <w:pStyle w:val="StylePlainTextArial"/>
              <w:spacing w:before="120" w:line="240" w:lineRule="exact"/>
              <w:jc w:val="center"/>
              <w:rPr>
                <w:rFonts w:ascii="Calibri" w:hAnsi="Calibri" w:cs="Arial"/>
                <w:sz w:val="20"/>
                <w:highlight w:val="yellow"/>
              </w:rPr>
            </w:pPr>
            <w:r w:rsidRPr="00F62920">
              <w:rPr>
                <w:rFonts w:ascii="Calibri" w:hAnsi="Calibri" w:cs="Arial"/>
                <w:sz w:val="20"/>
                <w:highlight w:val="yellow"/>
              </w:rPr>
              <w:t>7</w:t>
            </w:r>
          </w:p>
        </w:tc>
        <w:tc>
          <w:tcPr>
            <w:tcW w:w="2513" w:type="dxa"/>
            <w:tcBorders>
              <w:left w:val="single" w:sz="2" w:space="0" w:color="auto"/>
              <w:bottom w:val="single" w:sz="4" w:space="0" w:color="auto"/>
              <w:right w:val="single" w:sz="2" w:space="0" w:color="auto"/>
            </w:tcBorders>
            <w:shd w:val="clear" w:color="auto" w:fill="auto"/>
          </w:tcPr>
          <w:p w14:paraId="690DCB41" w14:textId="77777777" w:rsidR="00F62920" w:rsidRPr="00F62920" w:rsidRDefault="00F62920" w:rsidP="00800172">
            <w:pPr>
              <w:pStyle w:val="StylePlainTextArial"/>
              <w:spacing w:before="120" w:line="240" w:lineRule="exact"/>
              <w:jc w:val="left"/>
              <w:rPr>
                <w:rFonts w:ascii="Calibri" w:hAnsi="Calibri" w:cs="Arial"/>
                <w:sz w:val="20"/>
                <w:highlight w:val="yellow"/>
              </w:rPr>
            </w:pPr>
            <w:r w:rsidRPr="00F62920">
              <w:rPr>
                <w:rFonts w:ascii="Calibri" w:hAnsi="Calibri" w:cs="Arial"/>
                <w:sz w:val="20"/>
                <w:highlight w:val="yellow"/>
              </w:rPr>
              <w:t>Iron Gate Storage</w:t>
            </w:r>
            <w:r w:rsidRPr="00F62920">
              <w:rPr>
                <w:rFonts w:ascii="Calibri" w:hAnsi="Calibri" w:cs="Arial"/>
                <w:sz w:val="20"/>
                <w:highlight w:val="yellow"/>
              </w:rPr>
              <w:br/>
              <w:t>2900 Northeast 57th Ave.</w:t>
            </w:r>
            <w:r w:rsidRPr="00F62920">
              <w:rPr>
                <w:rFonts w:ascii="Calibri" w:hAnsi="Calibri" w:cs="Arial"/>
                <w:sz w:val="20"/>
                <w:highlight w:val="yellow"/>
              </w:rPr>
              <w:br/>
              <w:t>Vancouver, WA</w:t>
            </w:r>
          </w:p>
        </w:tc>
        <w:tc>
          <w:tcPr>
            <w:tcW w:w="900" w:type="dxa"/>
            <w:tcBorders>
              <w:left w:val="single" w:sz="2" w:space="0" w:color="auto"/>
              <w:bottom w:val="single" w:sz="4" w:space="0" w:color="auto"/>
            </w:tcBorders>
            <w:shd w:val="clear" w:color="auto" w:fill="auto"/>
          </w:tcPr>
          <w:p w14:paraId="513B73F9" w14:textId="77777777" w:rsidR="00F62920" w:rsidRPr="00F62920" w:rsidRDefault="00F62920" w:rsidP="00800172">
            <w:pPr>
              <w:pStyle w:val="StylePlainTextArial"/>
              <w:spacing w:before="120" w:line="240" w:lineRule="exact"/>
              <w:jc w:val="center"/>
              <w:rPr>
                <w:rFonts w:ascii="Calibri" w:hAnsi="Calibri" w:cs="Arial"/>
                <w:sz w:val="20"/>
                <w:highlight w:val="yellow"/>
              </w:rPr>
            </w:pPr>
            <w:r w:rsidRPr="00F62920">
              <w:rPr>
                <w:rFonts w:ascii="Calibri" w:hAnsi="Calibri" w:cs="Arial"/>
                <w:sz w:val="20"/>
                <w:highlight w:val="yellow"/>
              </w:rPr>
              <w:t>07/16</w:t>
            </w:r>
            <w:r w:rsidRPr="00F62920">
              <w:rPr>
                <w:rFonts w:ascii="Calibri" w:hAnsi="Calibri" w:cs="Arial"/>
                <w:sz w:val="20"/>
                <w:highlight w:val="yellow"/>
              </w:rPr>
              <w:br/>
            </w:r>
          </w:p>
        </w:tc>
        <w:tc>
          <w:tcPr>
            <w:tcW w:w="1440" w:type="dxa"/>
            <w:tcBorders>
              <w:bottom w:val="single" w:sz="4" w:space="0" w:color="auto"/>
            </w:tcBorders>
            <w:shd w:val="clear" w:color="auto" w:fill="auto"/>
          </w:tcPr>
          <w:p w14:paraId="70DCFEDB" w14:textId="77777777" w:rsidR="00F62920" w:rsidRPr="00F62920" w:rsidRDefault="00F62920" w:rsidP="00800172">
            <w:pPr>
              <w:pStyle w:val="StylePlainTextArial"/>
              <w:spacing w:before="120" w:line="240" w:lineRule="exact"/>
              <w:jc w:val="center"/>
              <w:rPr>
                <w:rFonts w:ascii="Calibri" w:hAnsi="Calibri" w:cs="Arial"/>
                <w:sz w:val="20"/>
                <w:highlight w:val="yellow"/>
              </w:rPr>
            </w:pPr>
            <w:r w:rsidRPr="00F62920">
              <w:rPr>
                <w:rFonts w:ascii="Calibri" w:hAnsi="Calibri" w:cs="Arial"/>
                <w:sz w:val="20"/>
                <w:highlight w:val="yellow"/>
              </w:rPr>
              <w:t>2001</w:t>
            </w:r>
            <w:r w:rsidRPr="00F62920">
              <w:rPr>
                <w:rFonts w:ascii="Calibri" w:hAnsi="Calibri" w:cs="Arial"/>
                <w:sz w:val="20"/>
                <w:highlight w:val="yellow"/>
              </w:rPr>
              <w:br/>
              <w:t xml:space="preserve"> </w:t>
            </w:r>
          </w:p>
        </w:tc>
        <w:tc>
          <w:tcPr>
            <w:tcW w:w="1260" w:type="dxa"/>
            <w:tcBorders>
              <w:bottom w:val="single" w:sz="4" w:space="0" w:color="auto"/>
            </w:tcBorders>
            <w:shd w:val="clear" w:color="auto" w:fill="auto"/>
          </w:tcPr>
          <w:p w14:paraId="692A0ADF" w14:textId="77777777" w:rsidR="00F62920" w:rsidRPr="00F62920" w:rsidRDefault="00F62920" w:rsidP="00800172">
            <w:pPr>
              <w:pStyle w:val="StylePlainTextArial"/>
              <w:spacing w:before="120" w:line="240" w:lineRule="exact"/>
              <w:jc w:val="center"/>
              <w:rPr>
                <w:rFonts w:ascii="Calibri" w:hAnsi="Calibri" w:cs="Arial"/>
                <w:sz w:val="20"/>
                <w:highlight w:val="yellow"/>
              </w:rPr>
            </w:pPr>
            <w:r w:rsidRPr="00F62920">
              <w:rPr>
                <w:rFonts w:ascii="Calibri" w:hAnsi="Calibri" w:cs="Arial"/>
                <w:sz w:val="20"/>
                <w:highlight w:val="yellow"/>
              </w:rPr>
              <w:t>23,999</w:t>
            </w:r>
          </w:p>
        </w:tc>
        <w:tc>
          <w:tcPr>
            <w:tcW w:w="1506" w:type="dxa"/>
            <w:tcBorders>
              <w:bottom w:val="single" w:sz="4" w:space="0" w:color="auto"/>
              <w:right w:val="single" w:sz="2" w:space="0" w:color="auto"/>
            </w:tcBorders>
            <w:shd w:val="clear" w:color="auto" w:fill="auto"/>
          </w:tcPr>
          <w:p w14:paraId="0CEFFBD6" w14:textId="77777777" w:rsidR="00F62920" w:rsidRPr="00F62920" w:rsidRDefault="00F62920" w:rsidP="00800172">
            <w:pPr>
              <w:pStyle w:val="StylePlainTextArial"/>
              <w:spacing w:before="120" w:line="240" w:lineRule="exact"/>
              <w:jc w:val="center"/>
              <w:rPr>
                <w:rFonts w:ascii="Calibri" w:hAnsi="Calibri" w:cs="Arial"/>
                <w:sz w:val="20"/>
                <w:highlight w:val="yellow"/>
              </w:rPr>
            </w:pPr>
            <w:r w:rsidRPr="00F62920">
              <w:rPr>
                <w:rFonts w:ascii="Calibri" w:hAnsi="Calibri" w:cs="Arial"/>
                <w:sz w:val="20"/>
                <w:highlight w:val="yellow"/>
              </w:rPr>
              <w:t>$2,300,000</w:t>
            </w:r>
          </w:p>
        </w:tc>
        <w:tc>
          <w:tcPr>
            <w:tcW w:w="924" w:type="dxa"/>
            <w:tcBorders>
              <w:left w:val="single" w:sz="2" w:space="0" w:color="auto"/>
              <w:bottom w:val="single" w:sz="4" w:space="0" w:color="auto"/>
            </w:tcBorders>
            <w:shd w:val="clear" w:color="auto" w:fill="auto"/>
          </w:tcPr>
          <w:p w14:paraId="6D9CE6A7" w14:textId="77777777" w:rsidR="00F62920" w:rsidRPr="00EE6F4E" w:rsidRDefault="00F62920" w:rsidP="00800172">
            <w:pPr>
              <w:pStyle w:val="StylePlainTextArial"/>
              <w:spacing w:before="120" w:line="240" w:lineRule="exact"/>
              <w:jc w:val="center"/>
              <w:rPr>
                <w:rFonts w:ascii="Calibri" w:hAnsi="Calibri" w:cs="Arial"/>
                <w:sz w:val="20"/>
              </w:rPr>
            </w:pPr>
            <w:r w:rsidRPr="00F62920">
              <w:rPr>
                <w:rFonts w:ascii="Calibri" w:hAnsi="Calibri" w:cs="Arial"/>
                <w:sz w:val="20"/>
                <w:highlight w:val="yellow"/>
              </w:rPr>
              <w:t>5.30 %</w:t>
            </w:r>
          </w:p>
        </w:tc>
      </w:tr>
    </w:tbl>
    <w:p w14:paraId="41128B0A" w14:textId="7F6CDA1E" w:rsidR="00F62920" w:rsidRDefault="00F62920" w:rsidP="004F6CAE">
      <w:pPr>
        <w:rPr>
          <w:rFonts w:cs="Arial"/>
          <w:szCs w:val="22"/>
        </w:rPr>
      </w:pPr>
    </w:p>
    <w:p w14:paraId="31ADD224" w14:textId="1B42FB78" w:rsidR="004F6CAE" w:rsidRPr="00BC3E4E" w:rsidRDefault="004F6CAE" w:rsidP="004F6CAE">
      <w:pPr>
        <w:widowControl w:val="0"/>
        <w:numPr>
          <w:ilvl w:val="1"/>
          <w:numId w:val="0"/>
        </w:numPr>
        <w:spacing w:line="233" w:lineRule="auto"/>
        <w:outlineLvl w:val="2"/>
        <w:rPr>
          <w:rFonts w:cs="Arial"/>
          <w:szCs w:val="22"/>
        </w:rPr>
      </w:pPr>
      <w:r w:rsidRPr="00BC3E4E">
        <w:rPr>
          <w:rFonts w:cs="Arial"/>
          <w:szCs w:val="22"/>
        </w:rPr>
        <w:t xml:space="preserve">The surveyed capitalization rate sales data indicate a range of capitalization rates from </w:t>
      </w:r>
      <w:r w:rsidRPr="004F6CAE">
        <w:rPr>
          <w:rFonts w:cs="Arial"/>
          <w:szCs w:val="22"/>
          <w:highlight w:val="yellow"/>
        </w:rPr>
        <w:t>5.98% to 6.85%</w:t>
      </w:r>
      <w:r>
        <w:rPr>
          <w:rFonts w:cs="Arial"/>
          <w:szCs w:val="22"/>
          <w:highlight w:val="yellow"/>
        </w:rPr>
        <w:t xml:space="preserve"> (average = 6.25%)</w:t>
      </w:r>
      <w:r w:rsidRPr="004F6CAE">
        <w:rPr>
          <w:rFonts w:cs="Arial"/>
          <w:szCs w:val="22"/>
          <w:highlight w:val="yellow"/>
        </w:rPr>
        <w:t>.</w:t>
      </w:r>
      <w:r w:rsidRPr="00BC3E4E">
        <w:rPr>
          <w:rFonts w:cs="Arial"/>
          <w:szCs w:val="22"/>
        </w:rPr>
        <w:t xml:space="preserve"> The comparables show a relatively small range and are considered to be fair indicators of a market capitalization rate and all of them have been weighed on our conclusion. Based on the subject’s </w:t>
      </w:r>
      <w:r w:rsidRPr="008D26BD">
        <w:rPr>
          <w:rFonts w:cs="Arial"/>
          <w:szCs w:val="22"/>
          <w:highlight w:val="yellow"/>
        </w:rPr>
        <w:t>age / condition and unit mix</w:t>
      </w:r>
      <w:r w:rsidRPr="00BC3E4E">
        <w:rPr>
          <w:rFonts w:cs="Arial"/>
          <w:szCs w:val="22"/>
        </w:rPr>
        <w:t xml:space="preserve">, a capitalization rate toward the </w:t>
      </w:r>
      <w:r w:rsidRPr="004F6CAE">
        <w:rPr>
          <w:rFonts w:cs="Arial"/>
          <w:szCs w:val="22"/>
          <w:highlight w:val="yellow"/>
        </w:rPr>
        <w:t>middle of the range</w:t>
      </w:r>
      <w:r w:rsidRPr="00BC3E4E">
        <w:rPr>
          <w:rFonts w:cs="Arial"/>
          <w:szCs w:val="22"/>
        </w:rPr>
        <w:t xml:space="preserve"> is considered reasonable.  </w:t>
      </w:r>
    </w:p>
    <w:p w14:paraId="74638F35" w14:textId="77777777" w:rsidR="004F6CAE" w:rsidRPr="00BC3E4E" w:rsidRDefault="004F6CAE" w:rsidP="004F6CAE">
      <w:pPr>
        <w:widowControl w:val="0"/>
        <w:numPr>
          <w:ilvl w:val="1"/>
          <w:numId w:val="0"/>
        </w:numPr>
        <w:spacing w:before="200" w:line="233" w:lineRule="auto"/>
        <w:outlineLvl w:val="2"/>
        <w:rPr>
          <w:rFonts w:eastAsiaTheme="majorEastAsia" w:cs="Arial"/>
          <w:bCs/>
          <w:iCs/>
          <w:color w:val="1E4959"/>
          <w:sz w:val="24"/>
          <w:szCs w:val="22"/>
          <w:u w:val="single"/>
        </w:rPr>
      </w:pPr>
      <w:r w:rsidRPr="00BC3E4E">
        <w:rPr>
          <w:rFonts w:eastAsiaTheme="majorEastAsia" w:cs="Arial"/>
          <w:iCs/>
          <w:color w:val="1E4959"/>
          <w:sz w:val="24"/>
          <w:szCs w:val="22"/>
          <w:u w:val="single"/>
        </w:rPr>
        <w:t>Cap Rate Conclusion</w:t>
      </w:r>
    </w:p>
    <w:p w14:paraId="35EDDED2" w14:textId="77777777" w:rsidR="000B0C0A" w:rsidRPr="00BC3E4E" w:rsidRDefault="000B0C0A" w:rsidP="000B0C0A">
      <w:pPr>
        <w:widowControl w:val="0"/>
        <w:autoSpaceDE w:val="0"/>
        <w:autoSpaceDN w:val="0"/>
        <w:adjustRightInd w:val="0"/>
        <w:rPr>
          <w:rFonts w:cs="Arial"/>
          <w:szCs w:val="22"/>
        </w:rPr>
      </w:pPr>
      <w:r>
        <w:rPr>
          <w:rFonts w:cs="Arial"/>
          <w:szCs w:val="22"/>
        </w:rPr>
        <w:t>Based on the preceding, we have</w:t>
      </w:r>
      <w:r w:rsidRPr="00BC3E4E">
        <w:rPr>
          <w:rFonts w:cs="Arial"/>
          <w:szCs w:val="22"/>
        </w:rPr>
        <w:t xml:space="preserve"> concluded</w:t>
      </w:r>
      <w:r>
        <w:rPr>
          <w:rFonts w:cs="Arial"/>
          <w:szCs w:val="22"/>
        </w:rPr>
        <w:t xml:space="preserve"> a</w:t>
      </w:r>
      <w:r w:rsidRPr="00BC3E4E">
        <w:rPr>
          <w:rFonts w:cs="Arial"/>
          <w:szCs w:val="22"/>
        </w:rPr>
        <w:t xml:space="preserve"> </w:t>
      </w:r>
      <w:r w:rsidRPr="00BC3E4E">
        <w:rPr>
          <w:rFonts w:cs="Arial"/>
          <w:b/>
          <w:szCs w:val="22"/>
        </w:rPr>
        <w:t>direct capitalization rate</w:t>
      </w:r>
      <w:r w:rsidRPr="00BC3E4E">
        <w:rPr>
          <w:rFonts w:cs="Arial"/>
          <w:szCs w:val="22"/>
        </w:rPr>
        <w:t xml:space="preserve"> of </w:t>
      </w:r>
      <w:r>
        <w:rPr>
          <w:rFonts w:cs="Arial"/>
          <w:b/>
          <w:szCs w:val="22"/>
          <w:highlight w:val="yellow"/>
        </w:rPr>
        <w:t>______</w:t>
      </w:r>
      <w:r w:rsidRPr="004F6CAE">
        <w:rPr>
          <w:rFonts w:cs="Arial"/>
          <w:b/>
          <w:szCs w:val="22"/>
          <w:highlight w:val="yellow"/>
        </w:rPr>
        <w:t>%</w:t>
      </w:r>
      <w:r w:rsidRPr="00BC3E4E">
        <w:rPr>
          <w:rFonts w:cs="Arial"/>
          <w:szCs w:val="22"/>
        </w:rPr>
        <w:t xml:space="preserve"> </w:t>
      </w:r>
      <w:r>
        <w:rPr>
          <w:rFonts w:cs="Arial"/>
          <w:szCs w:val="22"/>
        </w:rPr>
        <w:t>as reasonable for use</w:t>
      </w:r>
      <w:r w:rsidRPr="00BC3E4E">
        <w:rPr>
          <w:rFonts w:cs="Arial"/>
          <w:szCs w:val="22"/>
        </w:rPr>
        <w:t xml:space="preserve"> in analyzing the subject property on a stabilized basis. </w:t>
      </w:r>
    </w:p>
    <w:p w14:paraId="55E12254" w14:textId="77777777" w:rsidR="004F6CAE" w:rsidRPr="00BC3E4E" w:rsidRDefault="004F6CAE" w:rsidP="004F6CAE">
      <w:pPr>
        <w:widowControl w:val="0"/>
        <w:spacing w:before="260"/>
        <w:outlineLvl w:val="1"/>
        <w:rPr>
          <w:rFonts w:cs="Arial"/>
          <w:iCs/>
          <w:color w:val="1E4959"/>
          <w:sz w:val="28"/>
          <w:szCs w:val="22"/>
        </w:rPr>
      </w:pPr>
      <w:r w:rsidRPr="00BC3E4E">
        <w:rPr>
          <w:rFonts w:cs="Arial"/>
          <w:iCs/>
          <w:color w:val="1E4959"/>
          <w:sz w:val="28"/>
          <w:szCs w:val="22"/>
        </w:rPr>
        <w:t xml:space="preserve">Concluded Market Value Via The Income Capitalization Approach </w:t>
      </w:r>
    </w:p>
    <w:p w14:paraId="38EEDF1C" w14:textId="14F7FDDC" w:rsidR="004F6CAE" w:rsidRPr="000754FA" w:rsidRDefault="004F6CAE" w:rsidP="004F6CAE">
      <w:pPr>
        <w:widowControl w:val="0"/>
        <w:rPr>
          <w:rFonts w:cs="Arial"/>
          <w:szCs w:val="22"/>
        </w:rPr>
      </w:pPr>
      <w:r w:rsidRPr="00BC3E4E">
        <w:rPr>
          <w:rFonts w:cs="Arial"/>
          <w:szCs w:val="22"/>
        </w:rPr>
        <w:lastRenderedPageBreak/>
        <w:t>To value the subject by</w:t>
      </w:r>
      <w:r w:rsidRPr="000754FA">
        <w:rPr>
          <w:rFonts w:cs="Arial"/>
          <w:szCs w:val="22"/>
        </w:rPr>
        <w:t xml:space="preserve"> Direct Capitalization, the Net Operating Income was divided by the selected overall rate yielding a </w:t>
      </w:r>
      <w:sdt>
        <w:sdtPr>
          <w:rPr>
            <w:rFonts w:cs="Arial"/>
            <w:b/>
            <w:bCs/>
            <w:szCs w:val="22"/>
            <w:highlight w:val="green"/>
          </w:rPr>
          <w:alias w:val="Value Premise"/>
          <w:tag w:val="Value Premise"/>
          <w:id w:val="-2026086354"/>
          <w:placeholder>
            <w:docPart w:val="FA7E174FD64E4516A982D6B1BF53F9D3"/>
          </w:placeholder>
          <w:dropDownList>
            <w:listItem w:value="Choose an item."/>
            <w:listItem w:displayText="stabilized" w:value="stabilized"/>
            <w:listItem w:displayText="prospective stabilized" w:value="prospective stabilized"/>
          </w:dropDownList>
        </w:sdtPr>
        <w:sdtContent>
          <w:r w:rsidR="00DC5B47" w:rsidRPr="003C6D47">
            <w:rPr>
              <w:rFonts w:cs="Arial"/>
              <w:b/>
              <w:bCs/>
              <w:szCs w:val="22"/>
              <w:highlight w:val="green"/>
            </w:rPr>
            <w:t>stabilized</w:t>
          </w:r>
        </w:sdtContent>
      </w:sdt>
      <w:r w:rsidR="00DC5B47" w:rsidRPr="00FD446E">
        <w:rPr>
          <w:rFonts w:cs="Arial"/>
          <w:b/>
          <w:bCs/>
          <w:szCs w:val="22"/>
        </w:rPr>
        <w:t xml:space="preserve"> </w:t>
      </w:r>
      <w:r w:rsidRPr="000754FA">
        <w:rPr>
          <w:rFonts w:cs="Arial"/>
          <w:b/>
          <w:szCs w:val="22"/>
        </w:rPr>
        <w:t>market value</w:t>
      </w:r>
      <w:r w:rsidRPr="000754FA">
        <w:rPr>
          <w:rFonts w:cs="Arial"/>
          <w:szCs w:val="22"/>
        </w:rPr>
        <w:t xml:space="preserve"> of the fee simple interest in the </w:t>
      </w:r>
      <w:r w:rsidRPr="004F6CAE">
        <w:rPr>
          <w:rFonts w:cs="Arial"/>
          <w:b/>
          <w:bCs/>
          <w:szCs w:val="22"/>
        </w:rPr>
        <w:t>subject property</w:t>
      </w:r>
      <w:r w:rsidRPr="000754FA">
        <w:rPr>
          <w:rFonts w:cs="Arial"/>
          <w:szCs w:val="22"/>
        </w:rPr>
        <w:t xml:space="preserve">, via the </w:t>
      </w:r>
      <w:r w:rsidRPr="000754FA">
        <w:rPr>
          <w:rFonts w:cs="Arial"/>
          <w:b/>
          <w:szCs w:val="22"/>
        </w:rPr>
        <w:t>Income Capitalization Approach</w:t>
      </w:r>
      <w:r w:rsidRPr="000754FA">
        <w:rPr>
          <w:rFonts w:cs="Arial"/>
          <w:szCs w:val="22"/>
        </w:rPr>
        <w:t xml:space="preserve"> </w:t>
      </w:r>
      <w:r w:rsidR="00DC5B47">
        <w:rPr>
          <w:rFonts w:cs="Arial"/>
          <w:szCs w:val="22"/>
        </w:rPr>
        <w:t>(</w:t>
      </w:r>
      <w:sdt>
        <w:sdtPr>
          <w:rPr>
            <w:rFonts w:cs="Arial"/>
            <w:szCs w:val="22"/>
            <w:highlight w:val="green"/>
          </w:rPr>
          <w:alias w:val="Rounded"/>
          <w:tag w:val="Rounded"/>
          <w:id w:val="-1183351504"/>
          <w:placeholder>
            <w:docPart w:val="88321CE90B23428180D3F8C4ACD98072"/>
          </w:placeholder>
          <w:dropDownList>
            <w:listItem w:value="Choose an item."/>
            <w:listItem w:displayText="rounded" w:value="rounded"/>
            <w:listItem w:displayText="rounded to the nearest $5,000" w:value="rounded to the nearest $5,000"/>
            <w:listItem w:displayText="rounded to the nearest $10,000" w:value="rounded to the nearest $10,000"/>
            <w:listItem w:displayText="rounded to the nearest $1,000" w:value="rounded to the nearest $1,000"/>
          </w:dropDownList>
        </w:sdtPr>
        <w:sdtContent>
          <w:r w:rsidR="00DC5B47">
            <w:rPr>
              <w:rFonts w:cs="Arial"/>
              <w:szCs w:val="22"/>
              <w:highlight w:val="green"/>
            </w:rPr>
            <w:t>rounded to the nearest $5,000</w:t>
          </w:r>
        </w:sdtContent>
      </w:sdt>
      <w:r w:rsidR="00DC5B47">
        <w:rPr>
          <w:rFonts w:cs="Arial"/>
          <w:szCs w:val="22"/>
        </w:rPr>
        <w:t>)</w:t>
      </w:r>
      <w:r w:rsidR="00DC5B47" w:rsidRPr="0005433A">
        <w:rPr>
          <w:rFonts w:cs="Arial"/>
          <w:szCs w:val="22"/>
        </w:rPr>
        <w:t>:</w:t>
      </w:r>
    </w:p>
    <w:p w14:paraId="3EF212E8" w14:textId="77777777" w:rsidR="004F6CAE" w:rsidRPr="000754FA" w:rsidRDefault="004F6CAE" w:rsidP="004F6CAE">
      <w:pPr>
        <w:widowControl w:val="0"/>
        <w:rPr>
          <w:rFonts w:cs="Arial"/>
          <w:szCs w:val="22"/>
        </w:rPr>
      </w:pPr>
    </w:p>
    <w:tbl>
      <w:tblPr>
        <w:tblW w:w="0" w:type="auto"/>
        <w:jc w:val="center"/>
        <w:tblLayout w:type="fixed"/>
        <w:tblCellMar>
          <w:left w:w="153" w:type="dxa"/>
          <w:right w:w="153" w:type="dxa"/>
        </w:tblCellMar>
        <w:tblLook w:val="0000" w:firstRow="0" w:lastRow="0" w:firstColumn="0" w:lastColumn="0" w:noHBand="0" w:noVBand="0"/>
      </w:tblPr>
      <w:tblGrid>
        <w:gridCol w:w="5314"/>
        <w:gridCol w:w="1976"/>
      </w:tblGrid>
      <w:tr w:rsidR="004F6CAE" w:rsidRPr="000754FA" w14:paraId="5B9B2934" w14:textId="77777777" w:rsidTr="00567FA0">
        <w:trPr>
          <w:jc w:val="center"/>
        </w:trPr>
        <w:tc>
          <w:tcPr>
            <w:tcW w:w="5314" w:type="dxa"/>
            <w:tcBorders>
              <w:bottom w:val="single" w:sz="24" w:space="0" w:color="3FB44F"/>
            </w:tcBorders>
            <w:shd w:val="clear" w:color="auto" w:fill="1E4959"/>
          </w:tcPr>
          <w:p w14:paraId="67CC3109" w14:textId="77777777" w:rsidR="004F6CAE" w:rsidRPr="000754FA" w:rsidRDefault="004F6CAE" w:rsidP="00567FA0">
            <w:pPr>
              <w:widowControl w:val="0"/>
              <w:tabs>
                <w:tab w:val="left" w:pos="0"/>
                <w:tab w:val="left" w:pos="259"/>
                <w:tab w:val="left" w:pos="518"/>
              </w:tabs>
              <w:spacing w:line="273" w:lineRule="exact"/>
              <w:rPr>
                <w:rFonts w:cs="Arial"/>
                <w:szCs w:val="22"/>
              </w:rPr>
            </w:pPr>
          </w:p>
        </w:tc>
        <w:tc>
          <w:tcPr>
            <w:tcW w:w="1976" w:type="dxa"/>
            <w:tcBorders>
              <w:bottom w:val="single" w:sz="24" w:space="0" w:color="3FB44F"/>
            </w:tcBorders>
            <w:shd w:val="clear" w:color="auto" w:fill="1E4959"/>
          </w:tcPr>
          <w:p w14:paraId="1F820F8C" w14:textId="77777777" w:rsidR="004F6CAE" w:rsidRPr="000754FA" w:rsidRDefault="004F6CAE" w:rsidP="00567FA0">
            <w:pPr>
              <w:widowControl w:val="0"/>
              <w:tabs>
                <w:tab w:val="left" w:pos="0"/>
                <w:tab w:val="left" w:pos="259"/>
                <w:tab w:val="left" w:pos="518"/>
              </w:tabs>
              <w:spacing w:line="273" w:lineRule="exact"/>
              <w:jc w:val="right"/>
              <w:rPr>
                <w:rFonts w:cs="Arial"/>
                <w:szCs w:val="22"/>
              </w:rPr>
            </w:pPr>
          </w:p>
        </w:tc>
      </w:tr>
      <w:tr w:rsidR="004F6CAE" w:rsidRPr="00176843" w14:paraId="721C75A7" w14:textId="77777777" w:rsidTr="00567FA0">
        <w:trPr>
          <w:jc w:val="center"/>
        </w:trPr>
        <w:tc>
          <w:tcPr>
            <w:tcW w:w="5314" w:type="dxa"/>
            <w:tcBorders>
              <w:top w:val="single" w:sz="24" w:space="0" w:color="3FB44F"/>
              <w:bottom w:val="double" w:sz="6" w:space="0" w:color="auto"/>
              <w:right w:val="single" w:sz="6" w:space="0" w:color="auto"/>
            </w:tcBorders>
          </w:tcPr>
          <w:p w14:paraId="6A888455" w14:textId="77777777" w:rsidR="004F6CAE" w:rsidRPr="000754FA" w:rsidRDefault="004F6CAE" w:rsidP="00567FA0">
            <w:pPr>
              <w:widowControl w:val="0"/>
              <w:tabs>
                <w:tab w:val="left" w:pos="0"/>
                <w:tab w:val="left" w:pos="259"/>
                <w:tab w:val="left" w:pos="518"/>
              </w:tabs>
              <w:spacing w:before="120"/>
              <w:jc w:val="left"/>
              <w:rPr>
                <w:rFonts w:cs="Arial"/>
                <w:b/>
                <w:szCs w:val="22"/>
              </w:rPr>
            </w:pPr>
            <w:r w:rsidRPr="000754FA">
              <w:rPr>
                <w:rFonts w:cs="Arial"/>
                <w:b/>
                <w:szCs w:val="22"/>
              </w:rPr>
              <w:t xml:space="preserve">Concluded Market Value Via the </w:t>
            </w:r>
          </w:p>
          <w:p w14:paraId="1249A5EC" w14:textId="77777777" w:rsidR="004F6CAE" w:rsidRPr="000754FA" w:rsidRDefault="004F6CAE" w:rsidP="00567FA0">
            <w:pPr>
              <w:widowControl w:val="0"/>
              <w:tabs>
                <w:tab w:val="left" w:pos="0"/>
                <w:tab w:val="left" w:pos="259"/>
                <w:tab w:val="left" w:pos="518"/>
              </w:tabs>
              <w:spacing w:after="58"/>
              <w:jc w:val="left"/>
              <w:rPr>
                <w:rFonts w:cs="Arial"/>
                <w:b/>
                <w:szCs w:val="22"/>
              </w:rPr>
            </w:pPr>
            <w:r w:rsidRPr="000754FA">
              <w:rPr>
                <w:rFonts w:cs="Arial"/>
                <w:b/>
                <w:szCs w:val="22"/>
              </w:rPr>
              <w:t>Income Capitalization Approach:</w:t>
            </w:r>
          </w:p>
        </w:tc>
        <w:tc>
          <w:tcPr>
            <w:tcW w:w="1976" w:type="dxa"/>
            <w:tcBorders>
              <w:top w:val="single" w:sz="24" w:space="0" w:color="3FB44F"/>
              <w:left w:val="nil"/>
              <w:bottom w:val="double" w:sz="6" w:space="0" w:color="auto"/>
            </w:tcBorders>
          </w:tcPr>
          <w:p w14:paraId="2E6EF792" w14:textId="140CF2DC" w:rsidR="004F6CAE" w:rsidRPr="004F6CAE" w:rsidRDefault="004F6CAE" w:rsidP="00567FA0">
            <w:pPr>
              <w:widowControl w:val="0"/>
              <w:tabs>
                <w:tab w:val="left" w:pos="0"/>
                <w:tab w:val="left" w:pos="259"/>
                <w:tab w:val="left" w:pos="518"/>
              </w:tabs>
              <w:spacing w:before="120" w:after="58" w:line="400" w:lineRule="exact"/>
              <w:jc w:val="center"/>
              <w:rPr>
                <w:rFonts w:cs="Arial"/>
                <w:b/>
                <w:szCs w:val="22"/>
                <w:highlight w:val="yellow"/>
              </w:rPr>
            </w:pPr>
            <w:r w:rsidRPr="004F6CAE">
              <w:rPr>
                <w:rFonts w:cs="Arial"/>
                <w:b/>
                <w:szCs w:val="22"/>
                <w:highlight w:val="yellow"/>
              </w:rPr>
              <w:t>$____________</w:t>
            </w:r>
          </w:p>
        </w:tc>
      </w:tr>
    </w:tbl>
    <w:p w14:paraId="48DA6ACC" w14:textId="77777777" w:rsidR="004F6CAE" w:rsidRPr="000754FA" w:rsidRDefault="004F6CAE" w:rsidP="004F6CAE">
      <w:pPr>
        <w:pStyle w:val="Style1"/>
        <w:tabs>
          <w:tab w:val="clear" w:pos="4680"/>
        </w:tabs>
        <w:rPr>
          <w:rFonts w:cs="Arial"/>
          <w:kern w:val="20"/>
          <w:szCs w:val="22"/>
        </w:rPr>
      </w:pPr>
    </w:p>
    <w:p w14:paraId="233200F2" w14:textId="5A15D73D" w:rsidR="004F6CAE" w:rsidRDefault="004F6CAE" w:rsidP="004F6CAE">
      <w:pPr>
        <w:widowControl w:val="0"/>
        <w:rPr>
          <w:rFonts w:cs="Arial"/>
          <w:szCs w:val="22"/>
        </w:rPr>
      </w:pPr>
      <w:r w:rsidRPr="000754FA">
        <w:rPr>
          <w:rFonts w:cs="Arial"/>
          <w:szCs w:val="22"/>
        </w:rPr>
        <w:t>Our analysis of the subject property via the Income Capitalization Approach is presented on the following page.</w:t>
      </w:r>
    </w:p>
    <w:p w14:paraId="5F4156FE" w14:textId="77777777" w:rsidR="00AD5850" w:rsidRPr="000754FA" w:rsidRDefault="00AD5850" w:rsidP="00AD5850">
      <w:pPr>
        <w:rPr>
          <w:rFonts w:cs="Arial"/>
          <w:szCs w:val="22"/>
        </w:rPr>
        <w:sectPr w:rsidR="00AD5850" w:rsidRPr="000754FA" w:rsidSect="00AD7FDD">
          <w:headerReference w:type="default" r:id="rId20"/>
          <w:footerReference w:type="default" r:id="rId21"/>
          <w:pgSz w:w="12240" w:h="15840"/>
          <w:pgMar w:top="1440" w:right="1440" w:bottom="1440" w:left="1440" w:header="720" w:footer="720" w:gutter="0"/>
          <w:cols w:space="720"/>
          <w:noEndnote/>
          <w:docGrid w:linePitch="286"/>
        </w:sectPr>
      </w:pPr>
    </w:p>
    <w:p w14:paraId="68B34662" w14:textId="5D048A8A" w:rsidR="00AD5850" w:rsidRDefault="00204402" w:rsidP="00F62920">
      <w:pPr>
        <w:ind w:left="-720"/>
        <w:jc w:val="center"/>
        <w:sectPr w:rsidR="00AD5850" w:rsidSect="00F62920">
          <w:pgSz w:w="12240" w:h="15840"/>
          <w:pgMar w:top="1440" w:right="1440" w:bottom="720" w:left="1440" w:header="720" w:footer="720" w:gutter="0"/>
          <w:cols w:space="720"/>
          <w:vAlign w:val="center"/>
          <w:docGrid w:linePitch="360"/>
        </w:sectPr>
      </w:pPr>
      <w:r w:rsidRPr="00204402">
        <w:rPr>
          <w:noProof/>
        </w:rPr>
        <w:lastRenderedPageBreak/>
        <w:drawing>
          <wp:inline distT="0" distB="0" distL="0" distR="0" wp14:anchorId="0DD5DCF4" wp14:editId="303F35C4">
            <wp:extent cx="6651260" cy="5699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55262" cy="5703189"/>
                    </a:xfrm>
                    <a:prstGeom prst="rect">
                      <a:avLst/>
                    </a:prstGeom>
                    <a:noFill/>
                    <a:ln>
                      <a:noFill/>
                    </a:ln>
                  </pic:spPr>
                </pic:pic>
              </a:graphicData>
            </a:graphic>
          </wp:inline>
        </w:drawing>
      </w:r>
      <w:r w:rsidR="00AD5850" w:rsidRPr="00117877">
        <w:t xml:space="preserve"> </w:t>
      </w:r>
      <w:r w:rsidR="00AD5850" w:rsidRPr="00FA7551">
        <w:t xml:space="preserve">  </w:t>
      </w:r>
      <w:r w:rsidR="00AD5850" w:rsidRPr="002278EA">
        <w:t xml:space="preserve"> </w:t>
      </w:r>
      <w:r w:rsidR="00AD5850" w:rsidRPr="00626392">
        <w:t xml:space="preserve">  </w:t>
      </w:r>
      <w:r w:rsidR="00AD5850" w:rsidRPr="00C20443">
        <w:rPr>
          <w:noProof/>
        </w:rPr>
        <w:t xml:space="preserve">  </w:t>
      </w:r>
    </w:p>
    <w:p w14:paraId="18C3D59D" w14:textId="77777777" w:rsidR="00DA4B42" w:rsidRDefault="00DA4B42" w:rsidP="00AD5850">
      <w:pPr>
        <w:widowControl w:val="0"/>
        <w:spacing w:after="120"/>
      </w:pPr>
    </w:p>
    <w:sectPr w:rsidR="00DA4B42" w:rsidSect="00BC65DD">
      <w:headerReference w:type="default" r:id="rId23"/>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E0C039" w14:textId="77777777" w:rsidR="0014375F" w:rsidRDefault="0014375F">
      <w:r>
        <w:separator/>
      </w:r>
    </w:p>
  </w:endnote>
  <w:endnote w:type="continuationSeparator" w:id="0">
    <w:p w14:paraId="177DA87F" w14:textId="77777777" w:rsidR="0014375F" w:rsidRDefault="00143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298C6" w14:textId="302FD603" w:rsidR="007F6649" w:rsidRDefault="007F6649" w:rsidP="007F6649">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DC5B47">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VALUATION | </w:t>
    </w:r>
    <w:r w:rsidRPr="00C05EC4">
      <w:rPr>
        <w:rFonts w:cs="Segoe UI"/>
        <w:bCs/>
        <w:iCs/>
        <w:kern w:val="0"/>
        <w:sz w:val="20"/>
        <w:szCs w:val="18"/>
      </w:rPr>
      <w:t>${reportname}</w:t>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1</w:t>
    </w:r>
    <w:r>
      <w:rPr>
        <w:rFonts w:cs="Segoe UI"/>
        <w:bCs/>
        <w:iCs/>
        <w:kern w:val="0"/>
        <w:sz w:val="20"/>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27782" w14:textId="7F95E495" w:rsidR="00ED17DC" w:rsidRDefault="00ED17DC" w:rsidP="007F6649">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DC5B47">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VALUATION | </w:t>
    </w:r>
    <w:r w:rsidRPr="00C05EC4">
      <w:rPr>
        <w:rFonts w:cs="Segoe UI"/>
        <w:bCs/>
        <w:iCs/>
        <w:kern w:val="0"/>
        <w:sz w:val="20"/>
        <w:szCs w:val="18"/>
      </w:rPr>
      <w:t>${reportname}</w:t>
    </w:r>
    <w:r>
      <w:rPr>
        <w:rFonts w:cs="Segoe UI"/>
        <w:bCs/>
        <w:iCs/>
        <w:kern w:val="0"/>
        <w:sz w:val="20"/>
        <w:szCs w:val="18"/>
      </w:rPr>
      <w:tab/>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1</w:t>
    </w:r>
    <w:r>
      <w:rPr>
        <w:rFonts w:cs="Segoe UI"/>
        <w:bCs/>
        <w:iCs/>
        <w:kern w:val="0"/>
        <w:sz w:val="20"/>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BC95C9" w14:textId="28CF2F9F" w:rsidR="00ED17DC" w:rsidRDefault="00ED17DC" w:rsidP="007F6649">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DC5B47">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VALUATION | </w:t>
    </w:r>
    <w:r w:rsidRPr="00C05EC4">
      <w:rPr>
        <w:rFonts w:cs="Segoe UI"/>
        <w:bCs/>
        <w:iCs/>
        <w:kern w:val="0"/>
        <w:sz w:val="20"/>
        <w:szCs w:val="18"/>
      </w:rPr>
      <w:t>${reportname}</w:t>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1</w:t>
    </w:r>
    <w:r>
      <w:rPr>
        <w:rFonts w:cs="Segoe UI"/>
        <w:bCs/>
        <w:iCs/>
        <w:kern w:val="0"/>
        <w:sz w:val="20"/>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4FA7A" w14:textId="56CA24C2" w:rsidR="00AD5850" w:rsidRDefault="00AD5850" w:rsidP="007F6649">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DC5B47">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VALUATION | </w:t>
    </w:r>
    <w:r w:rsidRPr="00C05EC4">
      <w:rPr>
        <w:rFonts w:cs="Segoe UI"/>
        <w:bCs/>
        <w:iCs/>
        <w:kern w:val="0"/>
        <w:sz w:val="20"/>
        <w:szCs w:val="18"/>
      </w:rPr>
      <w:t>${reportname}</w:t>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1</w:t>
    </w:r>
    <w:r>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32321A" w14:textId="77777777" w:rsidR="0014375F" w:rsidRDefault="0014375F">
      <w:r>
        <w:separator/>
      </w:r>
    </w:p>
  </w:footnote>
  <w:footnote w:type="continuationSeparator" w:id="0">
    <w:p w14:paraId="6D174701" w14:textId="77777777" w:rsidR="0014375F" w:rsidRDefault="001437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4466"/>
    </w:tblGrid>
    <w:tr w:rsidR="00462D82" w:rsidRPr="006C283F" w14:paraId="76A4237B" w14:textId="77777777" w:rsidTr="00CA3661">
      <w:trPr>
        <w:trHeight w:val="800"/>
      </w:trPr>
      <w:tc>
        <w:tcPr>
          <w:tcW w:w="5124" w:type="dxa"/>
        </w:tcPr>
        <w:p w14:paraId="2E8A0E2D" w14:textId="77777777" w:rsidR="00462D82" w:rsidRDefault="008A1229" w:rsidP="00492705">
          <w:pPr>
            <w:pStyle w:val="ValbridgeHeader"/>
            <w:spacing w:line="240" w:lineRule="auto"/>
            <w:jc w:val="left"/>
          </w:pPr>
          <w:r w:rsidRPr="006C283F">
            <w:rPr>
              <w:noProof/>
            </w:rPr>
            <w:drawing>
              <wp:inline distT="0" distB="0" distL="0" distR="0" wp14:anchorId="613C66B4" wp14:editId="653CF349">
                <wp:extent cx="2231136" cy="493776"/>
                <wp:effectExtent l="0" t="0" r="0" b="190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4" w:type="dxa"/>
          <w:vAlign w:val="center"/>
        </w:tcPr>
        <w:p w14:paraId="408CCF7D" w14:textId="77777777" w:rsidR="00BC65DD" w:rsidRPr="000E23F3" w:rsidRDefault="00BC65DD" w:rsidP="00BC65DD">
          <w:pPr>
            <w:pStyle w:val="ValbridgeHeader"/>
            <w:spacing w:before="120" w:line="240" w:lineRule="auto"/>
            <w:rPr>
              <w:rFonts w:asciiTheme="minorHAnsi" w:hAnsiTheme="minorHAnsi"/>
              <w:noProof/>
              <w:color w:val="auto"/>
              <w:sz w:val="20"/>
            </w:rPr>
          </w:pPr>
          <w:r w:rsidRPr="00C05EC4">
            <w:rPr>
              <w:rFonts w:asciiTheme="minorHAnsi" w:hAnsiTheme="minorHAnsi"/>
              <w:noProof/>
              <w:color w:val="auto"/>
              <w:sz w:val="20"/>
            </w:rPr>
            <w:t>${cappropname}</w:t>
          </w:r>
        </w:p>
        <w:p w14:paraId="41FBDEEE" w14:textId="77777777" w:rsidR="00462D82" w:rsidRPr="00883365" w:rsidRDefault="008A1229" w:rsidP="00F703BB">
          <w:pPr>
            <w:pStyle w:val="ValbridgeHeader"/>
            <w:spacing w:line="240" w:lineRule="auto"/>
            <w:rPr>
              <w:rFonts w:ascii="Arial Narrow" w:hAnsi="Arial Narrow" w:cs="Arial"/>
            </w:rPr>
          </w:pPr>
          <w:r w:rsidRPr="00F01ADE">
            <w:rPr>
              <w:rFonts w:asciiTheme="minorHAnsi" w:hAnsiTheme="minorHAnsi"/>
              <w:color w:val="auto"/>
              <w:sz w:val="20"/>
            </w:rPr>
            <w:t>INCOME CAPITALIZATION APPROACH</w:t>
          </w:r>
        </w:p>
      </w:tc>
    </w:tr>
  </w:tbl>
  <w:p w14:paraId="11F214E1" w14:textId="77777777" w:rsidR="00462D82" w:rsidRPr="007F6649" w:rsidRDefault="0014375F" w:rsidP="00FE229A">
    <w:pPr>
      <w:pStyle w:val="ValbridgeHeader"/>
      <w:tabs>
        <w:tab w:val="left" w:pos="2235"/>
        <w:tab w:val="right" w:pos="9360"/>
      </w:tabs>
      <w:jc w:val="left"/>
      <w:rPr>
        <w:rFonts w:asciiTheme="minorHAnsi" w:hAnsiTheme="minorHAnsi"/>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4382"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4"/>
      <w:gridCol w:w="9258"/>
    </w:tblGrid>
    <w:tr w:rsidR="00ED17DC" w:rsidRPr="006C283F" w14:paraId="47A6C064" w14:textId="77777777" w:rsidTr="00ED17DC">
      <w:trPr>
        <w:trHeight w:val="800"/>
      </w:trPr>
      <w:tc>
        <w:tcPr>
          <w:tcW w:w="5124" w:type="dxa"/>
        </w:tcPr>
        <w:p w14:paraId="1C75515C" w14:textId="77777777" w:rsidR="00ED17DC" w:rsidRDefault="00ED17DC" w:rsidP="00492705">
          <w:pPr>
            <w:pStyle w:val="ValbridgeHeader"/>
            <w:spacing w:line="240" w:lineRule="auto"/>
            <w:jc w:val="left"/>
          </w:pPr>
          <w:r w:rsidRPr="006C283F">
            <w:rPr>
              <w:noProof/>
            </w:rPr>
            <w:drawing>
              <wp:inline distT="0" distB="0" distL="0" distR="0" wp14:anchorId="35D427F2" wp14:editId="270D4635">
                <wp:extent cx="2231136" cy="493776"/>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9258" w:type="dxa"/>
          <w:vAlign w:val="center"/>
        </w:tcPr>
        <w:p w14:paraId="5BBEFE80" w14:textId="77777777" w:rsidR="00ED17DC" w:rsidRPr="000E23F3" w:rsidRDefault="00ED17DC" w:rsidP="00BC65DD">
          <w:pPr>
            <w:pStyle w:val="ValbridgeHeader"/>
            <w:spacing w:before="120" w:line="240" w:lineRule="auto"/>
            <w:rPr>
              <w:rFonts w:asciiTheme="minorHAnsi" w:hAnsiTheme="minorHAnsi"/>
              <w:noProof/>
              <w:color w:val="auto"/>
              <w:sz w:val="20"/>
            </w:rPr>
          </w:pPr>
          <w:r w:rsidRPr="00C05EC4">
            <w:rPr>
              <w:rFonts w:asciiTheme="minorHAnsi" w:hAnsiTheme="minorHAnsi"/>
              <w:noProof/>
              <w:color w:val="auto"/>
              <w:sz w:val="20"/>
            </w:rPr>
            <w:t>${cappropname}</w:t>
          </w:r>
        </w:p>
        <w:p w14:paraId="49366AA9" w14:textId="77777777" w:rsidR="00ED17DC" w:rsidRPr="00883365" w:rsidRDefault="00ED17DC" w:rsidP="00F703BB">
          <w:pPr>
            <w:pStyle w:val="ValbridgeHeader"/>
            <w:spacing w:line="240" w:lineRule="auto"/>
            <w:rPr>
              <w:rFonts w:ascii="Arial Narrow" w:hAnsi="Arial Narrow" w:cs="Arial"/>
            </w:rPr>
          </w:pPr>
          <w:r w:rsidRPr="00F01ADE">
            <w:rPr>
              <w:rFonts w:asciiTheme="minorHAnsi" w:hAnsiTheme="minorHAnsi"/>
              <w:color w:val="auto"/>
              <w:sz w:val="20"/>
            </w:rPr>
            <w:t>INCOME CAPITALIZATION APPROACH</w:t>
          </w:r>
        </w:p>
      </w:tc>
    </w:tr>
  </w:tbl>
  <w:p w14:paraId="632FA4DA" w14:textId="77777777" w:rsidR="00ED17DC" w:rsidRPr="007F6649" w:rsidRDefault="00ED17DC" w:rsidP="00FE229A">
    <w:pPr>
      <w:pStyle w:val="ValbridgeHeader"/>
      <w:tabs>
        <w:tab w:val="left" w:pos="2235"/>
        <w:tab w:val="right" w:pos="9360"/>
      </w:tabs>
      <w:jc w:val="left"/>
      <w:rPr>
        <w:rFonts w:asciiTheme="minorHAnsi" w:hAnsiTheme="minorHAnsi"/>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4466"/>
    </w:tblGrid>
    <w:tr w:rsidR="00ED17DC" w:rsidRPr="006C283F" w14:paraId="30C5B5F6" w14:textId="77777777" w:rsidTr="00CA3661">
      <w:trPr>
        <w:trHeight w:val="800"/>
      </w:trPr>
      <w:tc>
        <w:tcPr>
          <w:tcW w:w="5124" w:type="dxa"/>
        </w:tcPr>
        <w:p w14:paraId="09A74AD4" w14:textId="77777777" w:rsidR="00ED17DC" w:rsidRDefault="00ED17DC" w:rsidP="00492705">
          <w:pPr>
            <w:pStyle w:val="ValbridgeHeader"/>
            <w:spacing w:line="240" w:lineRule="auto"/>
            <w:jc w:val="left"/>
          </w:pPr>
          <w:r w:rsidRPr="006C283F">
            <w:rPr>
              <w:noProof/>
            </w:rPr>
            <w:drawing>
              <wp:inline distT="0" distB="0" distL="0" distR="0" wp14:anchorId="29D6FEAE" wp14:editId="37F510A9">
                <wp:extent cx="2231136" cy="493776"/>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4" w:type="dxa"/>
          <w:vAlign w:val="center"/>
        </w:tcPr>
        <w:p w14:paraId="71EE62A8" w14:textId="77777777" w:rsidR="00ED17DC" w:rsidRPr="000E23F3" w:rsidRDefault="00ED17DC" w:rsidP="00BC65DD">
          <w:pPr>
            <w:pStyle w:val="ValbridgeHeader"/>
            <w:spacing w:before="120" w:line="240" w:lineRule="auto"/>
            <w:rPr>
              <w:rFonts w:asciiTheme="minorHAnsi" w:hAnsiTheme="minorHAnsi"/>
              <w:noProof/>
              <w:color w:val="auto"/>
              <w:sz w:val="20"/>
            </w:rPr>
          </w:pPr>
          <w:r w:rsidRPr="00C05EC4">
            <w:rPr>
              <w:rFonts w:asciiTheme="minorHAnsi" w:hAnsiTheme="minorHAnsi"/>
              <w:noProof/>
              <w:color w:val="auto"/>
              <w:sz w:val="20"/>
            </w:rPr>
            <w:t>${cappropname}</w:t>
          </w:r>
        </w:p>
        <w:p w14:paraId="614BB759" w14:textId="77777777" w:rsidR="00ED17DC" w:rsidRPr="00883365" w:rsidRDefault="00ED17DC" w:rsidP="00F703BB">
          <w:pPr>
            <w:pStyle w:val="ValbridgeHeader"/>
            <w:spacing w:line="240" w:lineRule="auto"/>
            <w:rPr>
              <w:rFonts w:ascii="Arial Narrow" w:hAnsi="Arial Narrow" w:cs="Arial"/>
            </w:rPr>
          </w:pPr>
          <w:r w:rsidRPr="00F01ADE">
            <w:rPr>
              <w:rFonts w:asciiTheme="minorHAnsi" w:hAnsiTheme="minorHAnsi"/>
              <w:color w:val="auto"/>
              <w:sz w:val="20"/>
            </w:rPr>
            <w:t>INCOME CAPITALIZATION APPROACH</w:t>
          </w:r>
        </w:p>
      </w:tc>
    </w:tr>
  </w:tbl>
  <w:p w14:paraId="2BE27609" w14:textId="77777777" w:rsidR="00ED17DC" w:rsidRPr="007F6649" w:rsidRDefault="00ED17DC" w:rsidP="00FE229A">
    <w:pPr>
      <w:pStyle w:val="ValbridgeHeader"/>
      <w:tabs>
        <w:tab w:val="left" w:pos="2235"/>
        <w:tab w:val="right" w:pos="9360"/>
      </w:tabs>
      <w:jc w:val="left"/>
      <w:rPr>
        <w:rFonts w:asciiTheme="minorHAnsi" w:hAnsiTheme="minorHAnsi"/>
        <w:sz w:val="22"/>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4466"/>
    </w:tblGrid>
    <w:tr w:rsidR="00AD5850" w:rsidRPr="006C283F" w14:paraId="25BCA16D" w14:textId="77777777" w:rsidTr="00CA3661">
      <w:trPr>
        <w:trHeight w:val="800"/>
      </w:trPr>
      <w:tc>
        <w:tcPr>
          <w:tcW w:w="5124" w:type="dxa"/>
        </w:tcPr>
        <w:p w14:paraId="79593E15" w14:textId="77777777" w:rsidR="00AD5850" w:rsidRDefault="00AD5850" w:rsidP="00492705">
          <w:pPr>
            <w:pStyle w:val="ValbridgeHeader"/>
            <w:spacing w:line="240" w:lineRule="auto"/>
            <w:jc w:val="left"/>
          </w:pPr>
          <w:r w:rsidRPr="006C283F">
            <w:rPr>
              <w:noProof/>
            </w:rPr>
            <w:drawing>
              <wp:inline distT="0" distB="0" distL="0" distR="0" wp14:anchorId="578C6888" wp14:editId="4093044B">
                <wp:extent cx="2231136" cy="493776"/>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4" w:type="dxa"/>
          <w:vAlign w:val="center"/>
        </w:tcPr>
        <w:p w14:paraId="6FAF9A72" w14:textId="77777777" w:rsidR="00AD5850" w:rsidRPr="000E23F3" w:rsidRDefault="00AD5850" w:rsidP="00BC65DD">
          <w:pPr>
            <w:pStyle w:val="ValbridgeHeader"/>
            <w:spacing w:before="120" w:line="240" w:lineRule="auto"/>
            <w:rPr>
              <w:rFonts w:asciiTheme="minorHAnsi" w:hAnsiTheme="minorHAnsi"/>
              <w:noProof/>
              <w:color w:val="auto"/>
              <w:sz w:val="20"/>
            </w:rPr>
          </w:pPr>
          <w:r w:rsidRPr="00C05EC4">
            <w:rPr>
              <w:rFonts w:asciiTheme="minorHAnsi" w:hAnsiTheme="minorHAnsi"/>
              <w:noProof/>
              <w:color w:val="auto"/>
              <w:sz w:val="20"/>
            </w:rPr>
            <w:t>${cappropname}</w:t>
          </w:r>
        </w:p>
        <w:p w14:paraId="3EC4FA21" w14:textId="77777777" w:rsidR="00AD5850" w:rsidRPr="00883365" w:rsidRDefault="00AD5850" w:rsidP="00F703BB">
          <w:pPr>
            <w:pStyle w:val="ValbridgeHeader"/>
            <w:spacing w:line="240" w:lineRule="auto"/>
            <w:rPr>
              <w:rFonts w:ascii="Arial Narrow" w:hAnsi="Arial Narrow" w:cs="Arial"/>
            </w:rPr>
          </w:pPr>
          <w:r w:rsidRPr="00F01ADE">
            <w:rPr>
              <w:rFonts w:asciiTheme="minorHAnsi" w:hAnsiTheme="minorHAnsi"/>
              <w:color w:val="auto"/>
              <w:sz w:val="20"/>
            </w:rPr>
            <w:t>INCOME CAPITALIZATION APPROACH</w:t>
          </w:r>
        </w:p>
      </w:tc>
    </w:tr>
  </w:tbl>
  <w:p w14:paraId="5089997B" w14:textId="77777777" w:rsidR="00AD5850" w:rsidRPr="007F6649" w:rsidRDefault="00AD5850" w:rsidP="00FE229A">
    <w:pPr>
      <w:pStyle w:val="ValbridgeHeader"/>
      <w:tabs>
        <w:tab w:val="left" w:pos="2235"/>
        <w:tab w:val="right" w:pos="9360"/>
      </w:tabs>
      <w:jc w:val="left"/>
      <w:rPr>
        <w:rFonts w:asciiTheme="minorHAnsi" w:hAnsiTheme="minorHAnsi"/>
        <w:sz w:val="22"/>
        <w:szCs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4466"/>
    </w:tblGrid>
    <w:tr w:rsidR="00AD5850" w:rsidRPr="006C283F" w14:paraId="28358147" w14:textId="77777777" w:rsidTr="00567FA0">
      <w:trPr>
        <w:trHeight w:val="800"/>
      </w:trPr>
      <w:tc>
        <w:tcPr>
          <w:tcW w:w="5124" w:type="dxa"/>
        </w:tcPr>
        <w:p w14:paraId="0166A7D1" w14:textId="77777777" w:rsidR="00AD5850" w:rsidRDefault="00AD5850" w:rsidP="00AD5850">
          <w:pPr>
            <w:pStyle w:val="ValbridgeHeader"/>
            <w:spacing w:line="240" w:lineRule="auto"/>
            <w:jc w:val="left"/>
          </w:pPr>
          <w:r w:rsidRPr="006C283F">
            <w:rPr>
              <w:noProof/>
            </w:rPr>
            <w:drawing>
              <wp:inline distT="0" distB="0" distL="0" distR="0" wp14:anchorId="27AD4641" wp14:editId="3D6CEDB3">
                <wp:extent cx="2231136" cy="493776"/>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4" w:type="dxa"/>
          <w:vAlign w:val="center"/>
        </w:tcPr>
        <w:p w14:paraId="5A40B7E5" w14:textId="77777777" w:rsidR="00AD5850" w:rsidRPr="000E23F3" w:rsidRDefault="00AD5850" w:rsidP="00AD5850">
          <w:pPr>
            <w:pStyle w:val="ValbridgeHeader"/>
            <w:spacing w:before="120" w:line="240" w:lineRule="auto"/>
            <w:rPr>
              <w:rFonts w:asciiTheme="minorHAnsi" w:hAnsiTheme="minorHAnsi"/>
              <w:noProof/>
              <w:color w:val="auto"/>
              <w:sz w:val="20"/>
            </w:rPr>
          </w:pPr>
          <w:r w:rsidRPr="00C05EC4">
            <w:rPr>
              <w:rFonts w:asciiTheme="minorHAnsi" w:hAnsiTheme="minorHAnsi"/>
              <w:noProof/>
              <w:color w:val="auto"/>
              <w:sz w:val="20"/>
            </w:rPr>
            <w:t>${cappropname}</w:t>
          </w:r>
        </w:p>
        <w:p w14:paraId="7FDBA428" w14:textId="77777777" w:rsidR="00AD5850" w:rsidRPr="00883365" w:rsidRDefault="00AD5850" w:rsidP="00AD5850">
          <w:pPr>
            <w:pStyle w:val="ValbridgeHeader"/>
            <w:spacing w:line="240" w:lineRule="auto"/>
            <w:rPr>
              <w:rFonts w:ascii="Arial Narrow" w:hAnsi="Arial Narrow" w:cs="Arial"/>
            </w:rPr>
          </w:pPr>
          <w:r w:rsidRPr="00F01ADE">
            <w:rPr>
              <w:rFonts w:asciiTheme="minorHAnsi" w:hAnsiTheme="minorHAnsi"/>
              <w:color w:val="auto"/>
              <w:sz w:val="20"/>
            </w:rPr>
            <w:t>INCOME CAPITALIZATION APPROACH</w:t>
          </w:r>
        </w:p>
      </w:tc>
    </w:tr>
  </w:tbl>
  <w:p w14:paraId="7E460D01" w14:textId="77777777" w:rsidR="00AD5850" w:rsidRPr="00AD5850" w:rsidRDefault="00AD5850" w:rsidP="00AD58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4B3"/>
    <w:rsid w:val="00000F2B"/>
    <w:rsid w:val="000676E8"/>
    <w:rsid w:val="000A6C77"/>
    <w:rsid w:val="000B0C0A"/>
    <w:rsid w:val="000B5457"/>
    <w:rsid w:val="000C5EA0"/>
    <w:rsid w:val="000D07B4"/>
    <w:rsid w:val="000F1300"/>
    <w:rsid w:val="00137C1E"/>
    <w:rsid w:val="0014375F"/>
    <w:rsid w:val="00157A57"/>
    <w:rsid w:val="001F5F7E"/>
    <w:rsid w:val="00204402"/>
    <w:rsid w:val="002059C3"/>
    <w:rsid w:val="0025432C"/>
    <w:rsid w:val="002B3B73"/>
    <w:rsid w:val="003607D1"/>
    <w:rsid w:val="003969EC"/>
    <w:rsid w:val="003B01A8"/>
    <w:rsid w:val="003F19B9"/>
    <w:rsid w:val="00447014"/>
    <w:rsid w:val="004551C4"/>
    <w:rsid w:val="004850BB"/>
    <w:rsid w:val="004F04F1"/>
    <w:rsid w:val="004F6CAE"/>
    <w:rsid w:val="00585A7C"/>
    <w:rsid w:val="005A24B3"/>
    <w:rsid w:val="005C3E37"/>
    <w:rsid w:val="00600D1B"/>
    <w:rsid w:val="00645D69"/>
    <w:rsid w:val="006511AF"/>
    <w:rsid w:val="006A3211"/>
    <w:rsid w:val="007471E1"/>
    <w:rsid w:val="00751513"/>
    <w:rsid w:val="007551F1"/>
    <w:rsid w:val="00766FBA"/>
    <w:rsid w:val="007A0E94"/>
    <w:rsid w:val="007E5F8E"/>
    <w:rsid w:val="007F6649"/>
    <w:rsid w:val="00804817"/>
    <w:rsid w:val="00874B1A"/>
    <w:rsid w:val="008A1229"/>
    <w:rsid w:val="008D26BD"/>
    <w:rsid w:val="009151FB"/>
    <w:rsid w:val="00920724"/>
    <w:rsid w:val="0093460F"/>
    <w:rsid w:val="009B7856"/>
    <w:rsid w:val="00A259B6"/>
    <w:rsid w:val="00A52416"/>
    <w:rsid w:val="00A9480D"/>
    <w:rsid w:val="00AD5850"/>
    <w:rsid w:val="00B35CD4"/>
    <w:rsid w:val="00B46DD4"/>
    <w:rsid w:val="00B60040"/>
    <w:rsid w:val="00B651F9"/>
    <w:rsid w:val="00BC65DD"/>
    <w:rsid w:val="00BF6DA8"/>
    <w:rsid w:val="00C05EC4"/>
    <w:rsid w:val="00C52C41"/>
    <w:rsid w:val="00C655DD"/>
    <w:rsid w:val="00D13A0F"/>
    <w:rsid w:val="00D228C5"/>
    <w:rsid w:val="00D54776"/>
    <w:rsid w:val="00D67289"/>
    <w:rsid w:val="00DA4B42"/>
    <w:rsid w:val="00DC4CAF"/>
    <w:rsid w:val="00DC5B47"/>
    <w:rsid w:val="00DD49B1"/>
    <w:rsid w:val="00E07120"/>
    <w:rsid w:val="00E07D0C"/>
    <w:rsid w:val="00E14FDB"/>
    <w:rsid w:val="00E26156"/>
    <w:rsid w:val="00E5122E"/>
    <w:rsid w:val="00ED04D3"/>
    <w:rsid w:val="00ED17DC"/>
    <w:rsid w:val="00EF60EE"/>
    <w:rsid w:val="00F62920"/>
    <w:rsid w:val="00F823F7"/>
    <w:rsid w:val="00F87E65"/>
    <w:rsid w:val="00FB0A80"/>
    <w:rsid w:val="00FB0D25"/>
    <w:rsid w:val="00FB3439"/>
    <w:rsid w:val="00FD6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CFB24"/>
  <w15:chartTrackingRefBased/>
  <w15:docId w15:val="{91D027CB-9A0D-43F1-89DE-41B171937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4B3"/>
    <w:pPr>
      <w:spacing w:after="0" w:line="240" w:lineRule="auto"/>
      <w:jc w:val="both"/>
    </w:pPr>
    <w:rPr>
      <w:rFonts w:eastAsia="Times New Roman" w:cs="Times New Roman"/>
      <w:kern w:val="20"/>
      <w:szCs w:val="24"/>
    </w:rPr>
  </w:style>
  <w:style w:type="paragraph" w:styleId="Heading2">
    <w:name w:val="heading 2"/>
    <w:basedOn w:val="Normal"/>
    <w:next w:val="Normal"/>
    <w:link w:val="Heading2Char"/>
    <w:uiPriority w:val="9"/>
    <w:semiHidden/>
    <w:unhideWhenUsed/>
    <w:qFormat/>
    <w:rsid w:val="005A24B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5A24B3"/>
    <w:pPr>
      <w:widowControl w:val="0"/>
      <w:tabs>
        <w:tab w:val="center" w:pos="4680"/>
      </w:tabs>
    </w:pPr>
    <w:rPr>
      <w:kern w:val="24"/>
    </w:rPr>
  </w:style>
  <w:style w:type="paragraph" w:styleId="Footer">
    <w:name w:val="footer"/>
    <w:basedOn w:val="Normal"/>
    <w:link w:val="FooterChar"/>
    <w:qFormat/>
    <w:rsid w:val="005A24B3"/>
    <w:pPr>
      <w:tabs>
        <w:tab w:val="center" w:pos="4320"/>
        <w:tab w:val="right" w:pos="8640"/>
      </w:tabs>
    </w:pPr>
    <w:rPr>
      <w:kern w:val="24"/>
    </w:rPr>
  </w:style>
  <w:style w:type="character" w:customStyle="1" w:styleId="FooterChar">
    <w:name w:val="Footer Char"/>
    <w:basedOn w:val="DefaultParagraphFont"/>
    <w:link w:val="Footer"/>
    <w:rsid w:val="005A24B3"/>
    <w:rPr>
      <w:rFonts w:eastAsia="Times New Roman" w:cs="Times New Roman"/>
      <w:kern w:val="24"/>
      <w:szCs w:val="24"/>
    </w:rPr>
  </w:style>
  <w:style w:type="table" w:styleId="TableGrid">
    <w:name w:val="Table Grid"/>
    <w:basedOn w:val="TableNormal"/>
    <w:uiPriority w:val="39"/>
    <w:rsid w:val="005A24B3"/>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PlainTextArial">
    <w:name w:val="Style Plain Text + Arial"/>
    <w:basedOn w:val="PlainText"/>
    <w:rsid w:val="005A24B3"/>
    <w:rPr>
      <w:rFonts w:ascii="Arial" w:hAnsi="Arial" w:cs="Courier New"/>
      <w:sz w:val="16"/>
      <w:szCs w:val="24"/>
    </w:rPr>
  </w:style>
  <w:style w:type="paragraph" w:customStyle="1" w:styleId="ValbridgeHeader">
    <w:name w:val="ValbridgeHeader"/>
    <w:basedOn w:val="Normal"/>
    <w:link w:val="ValbridgeHeaderChar"/>
    <w:qFormat/>
    <w:rsid w:val="005A24B3"/>
    <w:pPr>
      <w:spacing w:line="220" w:lineRule="exact"/>
      <w:jc w:val="right"/>
    </w:pPr>
    <w:rPr>
      <w:rFonts w:ascii="Segoe UI Light" w:hAnsi="Segoe UI Light" w:cs="Segoe UI"/>
      <w:bCs/>
      <w:iCs/>
      <w:color w:val="000000"/>
      <w:kern w:val="0"/>
      <w:sz w:val="18"/>
      <w:szCs w:val="18"/>
    </w:rPr>
  </w:style>
  <w:style w:type="character" w:customStyle="1" w:styleId="ValbridgeHeaderChar">
    <w:name w:val="ValbridgeHeader Char"/>
    <w:link w:val="ValbridgeHeader"/>
    <w:rsid w:val="005A24B3"/>
    <w:rPr>
      <w:rFonts w:ascii="Segoe UI Light" w:eastAsia="Times New Roman" w:hAnsi="Segoe UI Light" w:cs="Segoe UI"/>
      <w:bCs/>
      <w:iCs/>
      <w:color w:val="000000"/>
      <w:sz w:val="18"/>
      <w:szCs w:val="18"/>
    </w:rPr>
  </w:style>
  <w:style w:type="paragraph" w:customStyle="1" w:styleId="AddendaHeading">
    <w:name w:val="Addenda Heading"/>
    <w:basedOn w:val="Normal"/>
    <w:link w:val="AddendaHeadingChar"/>
    <w:autoRedefine/>
    <w:uiPriority w:val="3"/>
    <w:qFormat/>
    <w:rsid w:val="005A24B3"/>
    <w:rPr>
      <w:rFonts w:cs="Arial"/>
      <w:b/>
      <w:bCs/>
      <w:smallCaps/>
      <w:noProof/>
      <w:sz w:val="28"/>
      <w:szCs w:val="28"/>
    </w:rPr>
  </w:style>
  <w:style w:type="character" w:customStyle="1" w:styleId="AddendaHeadingChar">
    <w:name w:val="Addenda Heading Char"/>
    <w:link w:val="AddendaHeading"/>
    <w:uiPriority w:val="3"/>
    <w:rsid w:val="005A24B3"/>
    <w:rPr>
      <w:rFonts w:eastAsia="Times New Roman" w:cs="Arial"/>
      <w:b/>
      <w:bCs/>
      <w:smallCaps/>
      <w:noProof/>
      <w:kern w:val="20"/>
      <w:sz w:val="28"/>
      <w:szCs w:val="28"/>
    </w:rPr>
  </w:style>
  <w:style w:type="paragraph" w:customStyle="1" w:styleId="Heading20">
    <w:name w:val="Heading2"/>
    <w:basedOn w:val="Heading2"/>
    <w:link w:val="Heading2Char0"/>
    <w:uiPriority w:val="1"/>
    <w:qFormat/>
    <w:rsid w:val="005A24B3"/>
    <w:pPr>
      <w:spacing w:before="260"/>
    </w:pPr>
    <w:rPr>
      <w:rFonts w:ascii="Segoe UI Light" w:eastAsia="Times New Roman" w:hAnsi="Segoe UI Light" w:cs="Times New Roman"/>
      <w:b/>
      <w:iCs/>
      <w:color w:val="1F497D"/>
      <w:spacing w:val="-2"/>
      <w:kern w:val="24"/>
    </w:rPr>
  </w:style>
  <w:style w:type="character" w:customStyle="1" w:styleId="Heading2Char0">
    <w:name w:val="Heading2 Char"/>
    <w:link w:val="Heading20"/>
    <w:uiPriority w:val="1"/>
    <w:rsid w:val="005A24B3"/>
    <w:rPr>
      <w:rFonts w:ascii="Segoe UI Light" w:eastAsia="Times New Roman" w:hAnsi="Segoe UI Light" w:cs="Times New Roman"/>
      <w:b/>
      <w:iCs/>
      <w:color w:val="1F497D"/>
      <w:spacing w:val="-2"/>
      <w:kern w:val="24"/>
      <w:sz w:val="26"/>
      <w:szCs w:val="26"/>
    </w:rPr>
  </w:style>
  <w:style w:type="paragraph" w:styleId="TOC1">
    <w:name w:val="toc 1"/>
    <w:basedOn w:val="Normal"/>
    <w:next w:val="AddendaHeading"/>
    <w:link w:val="TOC1Char"/>
    <w:autoRedefine/>
    <w:uiPriority w:val="39"/>
    <w:unhideWhenUsed/>
    <w:qFormat/>
    <w:rsid w:val="005A24B3"/>
    <w:pPr>
      <w:tabs>
        <w:tab w:val="right" w:leader="dot" w:pos="9350"/>
      </w:tabs>
      <w:spacing w:after="100"/>
      <w:ind w:left="180"/>
    </w:pPr>
    <w:rPr>
      <w:rFonts w:eastAsia="Calibri"/>
      <w:bCs/>
      <w:iCs/>
      <w:kern w:val="0"/>
      <w:szCs w:val="21"/>
    </w:rPr>
  </w:style>
  <w:style w:type="character" w:customStyle="1" w:styleId="TOC1Char">
    <w:name w:val="TOC 1 Char"/>
    <w:basedOn w:val="DefaultParagraphFont"/>
    <w:link w:val="TOC1"/>
    <w:uiPriority w:val="39"/>
    <w:rsid w:val="005A24B3"/>
    <w:rPr>
      <w:rFonts w:eastAsia="Calibri" w:cs="Times New Roman"/>
      <w:bCs/>
      <w:iCs/>
      <w:szCs w:val="21"/>
    </w:rPr>
  </w:style>
  <w:style w:type="paragraph" w:styleId="PlainText">
    <w:name w:val="Plain Text"/>
    <w:basedOn w:val="Normal"/>
    <w:link w:val="PlainTextChar"/>
    <w:uiPriority w:val="99"/>
    <w:semiHidden/>
    <w:unhideWhenUsed/>
    <w:rsid w:val="005A24B3"/>
    <w:rPr>
      <w:rFonts w:ascii="Consolas" w:hAnsi="Consolas"/>
      <w:sz w:val="21"/>
      <w:szCs w:val="21"/>
    </w:rPr>
  </w:style>
  <w:style w:type="character" w:customStyle="1" w:styleId="PlainTextChar">
    <w:name w:val="Plain Text Char"/>
    <w:basedOn w:val="DefaultParagraphFont"/>
    <w:link w:val="PlainText"/>
    <w:uiPriority w:val="99"/>
    <w:semiHidden/>
    <w:rsid w:val="005A24B3"/>
    <w:rPr>
      <w:rFonts w:ascii="Consolas" w:eastAsia="Times New Roman" w:hAnsi="Consolas" w:cs="Times New Roman"/>
      <w:kern w:val="20"/>
      <w:sz w:val="21"/>
      <w:szCs w:val="21"/>
    </w:rPr>
  </w:style>
  <w:style w:type="character" w:customStyle="1" w:styleId="Heading2Char">
    <w:name w:val="Heading 2 Char"/>
    <w:basedOn w:val="DefaultParagraphFont"/>
    <w:link w:val="Heading2"/>
    <w:uiPriority w:val="9"/>
    <w:semiHidden/>
    <w:rsid w:val="005A24B3"/>
    <w:rPr>
      <w:rFonts w:asciiTheme="majorHAnsi" w:eastAsiaTheme="majorEastAsia" w:hAnsiTheme="majorHAnsi" w:cstheme="majorBidi"/>
      <w:color w:val="2F5496" w:themeColor="accent1" w:themeShade="BF"/>
      <w:kern w:val="20"/>
      <w:sz w:val="26"/>
      <w:szCs w:val="26"/>
    </w:rPr>
  </w:style>
  <w:style w:type="paragraph" w:styleId="Header">
    <w:name w:val="header"/>
    <w:basedOn w:val="Normal"/>
    <w:link w:val="HeaderChar"/>
    <w:uiPriority w:val="99"/>
    <w:unhideWhenUsed/>
    <w:rsid w:val="00BC65DD"/>
    <w:pPr>
      <w:tabs>
        <w:tab w:val="center" w:pos="4680"/>
        <w:tab w:val="right" w:pos="9360"/>
      </w:tabs>
    </w:pPr>
  </w:style>
  <w:style w:type="character" w:customStyle="1" w:styleId="HeaderChar">
    <w:name w:val="Header Char"/>
    <w:basedOn w:val="DefaultParagraphFont"/>
    <w:link w:val="Header"/>
    <w:uiPriority w:val="99"/>
    <w:rsid w:val="00BC65DD"/>
    <w:rPr>
      <w:rFonts w:eastAsia="Times New Roman" w:cs="Times New Roman"/>
      <w:kern w:val="20"/>
      <w:szCs w:val="24"/>
    </w:rPr>
  </w:style>
  <w:style w:type="character" w:styleId="PlaceholderText">
    <w:name w:val="Placeholder Text"/>
    <w:basedOn w:val="DefaultParagraphFont"/>
    <w:uiPriority w:val="99"/>
    <w:semiHidden/>
    <w:rsid w:val="000B5457"/>
    <w:rPr>
      <w:color w:val="808080"/>
    </w:rPr>
  </w:style>
  <w:style w:type="paragraph" w:styleId="Revision">
    <w:name w:val="Revision"/>
    <w:hidden/>
    <w:uiPriority w:val="99"/>
    <w:semiHidden/>
    <w:rsid w:val="00B35CD4"/>
    <w:pPr>
      <w:spacing w:after="0" w:line="240" w:lineRule="auto"/>
    </w:pPr>
    <w:rPr>
      <w:rFonts w:eastAsia="Times New Roman" w:cs="Times New Roman"/>
      <w:kern w:val="20"/>
      <w:szCs w:val="24"/>
    </w:rPr>
  </w:style>
  <w:style w:type="character" w:styleId="CommentReference">
    <w:name w:val="annotation reference"/>
    <w:basedOn w:val="DefaultParagraphFont"/>
    <w:semiHidden/>
    <w:unhideWhenUsed/>
    <w:rsid w:val="00A52416"/>
    <w:rPr>
      <w:sz w:val="16"/>
      <w:szCs w:val="16"/>
    </w:rPr>
  </w:style>
  <w:style w:type="paragraph" w:styleId="CommentText">
    <w:name w:val="annotation text"/>
    <w:basedOn w:val="Normal"/>
    <w:link w:val="CommentTextChar"/>
    <w:semiHidden/>
    <w:unhideWhenUsed/>
    <w:rsid w:val="00A52416"/>
    <w:rPr>
      <w:sz w:val="20"/>
      <w:szCs w:val="20"/>
    </w:rPr>
  </w:style>
  <w:style w:type="character" w:customStyle="1" w:styleId="CommentTextChar">
    <w:name w:val="Comment Text Char"/>
    <w:basedOn w:val="DefaultParagraphFont"/>
    <w:link w:val="CommentText"/>
    <w:semiHidden/>
    <w:rsid w:val="00A52416"/>
    <w:rPr>
      <w:rFonts w:eastAsia="Times New Roman" w:cs="Times New Roman"/>
      <w:kern w:val="20"/>
      <w:sz w:val="20"/>
      <w:szCs w:val="20"/>
    </w:rPr>
  </w:style>
  <w:style w:type="paragraph" w:styleId="BalloonText">
    <w:name w:val="Balloon Text"/>
    <w:basedOn w:val="Normal"/>
    <w:link w:val="BalloonTextChar"/>
    <w:uiPriority w:val="99"/>
    <w:semiHidden/>
    <w:unhideWhenUsed/>
    <w:rsid w:val="00A524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2416"/>
    <w:rPr>
      <w:rFonts w:ascii="Segoe UI" w:eastAsia="Times New Roman" w:hAnsi="Segoe UI" w:cs="Segoe UI"/>
      <w:kern w:val="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420015">
      <w:bodyDiv w:val="1"/>
      <w:marLeft w:val="0"/>
      <w:marRight w:val="0"/>
      <w:marTop w:val="0"/>
      <w:marBottom w:val="0"/>
      <w:divBdr>
        <w:top w:val="none" w:sz="0" w:space="0" w:color="auto"/>
        <w:left w:val="none" w:sz="0" w:space="0" w:color="auto"/>
        <w:bottom w:val="none" w:sz="0" w:space="0" w:color="auto"/>
        <w:right w:val="none" w:sz="0" w:space="0" w:color="auto"/>
      </w:divBdr>
    </w:div>
    <w:div w:id="206544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5.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7.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3C417A41264486A9056FED7C06C3902"/>
        <w:category>
          <w:name w:val="General"/>
          <w:gallery w:val="placeholder"/>
        </w:category>
        <w:types>
          <w:type w:val="bbPlcHdr"/>
        </w:types>
        <w:behaviors>
          <w:behavior w:val="content"/>
        </w:behaviors>
        <w:guid w:val="{82823E4A-C551-4090-AC17-AE28EA37F7D8}"/>
      </w:docPartPr>
      <w:docPartBody>
        <w:p w:rsidR="00FA35C4" w:rsidRDefault="001A753D" w:rsidP="001A753D">
          <w:pPr>
            <w:pStyle w:val="63C417A41264486A9056FED7C06C3902"/>
          </w:pPr>
          <w:r w:rsidRPr="00BC2797">
            <w:rPr>
              <w:rStyle w:val="PlaceholderText"/>
            </w:rPr>
            <w:t>Choose an item.</w:t>
          </w:r>
        </w:p>
      </w:docPartBody>
    </w:docPart>
    <w:docPart>
      <w:docPartPr>
        <w:name w:val="FA7E174FD64E4516A982D6B1BF53F9D3"/>
        <w:category>
          <w:name w:val="General"/>
          <w:gallery w:val="placeholder"/>
        </w:category>
        <w:types>
          <w:type w:val="bbPlcHdr"/>
        </w:types>
        <w:behaviors>
          <w:behavior w:val="content"/>
        </w:behaviors>
        <w:guid w:val="{EA6791EC-831F-43F2-966B-F30C45D366F8}"/>
      </w:docPartPr>
      <w:docPartBody>
        <w:p w:rsidR="00000000" w:rsidRDefault="00F72DE3" w:rsidP="00F72DE3">
          <w:pPr>
            <w:pStyle w:val="FA7E174FD64E4516A982D6B1BF53F9D3"/>
          </w:pPr>
          <w:r w:rsidRPr="003B43C3">
            <w:rPr>
              <w:rStyle w:val="PlaceholderText"/>
            </w:rPr>
            <w:t>Choose an item.</w:t>
          </w:r>
        </w:p>
      </w:docPartBody>
    </w:docPart>
    <w:docPart>
      <w:docPartPr>
        <w:name w:val="88321CE90B23428180D3F8C4ACD98072"/>
        <w:category>
          <w:name w:val="General"/>
          <w:gallery w:val="placeholder"/>
        </w:category>
        <w:types>
          <w:type w:val="bbPlcHdr"/>
        </w:types>
        <w:behaviors>
          <w:behavior w:val="content"/>
        </w:behaviors>
        <w:guid w:val="{6E0C8D6D-1D41-44AF-BC93-508F704AAB1F}"/>
      </w:docPartPr>
      <w:docPartBody>
        <w:p w:rsidR="00000000" w:rsidRDefault="00F72DE3" w:rsidP="00F72DE3">
          <w:pPr>
            <w:pStyle w:val="88321CE90B23428180D3F8C4ACD98072"/>
          </w:pPr>
          <w:r w:rsidRPr="003B43C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18"/>
    <w:rsid w:val="000130BD"/>
    <w:rsid w:val="00184879"/>
    <w:rsid w:val="001A2981"/>
    <w:rsid w:val="001A753D"/>
    <w:rsid w:val="00250EE0"/>
    <w:rsid w:val="002B30F3"/>
    <w:rsid w:val="003324E4"/>
    <w:rsid w:val="00364140"/>
    <w:rsid w:val="00467C73"/>
    <w:rsid w:val="005B3D5D"/>
    <w:rsid w:val="00711C5D"/>
    <w:rsid w:val="00766D4F"/>
    <w:rsid w:val="00A62243"/>
    <w:rsid w:val="00B64681"/>
    <w:rsid w:val="00BF2A9A"/>
    <w:rsid w:val="00C22CC6"/>
    <w:rsid w:val="00C56A7A"/>
    <w:rsid w:val="00C65B3A"/>
    <w:rsid w:val="00C92E18"/>
    <w:rsid w:val="00CA5208"/>
    <w:rsid w:val="00DA54BF"/>
    <w:rsid w:val="00EC5012"/>
    <w:rsid w:val="00F72DE3"/>
    <w:rsid w:val="00FA35C4"/>
    <w:rsid w:val="00FF3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2DE3"/>
    <w:rPr>
      <w:color w:val="808080"/>
    </w:rPr>
  </w:style>
  <w:style w:type="paragraph" w:customStyle="1" w:styleId="6A515CAB71A64AD2AE036757E98CB69B">
    <w:name w:val="6A515CAB71A64AD2AE036757E98CB69B"/>
    <w:rsid w:val="00A62243"/>
  </w:style>
  <w:style w:type="paragraph" w:customStyle="1" w:styleId="E266BE2BFC9B4C45A7C6685BEB30DE59">
    <w:name w:val="E266BE2BFC9B4C45A7C6685BEB30DE59"/>
    <w:rsid w:val="00FF3767"/>
  </w:style>
  <w:style w:type="paragraph" w:customStyle="1" w:styleId="9687163526D7494BAF6FCA33C4C7ACDB">
    <w:name w:val="9687163526D7494BAF6FCA33C4C7ACDB"/>
    <w:rsid w:val="00FF3767"/>
  </w:style>
  <w:style w:type="paragraph" w:customStyle="1" w:styleId="D11DD198C1FE4F3E83C5013A770107BD">
    <w:name w:val="D11DD198C1FE4F3E83C5013A770107BD"/>
    <w:rsid w:val="00FF3767"/>
  </w:style>
  <w:style w:type="paragraph" w:customStyle="1" w:styleId="272F880530FE4B1F8F10590262CE56D1">
    <w:name w:val="272F880530FE4B1F8F10590262CE56D1"/>
    <w:rsid w:val="00FF3767"/>
  </w:style>
  <w:style w:type="paragraph" w:customStyle="1" w:styleId="690FCAF31D5E4EC5A3EC2C116BDACDAD">
    <w:name w:val="690FCAF31D5E4EC5A3EC2C116BDACDAD"/>
    <w:rsid w:val="00FF3767"/>
  </w:style>
  <w:style w:type="paragraph" w:customStyle="1" w:styleId="AE6E1A3F9990445E8C4FDF2786EA51EB">
    <w:name w:val="AE6E1A3F9990445E8C4FDF2786EA51EB"/>
    <w:rsid w:val="00FF3767"/>
  </w:style>
  <w:style w:type="paragraph" w:customStyle="1" w:styleId="297ED2EDEAE94E94A4577A5C1099E513">
    <w:name w:val="297ED2EDEAE94E94A4577A5C1099E513"/>
    <w:rsid w:val="00FF3767"/>
  </w:style>
  <w:style w:type="paragraph" w:customStyle="1" w:styleId="7CB9A5E4B29741069EBAE1100D02F99D">
    <w:name w:val="7CB9A5E4B29741069EBAE1100D02F99D"/>
    <w:rsid w:val="00FF3767"/>
  </w:style>
  <w:style w:type="paragraph" w:customStyle="1" w:styleId="36FA1397DE6C4521A5B6A96C60EC057D">
    <w:name w:val="36FA1397DE6C4521A5B6A96C60EC057D"/>
    <w:rsid w:val="00FF3767"/>
  </w:style>
  <w:style w:type="paragraph" w:customStyle="1" w:styleId="C9EC3032C84543AF82C82C49EAA1B121">
    <w:name w:val="C9EC3032C84543AF82C82C49EAA1B121"/>
    <w:rsid w:val="00FF3767"/>
  </w:style>
  <w:style w:type="paragraph" w:customStyle="1" w:styleId="143B48A5DB2B4C14BE43EB1C9159A3D6">
    <w:name w:val="143B48A5DB2B4C14BE43EB1C9159A3D6"/>
    <w:rsid w:val="00C22CC6"/>
  </w:style>
  <w:style w:type="paragraph" w:customStyle="1" w:styleId="CFC7BBFED0244200B362206E8263689E">
    <w:name w:val="CFC7BBFED0244200B362206E8263689E"/>
    <w:rsid w:val="00C22CC6"/>
  </w:style>
  <w:style w:type="paragraph" w:customStyle="1" w:styleId="07F71866B75A4FD888831CD218A447DD">
    <w:name w:val="07F71866B75A4FD888831CD218A447DD"/>
    <w:rsid w:val="00C22CC6"/>
  </w:style>
  <w:style w:type="paragraph" w:customStyle="1" w:styleId="1491F56B77A4402B9CF995E8900728AF">
    <w:name w:val="1491F56B77A4402B9CF995E8900728AF"/>
    <w:rsid w:val="00C22CC6"/>
  </w:style>
  <w:style w:type="paragraph" w:customStyle="1" w:styleId="117059C0719D4DB3833316CF7026E9AB">
    <w:name w:val="117059C0719D4DB3833316CF7026E9AB"/>
    <w:rsid w:val="00C22CC6"/>
  </w:style>
  <w:style w:type="paragraph" w:customStyle="1" w:styleId="856FAAEEBD374328AE314E764A6C232B">
    <w:name w:val="856FAAEEBD374328AE314E764A6C232B"/>
    <w:rsid w:val="00C22CC6"/>
  </w:style>
  <w:style w:type="paragraph" w:customStyle="1" w:styleId="7843152D736A4BA1ADD60D2212FAB53C">
    <w:name w:val="7843152D736A4BA1ADD60D2212FAB53C"/>
    <w:rsid w:val="00C22CC6"/>
  </w:style>
  <w:style w:type="paragraph" w:customStyle="1" w:styleId="80AD37FB8E184165B42757E049AB0906">
    <w:name w:val="80AD37FB8E184165B42757E049AB0906"/>
    <w:rsid w:val="00C22CC6"/>
  </w:style>
  <w:style w:type="paragraph" w:customStyle="1" w:styleId="F2BC0B5D602645179B5CC119FFA050B7">
    <w:name w:val="F2BC0B5D602645179B5CC119FFA050B7"/>
    <w:rsid w:val="00C22CC6"/>
  </w:style>
  <w:style w:type="paragraph" w:customStyle="1" w:styleId="63C417A41264486A9056FED7C06C3902">
    <w:name w:val="63C417A41264486A9056FED7C06C3902"/>
    <w:rsid w:val="001A753D"/>
  </w:style>
  <w:style w:type="paragraph" w:customStyle="1" w:styleId="FA7E174FD64E4516A982D6B1BF53F9D3">
    <w:name w:val="FA7E174FD64E4516A982D6B1BF53F9D3"/>
    <w:rsid w:val="00F72DE3"/>
  </w:style>
  <w:style w:type="paragraph" w:customStyle="1" w:styleId="88321CE90B23428180D3F8C4ACD98072">
    <w:name w:val="88321CE90B23428180D3F8C4ACD98072"/>
    <w:rsid w:val="00F72D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BA5B8E-7719-467D-90D4-E2CE748BAAC8}">
  <ds:schemaRefs>
    <ds:schemaRef ds:uri="http://schemas.microsoft.com/sharepoint/v3/contenttype/forms"/>
  </ds:schemaRefs>
</ds:datastoreItem>
</file>

<file path=customXml/itemProps2.xml><?xml version="1.0" encoding="utf-8"?>
<ds:datastoreItem xmlns:ds="http://schemas.openxmlformats.org/officeDocument/2006/customXml" ds:itemID="{87763B7A-C4D6-4717-8451-2B38DD6B401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35B7E6F-2A68-475B-86B3-F1FF14BB2C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3222</Words>
  <Characters>18368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Mueller</dc:creator>
  <cp:keywords/>
  <dc:description/>
  <cp:lastModifiedBy>Kurt Mueller</cp:lastModifiedBy>
  <cp:revision>5</cp:revision>
  <dcterms:created xsi:type="dcterms:W3CDTF">2020-05-26T16:56:00Z</dcterms:created>
  <dcterms:modified xsi:type="dcterms:W3CDTF">2020-05-27T13:41:00Z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