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ED17DC">
        <w:trPr>
          <w:trHeight w:hRule="exact" w:val="590"/>
        </w:trPr>
        <w:tc>
          <w:tcPr>
            <w:tcW w:w="9360" w:type="dxa"/>
            <w:vAlign w:val="center"/>
          </w:tcPr>
          <w:bookmarkStart w:id="0" w:name="_Hlk41284859"/>
          <w:bookmarkEnd w:id="0"/>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1" w:name="_Toc467046352"/>
                                  <w:bookmarkStart w:id="2" w:name="_Toc514761889"/>
                                  <w:bookmarkStart w:id="3" w:name="_Toc11834254"/>
                                  <w:r>
                                    <w:t>Income Capitalization Approach</w:t>
                                  </w:r>
                                  <w:bookmarkEnd w:id="1"/>
                                  <w:bookmarkEnd w:id="2"/>
                                  <w:bookmarkEnd w:id="3"/>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4" w:name="_Toc467046352"/>
                            <w:bookmarkStart w:id="5" w:name="_Toc514761889"/>
                            <w:bookmarkStart w:id="6" w:name="_Toc11834254"/>
                            <w:r>
                              <w:t>Income Capitalization Approach</w:t>
                            </w:r>
                            <w:bookmarkEnd w:id="4"/>
                            <w:bookmarkEnd w:id="5"/>
                            <w:bookmarkEnd w:id="6"/>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747648DF"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Methodology</w:t>
      </w:r>
    </w:p>
    <w:p w14:paraId="78D68918" w14:textId="77777777" w:rsidR="00ED17DC" w:rsidRPr="000754FA" w:rsidRDefault="00ED17DC" w:rsidP="00ED17DC">
      <w:pPr>
        <w:rPr>
          <w:rFonts w:cs="Arial"/>
          <w:szCs w:val="22"/>
        </w:rPr>
      </w:pPr>
      <w:r w:rsidRPr="000754FA">
        <w:rPr>
          <w:rFonts w:cs="Arial"/>
          <w:szCs w:val="22"/>
        </w:rPr>
        <w:t xml:space="preserve">The market valuation of the subject property is summarized in this section via the </w:t>
      </w:r>
      <w:r w:rsidRPr="000754FA">
        <w:rPr>
          <w:rFonts w:cs="Arial"/>
          <w:b/>
          <w:szCs w:val="22"/>
        </w:rPr>
        <w:t>Direct Capitalization Method</w:t>
      </w:r>
      <w:r w:rsidRPr="000754FA">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5956681C" w14:textId="77777777" w:rsidR="00ED17DC"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Potential Gross Rental Income</w:t>
      </w:r>
    </w:p>
    <w:p w14:paraId="7A11FC4A" w14:textId="565E5CB2" w:rsidR="007471E1" w:rsidRPr="000754FA" w:rsidRDefault="007471E1" w:rsidP="007471E1">
      <w:pPr>
        <w:rPr>
          <w:rFonts w:cs="Arial"/>
          <w:szCs w:val="22"/>
        </w:rPr>
      </w:pPr>
      <w:r w:rsidRPr="00701362">
        <w:rPr>
          <w:rFonts w:cs="Arial"/>
          <w:szCs w:val="22"/>
        </w:rPr>
        <w:t xml:space="preserve">A review of current subject market trends indicates that typical tenant </w:t>
      </w:r>
      <w:r>
        <w:rPr>
          <w:rFonts w:cs="Arial"/>
          <w:szCs w:val="22"/>
        </w:rPr>
        <w:t>spaces</w:t>
      </w:r>
      <w:r w:rsidRPr="00701362">
        <w:rPr>
          <w:rFonts w:cs="Arial"/>
          <w:szCs w:val="22"/>
        </w:rPr>
        <w:t xml:space="preserve"> in</w:t>
      </w:r>
      <w:r w:rsidRPr="000754FA">
        <w:rPr>
          <w:rFonts w:cs="Arial"/>
          <w:szCs w:val="22"/>
        </w:rPr>
        <w:t xml:space="preserve"> the subject market area </w:t>
      </w:r>
      <w:r>
        <w:rPr>
          <w:rFonts w:cs="Arial"/>
          <w:szCs w:val="22"/>
        </w:rPr>
        <w:t xml:space="preserve">for manufactured home spaces </w:t>
      </w:r>
      <w:r w:rsidRPr="000754FA">
        <w:rPr>
          <w:rFonts w:cs="Arial"/>
          <w:szCs w:val="22"/>
        </w:rPr>
        <w:t xml:space="preserve">are written on a </w:t>
      </w:r>
      <w:r>
        <w:rPr>
          <w:rFonts w:cs="Arial"/>
          <w:b/>
          <w:szCs w:val="22"/>
        </w:rPr>
        <w:t>modified gross</w:t>
      </w:r>
      <w:r w:rsidRPr="000754FA">
        <w:rPr>
          <w:rFonts w:cs="Arial"/>
          <w:b/>
          <w:szCs w:val="22"/>
        </w:rPr>
        <w:t xml:space="preserve"> </w:t>
      </w:r>
      <w:r w:rsidRPr="000754FA">
        <w:rPr>
          <w:rFonts w:cs="Arial"/>
          <w:szCs w:val="22"/>
        </w:rPr>
        <w:t xml:space="preserve">rental basis. </w:t>
      </w:r>
      <w:r>
        <w:rPr>
          <w:rFonts w:cs="Arial"/>
          <w:szCs w:val="22"/>
        </w:rPr>
        <w:t xml:space="preserve"> Modified gross</w:t>
      </w:r>
      <w:r w:rsidRPr="000754FA">
        <w:rPr>
          <w:rFonts w:cs="Arial"/>
          <w:szCs w:val="22"/>
        </w:rPr>
        <w:t xml:space="preserve"> </w:t>
      </w:r>
      <w:r w:rsidRPr="00F06F3E">
        <w:rPr>
          <w:rFonts w:cs="Arial"/>
          <w:szCs w:val="22"/>
        </w:rPr>
        <w:t xml:space="preserve">tenant rents </w:t>
      </w:r>
      <w:r>
        <w:rPr>
          <w:rFonts w:cs="Arial"/>
          <w:szCs w:val="22"/>
        </w:rPr>
        <w:t xml:space="preserve">in the marketplace typically </w:t>
      </w:r>
      <w:r w:rsidRPr="00F06F3E">
        <w:rPr>
          <w:rFonts w:cs="Arial"/>
          <w:szCs w:val="22"/>
        </w:rPr>
        <w:t xml:space="preserve">include a base rent, with the </w:t>
      </w:r>
      <w:r w:rsidRPr="007471E1">
        <w:rPr>
          <w:rFonts w:cs="Arial"/>
          <w:szCs w:val="22"/>
          <w:highlight w:val="yellow"/>
        </w:rPr>
        <w:t>tenant directly responsible for their own electricity, cable, and internet</w:t>
      </w:r>
      <w:r w:rsidRPr="00893D49">
        <w:rPr>
          <w:rFonts w:cs="Arial"/>
          <w:szCs w:val="22"/>
        </w:rPr>
        <w:t>.</w:t>
      </w:r>
      <w:r w:rsidRPr="00F06F3E">
        <w:rPr>
          <w:rFonts w:cs="Arial"/>
          <w:szCs w:val="22"/>
        </w:rPr>
        <w:t xml:space="preserve"> </w:t>
      </w:r>
      <w:r w:rsidRPr="007471E1">
        <w:rPr>
          <w:rFonts w:cs="Arial"/>
          <w:szCs w:val="22"/>
          <w:highlight w:val="yellow"/>
        </w:rPr>
        <w:t>Tenants also reimburse the landlord for water, sewer, and trash</w:t>
      </w:r>
      <w:r>
        <w:rPr>
          <w:rFonts w:cs="Arial"/>
          <w:szCs w:val="22"/>
        </w:rPr>
        <w:t xml:space="preserve">. The landlord is typically responsible for </w:t>
      </w:r>
      <w:r w:rsidRPr="007471E1">
        <w:rPr>
          <w:rFonts w:cs="Arial"/>
          <w:szCs w:val="22"/>
          <w:highlight w:val="yellow"/>
        </w:rPr>
        <w:t xml:space="preserve">common area utilities, maintenance and repairs, </w:t>
      </w:r>
      <w:r>
        <w:rPr>
          <w:rFonts w:cs="Arial"/>
          <w:szCs w:val="22"/>
          <w:highlight w:val="yellow"/>
        </w:rPr>
        <w:t xml:space="preserve">property </w:t>
      </w:r>
      <w:r w:rsidRPr="007471E1">
        <w:rPr>
          <w:rFonts w:cs="Arial"/>
          <w:szCs w:val="22"/>
          <w:highlight w:val="yellow"/>
        </w:rPr>
        <w:t>insurance, allocations for management fees, and reserves for the replacement of capital items</w:t>
      </w:r>
      <w:r w:rsidRPr="00F06F3E">
        <w:rPr>
          <w:rFonts w:cs="Arial"/>
          <w:szCs w:val="22"/>
        </w:rPr>
        <w:t>. Hence, it is under the preceding modified gross basis we have anticipated that all future rent for the subject would be</w:t>
      </w:r>
      <w:r w:rsidRPr="000754FA">
        <w:rPr>
          <w:rFonts w:cs="Arial"/>
          <w:szCs w:val="22"/>
        </w:rPr>
        <w:t xml:space="preserve"> payable on this basis. </w:t>
      </w:r>
    </w:p>
    <w:p w14:paraId="027AA82D"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Comparable Rent Analysis</w:t>
      </w:r>
    </w:p>
    <w:p w14:paraId="7F7FAA41" w14:textId="77777777" w:rsidR="007471E1" w:rsidRDefault="007471E1" w:rsidP="007471E1">
      <w:pPr>
        <w:widowControl w:val="0"/>
        <w:rPr>
          <w:szCs w:val="22"/>
        </w:rPr>
      </w:pPr>
      <w:r w:rsidRPr="00AE3B07">
        <w:rPr>
          <w:szCs w:val="22"/>
        </w:rPr>
        <w:t xml:space="preserve">The following analysis focuses on the market stabilized value of the subject property. </w:t>
      </w:r>
      <w:r>
        <w:rPr>
          <w:szCs w:val="22"/>
        </w:rPr>
        <w:t xml:space="preserve"> </w:t>
      </w:r>
      <w:r w:rsidRPr="00AE3B07">
        <w:rPr>
          <w:szCs w:val="22"/>
        </w:rPr>
        <w:t xml:space="preserve">In order to estimate the current market rent achievable for the subject property, we conducted a survey of reasonably comparable manufactured housing communities with the </w:t>
      </w:r>
      <w:r>
        <w:rPr>
          <w:szCs w:val="22"/>
        </w:rPr>
        <w:t>immediate and expanded market areas</w:t>
      </w:r>
      <w:r w:rsidRPr="00AE3B07">
        <w:rPr>
          <w:szCs w:val="22"/>
        </w:rPr>
        <w:t>. The results of this survey are summarized on the following pages along with location maps and photographs relating to each comparable manufactured housing community</w:t>
      </w:r>
      <w:r>
        <w:rPr>
          <w:szCs w:val="22"/>
        </w:rPr>
        <w:t>.</w:t>
      </w:r>
    </w:p>
    <w:p w14:paraId="369276AD" w14:textId="77777777" w:rsidR="00ED17DC" w:rsidRPr="000754FA" w:rsidRDefault="00ED17DC" w:rsidP="00ED17DC">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Rental Adjustments</w:t>
      </w:r>
    </w:p>
    <w:p w14:paraId="2BDFAAC3" w14:textId="10887F77" w:rsidR="00ED17DC" w:rsidRDefault="007471E1" w:rsidP="00ED17DC">
      <w:pPr>
        <w:rPr>
          <w:rFonts w:cs="Arial"/>
          <w:szCs w:val="22"/>
        </w:rPr>
      </w:pPr>
      <w:r w:rsidRPr="00AA44C4">
        <w:rPr>
          <w:rFonts w:cs="Arial"/>
          <w:szCs w:val="22"/>
        </w:rPr>
        <w:t>Depending on market conditions, free rent</w:t>
      </w:r>
      <w:r>
        <w:rPr>
          <w:rFonts w:cs="Arial"/>
          <w:szCs w:val="22"/>
        </w:rPr>
        <w:t xml:space="preserve"> and</w:t>
      </w:r>
      <w:r w:rsidRPr="00AA44C4">
        <w:rPr>
          <w:rFonts w:cs="Arial"/>
          <w:szCs w:val="22"/>
        </w:rPr>
        <w:t xml:space="preserve"> other incentives are used to attract tenants. </w:t>
      </w:r>
      <w:r>
        <w:rPr>
          <w:rFonts w:cs="Arial"/>
          <w:szCs w:val="22"/>
        </w:rPr>
        <w:t xml:space="preserve"> </w:t>
      </w:r>
      <w:r w:rsidRPr="00AA44C4">
        <w:rPr>
          <w:rFonts w:cs="Arial"/>
          <w:szCs w:val="22"/>
        </w:rPr>
        <w:t xml:space="preserve">When applicable, the comparable rents are adjusted to reflect current market terms with </w:t>
      </w:r>
      <w:r w:rsidRPr="00BA6391">
        <w:rPr>
          <w:rFonts w:cs="Arial"/>
          <w:szCs w:val="22"/>
        </w:rPr>
        <w:t>an effective rent to the property owner.</w:t>
      </w:r>
    </w:p>
    <w:p w14:paraId="59E0F3DA" w14:textId="77777777" w:rsidR="005A24B3" w:rsidRPr="000754FA" w:rsidRDefault="005A24B3" w:rsidP="005A24B3">
      <w:pPr>
        <w:rPr>
          <w:rFonts w:cs="Arial"/>
          <w:szCs w:val="22"/>
        </w:rPr>
        <w:sectPr w:rsidR="005A24B3" w:rsidRPr="000754FA" w:rsidSect="00AD7FDD">
          <w:headerReference w:type="default" r:id="rId9"/>
          <w:footerReference w:type="default" r:id="rId10"/>
          <w:pgSz w:w="12240" w:h="15840"/>
          <w:pgMar w:top="1440" w:right="1440" w:bottom="1440" w:left="1440" w:header="720" w:footer="720" w:gutter="0"/>
          <w:cols w:space="720"/>
          <w:noEndnote/>
          <w:docGrid w:linePitch="286"/>
        </w:sectPr>
      </w:pPr>
    </w:p>
    <w:p w14:paraId="327D175A" w14:textId="5F3C383F" w:rsidR="005A24B3" w:rsidRDefault="007471E1" w:rsidP="00ED17DC">
      <w:pPr>
        <w:ind w:left="720"/>
        <w:jc w:val="center"/>
        <w:sectPr w:rsidR="005A24B3" w:rsidSect="00ED17DC">
          <w:headerReference w:type="default" r:id="rId11"/>
          <w:footerReference w:type="default" r:id="rId12"/>
          <w:pgSz w:w="15840" w:h="12240" w:orient="landscape"/>
          <w:pgMar w:top="1440" w:right="1440" w:bottom="1440" w:left="720" w:header="720" w:footer="720" w:gutter="0"/>
          <w:cols w:space="720"/>
          <w:vAlign w:val="center"/>
          <w:docGrid w:linePitch="360"/>
        </w:sectPr>
      </w:pPr>
      <w:r w:rsidRPr="00D5516F">
        <w:rPr>
          <w:noProof/>
        </w:rPr>
        <w:lastRenderedPageBreak/>
        <w:drawing>
          <wp:inline distT="0" distB="0" distL="0" distR="0" wp14:anchorId="241CF47C" wp14:editId="0F021DC1">
            <wp:extent cx="8686800" cy="5687587"/>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8686800" cy="5687587"/>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9338EB">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9338EB">
            <w:pPr>
              <w:tabs>
                <w:tab w:val="left" w:pos="3960"/>
              </w:tabs>
              <w:spacing w:before="120" w:after="60" w:line="20" w:lineRule="atLeast"/>
              <w:jc w:val="center"/>
              <w:rPr>
                <w:rFonts w:cs="Arial"/>
                <w:b/>
                <w:smallCaps/>
                <w:color w:val="FFFFFF" w:themeColor="background1"/>
                <w:sz w:val="28"/>
                <w:szCs w:val="22"/>
              </w:rPr>
            </w:pPr>
            <w:r w:rsidRPr="00E2371F">
              <w:rPr>
                <w:rFonts w:cs="Arial"/>
                <w:b/>
                <w:smallCaps/>
                <w:color w:val="FFFFFF" w:themeColor="background1"/>
                <w:sz w:val="28"/>
                <w:szCs w:val="22"/>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9338EB">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AD7FDD">
          <w:headerReference w:type="default" r:id="rId15"/>
          <w:footerReference w:type="default" r:id="rId16"/>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ED17DC">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312921CC" w14:textId="77777777" w:rsidR="00E5122E" w:rsidRPr="000B55E6" w:rsidRDefault="00E5122E" w:rsidP="00E5122E">
      <w:pPr>
        <w:pStyle w:val="Heading20"/>
        <w:spacing w:before="1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lastRenderedPageBreak/>
        <w:t>Comparable Rent Analysis</w:t>
      </w:r>
    </w:p>
    <w:p w14:paraId="6BD278ED" w14:textId="79884FE5" w:rsidR="007471E1" w:rsidRDefault="00A9480D" w:rsidP="00A9480D">
      <w:pPr>
        <w:rPr>
          <w:rFonts w:cs="Arial"/>
          <w:szCs w:val="22"/>
        </w:rPr>
      </w:pPr>
      <w:bookmarkStart w:id="4" w:name="_Hlk41209860"/>
      <w:r>
        <w:rPr>
          <w:rFonts w:cs="Arial"/>
          <w:szCs w:val="22"/>
        </w:rPr>
        <w:t>Our rental survey includes</w:t>
      </w:r>
      <w:r w:rsidRPr="003423F1">
        <w:rPr>
          <w:rFonts w:cs="Arial"/>
          <w:szCs w:val="22"/>
        </w:rPr>
        <w:t xml:space="preserve"> comparable </w:t>
      </w:r>
      <w:sdt>
        <w:sdtPr>
          <w:rPr>
            <w:rFonts w:cs="Arial"/>
            <w:szCs w:val="22"/>
            <w:highlight w:val="green"/>
          </w:rPr>
          <w:alias w:val="Park Type"/>
          <w:tag w:val="Park Type"/>
          <w:id w:val="839816413"/>
          <w:placeholder>
            <w:docPart w:val="7843152D736A4BA1ADD60D2212FAB53C"/>
          </w:placeholder>
          <w:dropDownList>
            <w:listItem w:value="Choose an item."/>
            <w:listItem w:displayText="manufactured home or mobile housing" w:value="manufactured home or mobile housing"/>
            <w:listItem w:displayText="manufactured home" w:value="manufactured home"/>
            <w:listItem w:displayText="mobile housing" w:value="mobile housing"/>
            <w:listItem w:displayText="RV park" w:value="RV park"/>
            <w:listItem w:displayText="manufactured home &amp; RV park" w:value="manufactured home &amp; RV park"/>
          </w:dropDownList>
        </w:sdtPr>
        <w:sdtEndPr/>
        <w:sdtContent>
          <w:r>
            <w:rPr>
              <w:rFonts w:cs="Arial"/>
              <w:szCs w:val="22"/>
              <w:highlight w:val="green"/>
            </w:rPr>
            <w:t>manufactured home or mobile housing</w:t>
          </w:r>
        </w:sdtContent>
      </w:sdt>
      <w:r w:rsidRPr="00967B66">
        <w:rPr>
          <w:rFonts w:cs="Arial"/>
          <w:szCs w:val="22"/>
        </w:rPr>
        <w:t xml:space="preserve"> </w:t>
      </w:r>
      <w:r w:rsidRPr="003423F1">
        <w:rPr>
          <w:rFonts w:cs="Arial"/>
          <w:szCs w:val="22"/>
        </w:rPr>
        <w:t>communities in the subject’s general area</w:t>
      </w:r>
      <w:r>
        <w:rPr>
          <w:rFonts w:cs="Arial"/>
          <w:szCs w:val="22"/>
        </w:rPr>
        <w:t xml:space="preserve"> in order to estimate achievable, stabilized market rent for the subject property</w:t>
      </w:r>
      <w:r w:rsidRPr="003423F1">
        <w:rPr>
          <w:rFonts w:cs="Arial"/>
          <w:szCs w:val="22"/>
        </w:rPr>
        <w:t xml:space="preserve">. </w:t>
      </w: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Park Type"/>
          <w:tag w:val="Park Type"/>
          <w:id w:val="1959518977"/>
          <w:placeholder>
            <w:docPart w:val="DefaultPlaceholder_-1854013438"/>
          </w:placeholder>
          <w:dropDownList>
            <w:listItem w:value="Choose an item."/>
            <w:listItem w:displayText="manufactured home park" w:value="manufactured home park"/>
            <w:listItem w:displayText="mobile home park" w:value="mobile home park"/>
            <w:listItem w:displayText="RV park" w:value="RV park"/>
            <w:listItem w:displayText="manufactured home &amp; RV park" w:value="manufactured home &amp; RV park"/>
          </w:dropDownList>
        </w:sdtPr>
        <w:sdtEndPr/>
        <w:sdtContent>
          <w:r w:rsidRPr="00A9480D">
            <w:rPr>
              <w:rFonts w:cs="Arial"/>
              <w:szCs w:val="22"/>
              <w:highlight w:val="green"/>
            </w:rPr>
            <w:t>manufactured home park</w:t>
          </w:r>
        </w:sdtContent>
      </w:sdt>
      <w:r w:rsidRPr="00967B66">
        <w:rPr>
          <w:rFonts w:cs="Arial"/>
          <w:szCs w:val="22"/>
        </w:rPr>
        <w:t xml:space="preserve"> </w:t>
      </w:r>
      <w:r>
        <w:rPr>
          <w:rFonts w:cs="Arial"/>
          <w:szCs w:val="22"/>
        </w:rPr>
        <w:t xml:space="preserve">space </w:t>
      </w:r>
      <w:r w:rsidRPr="00967B66">
        <w:rPr>
          <w:rFonts w:cs="Arial"/>
          <w:szCs w:val="22"/>
        </w:rPr>
        <w:t>most similar to the subject property. Overall, the comparables provide a reasonable basis for concluding a</w:t>
      </w:r>
      <w:r>
        <w:rPr>
          <w:rFonts w:cs="Arial"/>
          <w:szCs w:val="22"/>
        </w:rPr>
        <w:t>n</w:t>
      </w:r>
      <w:r w:rsidRPr="00967B66">
        <w:rPr>
          <w:rFonts w:cs="Arial"/>
          <w:szCs w:val="22"/>
        </w:rPr>
        <w:t xml:space="preserve"> </w:t>
      </w:r>
      <w:r>
        <w:rPr>
          <w:rFonts w:cs="Arial"/>
          <w:szCs w:val="22"/>
        </w:rPr>
        <w:t xml:space="preserve">achievable, stabilized market rent </w:t>
      </w:r>
      <w:r w:rsidRPr="00967B66">
        <w:rPr>
          <w:rFonts w:cs="Arial"/>
          <w:szCs w:val="22"/>
        </w:rPr>
        <w:t>for the subject property</w:t>
      </w:r>
      <w:r>
        <w:rPr>
          <w:rFonts w:cs="Arial"/>
          <w:szCs w:val="22"/>
        </w:rPr>
        <w:t xml:space="preserve">. </w:t>
      </w:r>
      <w:r w:rsidR="007471E1" w:rsidRPr="00AE3B07">
        <w:rPr>
          <w:rFonts w:cs="Arial"/>
          <w:szCs w:val="22"/>
        </w:rPr>
        <w:t>All of the comparables are considered to provide a good basis for estimating the market rent at the subject property.</w:t>
      </w:r>
    </w:p>
    <w:bookmarkEnd w:id="4"/>
    <w:p w14:paraId="7E874638" w14:textId="77CEF727" w:rsidR="00E5122E" w:rsidRPr="005D57B9" w:rsidRDefault="00185D01" w:rsidP="00E5122E">
      <w:pPr>
        <w:pStyle w:val="Heading20"/>
        <w:rPr>
          <w:rFonts w:asciiTheme="minorHAnsi" w:hAnsiTheme="minorHAnsi" w:cs="Arial"/>
          <w:b w:val="0"/>
          <w:color w:val="1E4959"/>
          <w:spacing w:val="0"/>
          <w:kern w:val="20"/>
          <w:sz w:val="28"/>
          <w:szCs w:val="22"/>
        </w:rPr>
      </w:pPr>
      <w:sdt>
        <w:sdtPr>
          <w:rPr>
            <w:rFonts w:asciiTheme="minorHAnsi" w:hAnsiTheme="minorHAnsi" w:cs="Arial"/>
            <w:b w:val="0"/>
            <w:color w:val="1E4959"/>
            <w:spacing w:val="0"/>
            <w:kern w:val="20"/>
            <w:sz w:val="28"/>
            <w:szCs w:val="22"/>
            <w:highlight w:val="green"/>
          </w:rPr>
          <w:alias w:val="Space Type"/>
          <w:tag w:val="Space Type"/>
          <w:id w:val="-1277638650"/>
          <w:placeholder>
            <w:docPart w:val="DefaultPlaceholder_-1854013438"/>
          </w:placeholder>
          <w:dropDownList>
            <w:listItem w:value="Choose an item."/>
            <w:listItem w:displayText="Double-Wide" w:value="Double-Wide"/>
            <w:listItem w:displayText="Single-Wide" w:value="Single-Wide"/>
            <w:listItem w:displayText="RV" w:value="RV"/>
            <w:listItem w:displayText="Triple-Wide" w:value="Triple-Wide"/>
          </w:dropDownList>
        </w:sdtPr>
        <w:sdtEndPr/>
        <w:sdtContent>
          <w:r w:rsidR="007471E1" w:rsidRPr="007471E1">
            <w:rPr>
              <w:rFonts w:asciiTheme="minorHAnsi" w:hAnsiTheme="minorHAnsi" w:cs="Arial"/>
              <w:b w:val="0"/>
              <w:color w:val="1E4959"/>
              <w:spacing w:val="0"/>
              <w:kern w:val="20"/>
              <w:sz w:val="28"/>
              <w:szCs w:val="22"/>
              <w:highlight w:val="green"/>
            </w:rPr>
            <w:t>Double-Wide</w:t>
          </w:r>
        </w:sdtContent>
      </w:sdt>
      <w:r w:rsidR="007471E1">
        <w:rPr>
          <w:rFonts w:asciiTheme="minorHAnsi" w:hAnsiTheme="minorHAnsi" w:cs="Arial"/>
          <w:b w:val="0"/>
          <w:color w:val="1E4959"/>
          <w:spacing w:val="0"/>
          <w:kern w:val="20"/>
          <w:sz w:val="28"/>
          <w:szCs w:val="22"/>
        </w:rPr>
        <w:t xml:space="preserve"> Spaces</w:t>
      </w:r>
    </w:p>
    <w:p w14:paraId="3DDDD81C" w14:textId="77777777" w:rsidR="00A9480D" w:rsidRDefault="00A9480D" w:rsidP="00A9480D">
      <w:pPr>
        <w:widowControl w:val="0"/>
        <w:rPr>
          <w:rFonts w:cs="Arial"/>
          <w:szCs w:val="22"/>
        </w:rPr>
      </w:pPr>
    </w:p>
    <w:p w14:paraId="02B88451" w14:textId="77777777" w:rsidR="00A9480D" w:rsidRDefault="00A9480D" w:rsidP="00A9480D">
      <w:pPr>
        <w:rPr>
          <w:rFonts w:ascii="Calibri" w:hAnsi="Calibri" w:cs="Segoe UI"/>
        </w:rPr>
      </w:pPr>
      <w:r w:rsidRPr="000D7CF2">
        <w:rPr>
          <w:rFonts w:ascii="Calibri" w:hAnsi="Calibri" w:cs="Segoe UI"/>
          <w:highlight w:val="green"/>
        </w:rPr>
        <w:t>Merge &amp; Insert Rent Comp Data Analysis Output</w:t>
      </w:r>
    </w:p>
    <w:p w14:paraId="7BB8B83E" w14:textId="77777777" w:rsidR="00A9480D" w:rsidRDefault="00A9480D" w:rsidP="00A9480D">
      <w:pPr>
        <w:widowControl w:val="0"/>
        <w:rPr>
          <w:rFonts w:cs="Arial"/>
          <w:szCs w:val="22"/>
        </w:rPr>
      </w:pPr>
    </w:p>
    <w:p w14:paraId="269DBDA5" w14:textId="2DFB71A0" w:rsidR="00E5122E" w:rsidRPr="000B55E6" w:rsidRDefault="00E5122E" w:rsidP="00E5122E">
      <w:pPr>
        <w:widowControl w:val="0"/>
        <w:outlineLvl w:val="0"/>
        <w:rPr>
          <w:rFonts w:cs="Arial"/>
          <w:szCs w:val="22"/>
        </w:rPr>
      </w:pPr>
    </w:p>
    <w:p w14:paraId="4904253A" w14:textId="1E2476D4" w:rsidR="0025432C" w:rsidRPr="005D57B9" w:rsidRDefault="00185D01" w:rsidP="0025432C">
      <w:pPr>
        <w:pStyle w:val="Heading20"/>
        <w:rPr>
          <w:rFonts w:asciiTheme="minorHAnsi" w:hAnsiTheme="minorHAnsi" w:cs="Arial"/>
          <w:b w:val="0"/>
          <w:color w:val="1E4959"/>
          <w:spacing w:val="0"/>
          <w:kern w:val="20"/>
          <w:sz w:val="28"/>
          <w:szCs w:val="22"/>
        </w:rPr>
      </w:pPr>
      <w:sdt>
        <w:sdtPr>
          <w:rPr>
            <w:rFonts w:asciiTheme="minorHAnsi" w:hAnsiTheme="minorHAnsi" w:cs="Arial"/>
            <w:b w:val="0"/>
            <w:color w:val="1E4959"/>
            <w:spacing w:val="0"/>
            <w:kern w:val="20"/>
            <w:sz w:val="28"/>
            <w:szCs w:val="22"/>
            <w:highlight w:val="green"/>
          </w:rPr>
          <w:alias w:val="Space Type"/>
          <w:tag w:val="Space Type"/>
          <w:id w:val="-588078890"/>
          <w:placeholder>
            <w:docPart w:val="80AD37FB8E184165B42757E049AB0906"/>
          </w:placeholder>
          <w:dropDownList>
            <w:listItem w:value="Choose an item."/>
            <w:listItem w:displayText="Double-Wide" w:value="Double-Wide"/>
            <w:listItem w:displayText="Single-Wide" w:value="Single-Wide"/>
            <w:listItem w:displayText="RV" w:value="RV"/>
            <w:listItem w:displayText="Triple Wide" w:value="Triple Wide"/>
          </w:dropDownList>
        </w:sdtPr>
        <w:sdtEndPr/>
        <w:sdtContent>
          <w:r w:rsidR="0025432C">
            <w:rPr>
              <w:rFonts w:asciiTheme="minorHAnsi" w:hAnsiTheme="minorHAnsi" w:cs="Arial"/>
              <w:b w:val="0"/>
              <w:color w:val="1E4959"/>
              <w:spacing w:val="0"/>
              <w:kern w:val="20"/>
              <w:sz w:val="28"/>
              <w:szCs w:val="22"/>
              <w:highlight w:val="green"/>
            </w:rPr>
            <w:t>Single-Wide</w:t>
          </w:r>
        </w:sdtContent>
      </w:sdt>
      <w:r w:rsidR="0025432C">
        <w:rPr>
          <w:rFonts w:asciiTheme="minorHAnsi" w:hAnsiTheme="minorHAnsi" w:cs="Arial"/>
          <w:b w:val="0"/>
          <w:color w:val="1E4959"/>
          <w:spacing w:val="0"/>
          <w:kern w:val="20"/>
          <w:sz w:val="28"/>
          <w:szCs w:val="22"/>
        </w:rPr>
        <w:t xml:space="preserve"> Spaces</w:t>
      </w:r>
    </w:p>
    <w:p w14:paraId="3F14FCBC" w14:textId="77777777" w:rsidR="0025432C" w:rsidRDefault="0025432C" w:rsidP="0025432C">
      <w:pPr>
        <w:widowControl w:val="0"/>
        <w:rPr>
          <w:rFonts w:cs="Arial"/>
          <w:szCs w:val="22"/>
        </w:rPr>
      </w:pPr>
    </w:p>
    <w:p w14:paraId="233089E5" w14:textId="77777777" w:rsidR="0025432C" w:rsidRDefault="0025432C" w:rsidP="0025432C">
      <w:pPr>
        <w:rPr>
          <w:rFonts w:ascii="Calibri" w:hAnsi="Calibri" w:cs="Segoe UI"/>
        </w:rPr>
      </w:pPr>
      <w:r w:rsidRPr="000D7CF2">
        <w:rPr>
          <w:rFonts w:ascii="Calibri" w:hAnsi="Calibri" w:cs="Segoe UI"/>
          <w:highlight w:val="green"/>
        </w:rPr>
        <w:t>Merge &amp; Insert Rent Comp Data Analysis Output</w:t>
      </w:r>
    </w:p>
    <w:p w14:paraId="1826E89E" w14:textId="0439E231" w:rsidR="0025432C" w:rsidRDefault="0025432C" w:rsidP="0025432C">
      <w:pPr>
        <w:widowControl w:val="0"/>
        <w:rPr>
          <w:rFonts w:cs="Arial"/>
          <w:szCs w:val="22"/>
        </w:rPr>
      </w:pPr>
    </w:p>
    <w:p w14:paraId="3BA73264" w14:textId="77777777" w:rsidR="0025432C" w:rsidRDefault="0025432C" w:rsidP="0025432C">
      <w:pPr>
        <w:widowControl w:val="0"/>
        <w:rPr>
          <w:rFonts w:cs="Arial"/>
          <w:szCs w:val="22"/>
        </w:rPr>
      </w:pPr>
    </w:p>
    <w:p w14:paraId="6129A64B" w14:textId="27B19F7D" w:rsidR="0025432C" w:rsidRPr="005D57B9" w:rsidRDefault="00185D01" w:rsidP="0025432C">
      <w:pPr>
        <w:pStyle w:val="Heading20"/>
        <w:rPr>
          <w:rFonts w:asciiTheme="minorHAnsi" w:hAnsiTheme="minorHAnsi" w:cs="Arial"/>
          <w:b w:val="0"/>
          <w:color w:val="1E4959"/>
          <w:spacing w:val="0"/>
          <w:kern w:val="20"/>
          <w:sz w:val="28"/>
          <w:szCs w:val="22"/>
        </w:rPr>
      </w:pPr>
      <w:sdt>
        <w:sdtPr>
          <w:rPr>
            <w:rFonts w:asciiTheme="minorHAnsi" w:hAnsiTheme="minorHAnsi" w:cs="Arial"/>
            <w:b w:val="0"/>
            <w:color w:val="1E4959"/>
            <w:spacing w:val="0"/>
            <w:kern w:val="20"/>
            <w:sz w:val="28"/>
            <w:szCs w:val="22"/>
            <w:highlight w:val="green"/>
          </w:rPr>
          <w:alias w:val="Space Type"/>
          <w:tag w:val="Space Type"/>
          <w:id w:val="919524061"/>
          <w:placeholder>
            <w:docPart w:val="F2BC0B5D602645179B5CC119FFA050B7"/>
          </w:placeholder>
          <w:dropDownList>
            <w:listItem w:value="Choose an item."/>
            <w:listItem w:displayText="Double-Wide" w:value="Double-Wide"/>
            <w:listItem w:displayText="Single-Wide" w:value="Single-Wide"/>
            <w:listItem w:displayText="RV" w:value="RV"/>
            <w:listItem w:displayText="Triple Wide" w:value="Triple Wide"/>
          </w:dropDownList>
        </w:sdtPr>
        <w:sdtEndPr/>
        <w:sdtContent>
          <w:r w:rsidR="0025432C">
            <w:rPr>
              <w:rFonts w:asciiTheme="minorHAnsi" w:hAnsiTheme="minorHAnsi" w:cs="Arial"/>
              <w:b w:val="0"/>
              <w:color w:val="1E4959"/>
              <w:spacing w:val="0"/>
              <w:kern w:val="20"/>
              <w:sz w:val="28"/>
              <w:szCs w:val="22"/>
              <w:highlight w:val="green"/>
            </w:rPr>
            <w:t>RV</w:t>
          </w:r>
        </w:sdtContent>
      </w:sdt>
      <w:r w:rsidR="0025432C">
        <w:rPr>
          <w:rFonts w:asciiTheme="minorHAnsi" w:hAnsiTheme="minorHAnsi" w:cs="Arial"/>
          <w:b w:val="0"/>
          <w:color w:val="1E4959"/>
          <w:spacing w:val="0"/>
          <w:kern w:val="20"/>
          <w:sz w:val="28"/>
          <w:szCs w:val="22"/>
        </w:rPr>
        <w:t xml:space="preserve"> Spaces</w:t>
      </w:r>
    </w:p>
    <w:p w14:paraId="15DD86BB" w14:textId="77777777" w:rsidR="0025432C" w:rsidRDefault="0025432C" w:rsidP="0025432C">
      <w:pPr>
        <w:widowControl w:val="0"/>
        <w:rPr>
          <w:rFonts w:cs="Arial"/>
          <w:szCs w:val="22"/>
        </w:rPr>
      </w:pPr>
    </w:p>
    <w:p w14:paraId="6E867498" w14:textId="77777777" w:rsidR="0025432C" w:rsidRDefault="0025432C" w:rsidP="0025432C">
      <w:pPr>
        <w:rPr>
          <w:rFonts w:ascii="Calibri" w:hAnsi="Calibri" w:cs="Segoe UI"/>
        </w:rPr>
      </w:pPr>
      <w:r w:rsidRPr="000D7CF2">
        <w:rPr>
          <w:rFonts w:ascii="Calibri" w:hAnsi="Calibri" w:cs="Segoe UI"/>
          <w:highlight w:val="green"/>
        </w:rPr>
        <w:t>Merge &amp; Insert Rent Comp Data Analysis Output</w:t>
      </w:r>
    </w:p>
    <w:p w14:paraId="3733E20E" w14:textId="77777777" w:rsidR="0025432C" w:rsidRDefault="0025432C" w:rsidP="0025432C">
      <w:pPr>
        <w:widowControl w:val="0"/>
        <w:rPr>
          <w:rFonts w:cs="Arial"/>
          <w:szCs w:val="22"/>
        </w:rPr>
      </w:pPr>
    </w:p>
    <w:p w14:paraId="678A8BCA" w14:textId="7B1E3DB1" w:rsidR="007471E1" w:rsidRDefault="007471E1" w:rsidP="007471E1">
      <w:pPr>
        <w:widowControl w:val="0"/>
        <w:rPr>
          <w:rFonts w:cs="Arial"/>
          <w:szCs w:val="22"/>
        </w:rPr>
      </w:pPr>
    </w:p>
    <w:p w14:paraId="6B0BAB7F" w14:textId="77777777" w:rsidR="0025432C" w:rsidRPr="000828FA" w:rsidRDefault="0025432C" w:rsidP="0025432C">
      <w:pPr>
        <w:pStyle w:val="Heading20"/>
        <w:rPr>
          <w:rFonts w:asciiTheme="minorHAnsi" w:hAnsiTheme="minorHAnsi" w:cs="Arial"/>
          <w:b w:val="0"/>
          <w:color w:val="1E4959"/>
          <w:spacing w:val="0"/>
          <w:kern w:val="20"/>
          <w:sz w:val="28"/>
          <w:szCs w:val="22"/>
        </w:rPr>
      </w:pPr>
      <w:r w:rsidRPr="003C52AB">
        <w:rPr>
          <w:rFonts w:asciiTheme="minorHAnsi" w:hAnsiTheme="minorHAnsi" w:cs="Arial"/>
          <w:b w:val="0"/>
          <w:color w:val="1E4959"/>
          <w:spacing w:val="0"/>
          <w:kern w:val="20"/>
          <w:sz w:val="28"/>
          <w:szCs w:val="22"/>
        </w:rPr>
        <w:t>Subject Leasing Activity</w:t>
      </w:r>
    </w:p>
    <w:p w14:paraId="39BF1894" w14:textId="07AA6DB8" w:rsidR="0025432C" w:rsidRDefault="0025432C" w:rsidP="0025432C">
      <w:pPr>
        <w:widowControl w:val="0"/>
        <w:rPr>
          <w:szCs w:val="22"/>
        </w:rPr>
      </w:pPr>
      <w:r w:rsidRPr="0025432C">
        <w:rPr>
          <w:szCs w:val="22"/>
          <w:highlight w:val="yellow"/>
        </w:rPr>
        <w:t>The following table summarizes the rent roll for the subject, as of the date of valuation.  All space rents are equivalent (single or double-wide).  The RV spaces are essentially are similar in terms of rental agreements and space characteristics. As such, rental rates are also similar. The provided rent roll was as of December 1, 201</w:t>
      </w:r>
      <w:r w:rsidR="007551F1">
        <w:rPr>
          <w:szCs w:val="22"/>
          <w:highlight w:val="yellow"/>
        </w:rPr>
        <w:t>9</w:t>
      </w:r>
      <w:r w:rsidRPr="0025432C">
        <w:rPr>
          <w:szCs w:val="22"/>
          <w:highlight w:val="yellow"/>
        </w:rPr>
        <w:t xml:space="preserve">; the property manager said no tenants or rental rates have changed through the date of the property inspection </w:t>
      </w:r>
      <w:r w:rsidRPr="00E2371F">
        <w:rPr>
          <w:szCs w:val="22"/>
        </w:rPr>
        <w:t>(</w:t>
      </w:r>
      <w:r w:rsidR="00E2371F" w:rsidRPr="00E2371F">
        <w:rPr>
          <w:szCs w:val="22"/>
        </w:rPr>
        <w:t>${inspect_date}</w:t>
      </w:r>
      <w:r w:rsidRPr="00E2371F">
        <w:rPr>
          <w:szCs w:val="22"/>
        </w:rPr>
        <w:t>).</w:t>
      </w:r>
    </w:p>
    <w:p w14:paraId="731EBFE7" w14:textId="77777777" w:rsidR="0025432C" w:rsidRDefault="0025432C" w:rsidP="0025432C">
      <w:pPr>
        <w:widowControl w:val="0"/>
        <w:rPr>
          <w:szCs w:val="22"/>
        </w:rPr>
      </w:pPr>
    </w:p>
    <w:p w14:paraId="7DB4EE76" w14:textId="77777777" w:rsidR="0025432C" w:rsidRPr="00FC142F" w:rsidRDefault="0025432C" w:rsidP="0025432C">
      <w:pPr>
        <w:widowControl w:val="0"/>
        <w:jc w:val="center"/>
        <w:rPr>
          <w:szCs w:val="22"/>
        </w:rPr>
      </w:pPr>
      <w:r w:rsidRPr="00D079FB">
        <w:rPr>
          <w:noProof/>
        </w:rPr>
        <w:drawing>
          <wp:inline distT="0" distB="0" distL="0" distR="0" wp14:anchorId="39751722" wp14:editId="5C0548D8">
            <wp:extent cx="4619625" cy="1208405"/>
            <wp:effectExtent l="0" t="0" r="9525"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619625" cy="1208405"/>
                    </a:xfrm>
                    <a:prstGeom prst="rect">
                      <a:avLst/>
                    </a:prstGeom>
                    <a:noFill/>
                    <a:ln>
                      <a:noFill/>
                    </a:ln>
                  </pic:spPr>
                </pic:pic>
              </a:graphicData>
            </a:graphic>
          </wp:inline>
        </w:drawing>
      </w:r>
    </w:p>
    <w:p w14:paraId="212D144A" w14:textId="77777777" w:rsidR="0025432C" w:rsidRPr="00FC142F" w:rsidRDefault="0025432C" w:rsidP="0025432C">
      <w:pPr>
        <w:widowControl w:val="0"/>
        <w:rPr>
          <w:szCs w:val="22"/>
        </w:rPr>
      </w:pPr>
    </w:p>
    <w:p w14:paraId="59701241" w14:textId="77777777" w:rsidR="0025432C" w:rsidRDefault="0025432C" w:rsidP="0025432C">
      <w:pPr>
        <w:widowControl w:val="0"/>
        <w:rPr>
          <w:szCs w:val="22"/>
        </w:rPr>
      </w:pPr>
      <w:r w:rsidRPr="00FC142F">
        <w:rPr>
          <w:szCs w:val="22"/>
        </w:rPr>
        <w:t>The landlord pays for water</w:t>
      </w:r>
      <w:r>
        <w:rPr>
          <w:szCs w:val="22"/>
        </w:rPr>
        <w:t xml:space="preserve"> and</w:t>
      </w:r>
      <w:r w:rsidRPr="00FC142F">
        <w:rPr>
          <w:szCs w:val="22"/>
        </w:rPr>
        <w:t xml:space="preserve"> se</w:t>
      </w:r>
      <w:r>
        <w:rPr>
          <w:szCs w:val="22"/>
        </w:rPr>
        <w:t>wer</w:t>
      </w:r>
      <w:r w:rsidRPr="00FC142F">
        <w:rPr>
          <w:szCs w:val="22"/>
        </w:rPr>
        <w:t xml:space="preserve"> and</w:t>
      </w:r>
      <w:r>
        <w:rPr>
          <w:szCs w:val="22"/>
        </w:rPr>
        <w:t xml:space="preserve"> the tenants are responsible for</w:t>
      </w:r>
      <w:r w:rsidRPr="00FC142F">
        <w:rPr>
          <w:szCs w:val="22"/>
        </w:rPr>
        <w:t xml:space="preserve"> garbage</w:t>
      </w:r>
      <w:r>
        <w:rPr>
          <w:szCs w:val="22"/>
        </w:rPr>
        <w:t xml:space="preserve"> expenses</w:t>
      </w:r>
      <w:r w:rsidRPr="00FC142F">
        <w:rPr>
          <w:szCs w:val="22"/>
        </w:rPr>
        <w:t xml:space="preserve">. Tenants </w:t>
      </w:r>
      <w:r>
        <w:rPr>
          <w:szCs w:val="22"/>
        </w:rPr>
        <w:t xml:space="preserve">also </w:t>
      </w:r>
      <w:r w:rsidRPr="00FC142F">
        <w:rPr>
          <w:szCs w:val="22"/>
        </w:rPr>
        <w:t xml:space="preserve">pay for their own electricity, cable tv and </w:t>
      </w:r>
      <w:r>
        <w:rPr>
          <w:szCs w:val="22"/>
        </w:rPr>
        <w:t>portable propane</w:t>
      </w:r>
      <w:r w:rsidRPr="00FC142F">
        <w:rPr>
          <w:szCs w:val="22"/>
        </w:rPr>
        <w:t xml:space="preserve"> gas</w:t>
      </w:r>
      <w:r>
        <w:rPr>
          <w:szCs w:val="22"/>
        </w:rPr>
        <w:t xml:space="preserve"> when applicable</w:t>
      </w:r>
      <w:r w:rsidRPr="00FC142F">
        <w:rPr>
          <w:szCs w:val="22"/>
        </w:rPr>
        <w:t>.</w:t>
      </w:r>
      <w:r>
        <w:rPr>
          <w:szCs w:val="22"/>
        </w:rPr>
        <w:t xml:space="preserve"> </w:t>
      </w:r>
      <w:r w:rsidRPr="00FC142F">
        <w:rPr>
          <w:szCs w:val="22"/>
        </w:rPr>
        <w:t xml:space="preserve"> All of these expenses are </w:t>
      </w:r>
      <w:r>
        <w:rPr>
          <w:szCs w:val="22"/>
        </w:rPr>
        <w:t>included in the rent</w:t>
      </w:r>
      <w:r w:rsidRPr="00FC142F">
        <w:rPr>
          <w:szCs w:val="22"/>
        </w:rPr>
        <w:t xml:space="preserve"> and there is no reimbursement income.</w:t>
      </w:r>
      <w:r>
        <w:rPr>
          <w:szCs w:val="22"/>
        </w:rPr>
        <w:t xml:space="preserve">  The storage area is located on the western end of the development and is available to all occupants.  Currently only four (4) owners use the space </w:t>
      </w:r>
      <w:r>
        <w:rPr>
          <w:szCs w:val="22"/>
        </w:rPr>
        <w:lastRenderedPageBreak/>
        <w:t>which produces approximately $1,295 per year in income and have averaged approximately $1,200 in the past three years according to expense documents provided by the owner.</w:t>
      </w:r>
    </w:p>
    <w:p w14:paraId="3B792A5F" w14:textId="77777777" w:rsidR="0025432C" w:rsidRPr="00FC142F" w:rsidRDefault="0025432C" w:rsidP="0025432C">
      <w:pPr>
        <w:widowControl w:val="0"/>
        <w:rPr>
          <w:szCs w:val="22"/>
        </w:rPr>
      </w:pPr>
    </w:p>
    <w:p w14:paraId="325B416D" w14:textId="1375BF71" w:rsidR="0025432C" w:rsidRPr="002A1B34" w:rsidRDefault="0025432C" w:rsidP="0025432C">
      <w:pPr>
        <w:widowControl w:val="0"/>
        <w:rPr>
          <w:szCs w:val="22"/>
        </w:rPr>
      </w:pPr>
      <w:r>
        <w:rPr>
          <w:szCs w:val="22"/>
        </w:rPr>
        <w:t xml:space="preserve">The subject property is professionally managed by Tom Jarmer of Ridge Management (503.772.1790).  In speaking with the management company, they stated the last time rent was increased was effective June 2018 and the increase was $15 per unit.  He stated the current leases are mostly on a month to month basis because the tenants have all been very long term. He stated yearly leases are typical in the marketplace with new tenants but convert to month to month after the initial year.  Therefore, </w:t>
      </w:r>
      <w:r w:rsidRPr="00AE3B07">
        <w:rPr>
          <w:szCs w:val="22"/>
        </w:rPr>
        <w:t xml:space="preserve">the property is not encumbered by a persistent </w:t>
      </w:r>
      <w:r w:rsidRPr="002A1B34">
        <w:rPr>
          <w:szCs w:val="22"/>
        </w:rPr>
        <w:t>leasehold interest and the fee simple interest is considered equivalent to the leased fee interest.</w:t>
      </w:r>
    </w:p>
    <w:p w14:paraId="71E9ADF0" w14:textId="77777777" w:rsidR="0025432C" w:rsidRPr="002A1B34" w:rsidRDefault="0025432C" w:rsidP="0025432C">
      <w:pPr>
        <w:widowControl w:val="0"/>
        <w:rPr>
          <w:szCs w:val="22"/>
        </w:rPr>
      </w:pPr>
    </w:p>
    <w:p w14:paraId="2CC2CAFF" w14:textId="77777777" w:rsidR="0025432C" w:rsidRDefault="0025432C" w:rsidP="0025432C">
      <w:pPr>
        <w:widowControl w:val="0"/>
        <w:rPr>
          <w:szCs w:val="22"/>
        </w:rPr>
      </w:pPr>
      <w:r w:rsidRPr="002A1B34">
        <w:rPr>
          <w:szCs w:val="22"/>
        </w:rPr>
        <w:t xml:space="preserve">Most subject spaces are average in size and dimension in comparison to competing projects in the market area (most parks include spaces large enough for double-wide home and/or some back-yard space). </w:t>
      </w:r>
      <w:r>
        <w:rPr>
          <w:szCs w:val="22"/>
        </w:rPr>
        <w:t xml:space="preserve">Some include carports and several have patio and </w:t>
      </w:r>
      <w:r w:rsidRPr="002A1B34">
        <w:rPr>
          <w:szCs w:val="22"/>
        </w:rPr>
        <w:t>sheds, although most are older and in fair condition</w:t>
      </w:r>
      <w:r>
        <w:rPr>
          <w:szCs w:val="22"/>
        </w:rPr>
        <w:t xml:space="preserve">.  As stated earlier, approximately four (4) spaces with additional hook-up for RV parking.  These are not nightly rentals, but typically extend for six months or more.  To rent a space, a tenant has to open an account with the city and pay a $300 deposit for the activation of the electrical </w:t>
      </w:r>
      <w:r w:rsidRPr="003479F4">
        <w:rPr>
          <w:szCs w:val="22"/>
        </w:rPr>
        <w:t>unit, then pay the $475 per month space fee.</w:t>
      </w:r>
      <w:r>
        <w:rPr>
          <w:szCs w:val="22"/>
        </w:rPr>
        <w:t xml:space="preserve"> </w:t>
      </w:r>
    </w:p>
    <w:p w14:paraId="5F033636" w14:textId="77777777" w:rsidR="00E5122E"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E52414">
        <w:rPr>
          <w:rFonts w:asciiTheme="minorHAnsi" w:hAnsiTheme="minorHAnsi" w:cs="Arial"/>
          <w:b w:val="0"/>
          <w:color w:val="1E4959"/>
          <w:spacing w:val="0"/>
          <w:kern w:val="20"/>
          <w:sz w:val="28"/>
          <w:szCs w:val="22"/>
        </w:rPr>
        <w:t>Potential Gross Rent</w:t>
      </w:r>
      <w:r>
        <w:rPr>
          <w:rFonts w:asciiTheme="minorHAnsi" w:hAnsiTheme="minorHAnsi" w:cs="Arial"/>
          <w:b w:val="0"/>
          <w:color w:val="1E4959"/>
          <w:spacing w:val="0"/>
          <w:kern w:val="20"/>
          <w:sz w:val="28"/>
          <w:szCs w:val="22"/>
        </w:rPr>
        <w:t xml:space="preserve"> </w:t>
      </w:r>
    </w:p>
    <w:p w14:paraId="7CC1F3AF" w14:textId="77777777" w:rsidR="0025432C" w:rsidRPr="002944F6" w:rsidRDefault="0025432C" w:rsidP="0025432C">
      <w:pPr>
        <w:pStyle w:val="Footer"/>
        <w:tabs>
          <w:tab w:val="left" w:pos="3744"/>
        </w:tabs>
        <w:rPr>
          <w:rFonts w:cs="Arial"/>
          <w:szCs w:val="22"/>
        </w:rPr>
      </w:pPr>
      <w:r w:rsidRPr="00493EA2">
        <w:rPr>
          <w:rFonts w:cs="Arial"/>
          <w:szCs w:val="22"/>
        </w:rPr>
        <w:t>The space rent range of the local manufactu</w:t>
      </w:r>
      <w:r>
        <w:rPr>
          <w:rFonts w:cs="Arial"/>
          <w:szCs w:val="22"/>
        </w:rPr>
        <w:t xml:space="preserve">red home park comparables is </w:t>
      </w:r>
      <w:r w:rsidRPr="0025432C">
        <w:rPr>
          <w:rFonts w:cs="Arial"/>
          <w:szCs w:val="22"/>
          <w:highlight w:val="yellow"/>
        </w:rPr>
        <w:t>$370 to $585</w:t>
      </w:r>
      <w:r w:rsidRPr="00493EA2">
        <w:rPr>
          <w:rFonts w:cs="Arial"/>
          <w:szCs w:val="22"/>
        </w:rPr>
        <w:t xml:space="preserve"> per month. </w:t>
      </w:r>
      <w:r>
        <w:rPr>
          <w:rFonts w:cs="Arial"/>
          <w:szCs w:val="22"/>
        </w:rPr>
        <w:t xml:space="preserve">The </w:t>
      </w:r>
      <w:r w:rsidRPr="0025432C">
        <w:rPr>
          <w:rFonts w:cs="Arial"/>
          <w:szCs w:val="22"/>
          <w:highlight w:val="yellow"/>
        </w:rPr>
        <w:t>subject property spaces average $455 and $510 per month (average = $470 per month</w:t>
      </w:r>
      <w:r>
        <w:rPr>
          <w:rFonts w:cs="Arial"/>
          <w:szCs w:val="22"/>
        </w:rPr>
        <w:t xml:space="preserve">).  The rents appear low in the marketplace given trash collection is not included and that they were raised only nominally in July 2018.  Note that the most recent rent increase at the park of $15 per month (approximate increase </w:t>
      </w:r>
      <w:r w:rsidRPr="002944F6">
        <w:rPr>
          <w:rFonts w:cs="Arial"/>
          <w:szCs w:val="22"/>
        </w:rPr>
        <w:t>of 3.30%) reportedly met with little resistance, and slightly more aggressive rate increase ($30 per month, or +6.4%) is considered reasonable for this year. Indeed, the subject’s pending buyer was also the investor purchaser of Improved Sale 2 where space rents were increased from far below market rate of $300 per month to reportedly $500 per month in the timeframe of 1 year without losing any tenants.</w:t>
      </w:r>
    </w:p>
    <w:p w14:paraId="37AE7457" w14:textId="77777777" w:rsidR="0025432C" w:rsidRPr="002944F6" w:rsidRDefault="0025432C" w:rsidP="0025432C">
      <w:pPr>
        <w:pStyle w:val="Footer"/>
        <w:tabs>
          <w:tab w:val="left" w:pos="3744"/>
        </w:tabs>
        <w:rPr>
          <w:rFonts w:cs="Arial"/>
          <w:szCs w:val="22"/>
        </w:rPr>
      </w:pPr>
    </w:p>
    <w:p w14:paraId="3AB1F982" w14:textId="4A11D1A1" w:rsidR="0025432C" w:rsidRDefault="0025432C" w:rsidP="0025432C">
      <w:pPr>
        <w:pStyle w:val="Footer"/>
        <w:tabs>
          <w:tab w:val="left" w:pos="3744"/>
        </w:tabs>
        <w:rPr>
          <w:rFonts w:cs="Arial"/>
          <w:szCs w:val="22"/>
        </w:rPr>
      </w:pPr>
      <w:r w:rsidRPr="002944F6">
        <w:rPr>
          <w:rFonts w:cs="Arial"/>
          <w:szCs w:val="22"/>
        </w:rPr>
        <w:t>Considering comparable properties surveyed, along with the overall market area at very high occupancies</w:t>
      </w:r>
      <w:r>
        <w:rPr>
          <w:rFonts w:cs="Arial"/>
          <w:szCs w:val="22"/>
        </w:rPr>
        <w:t xml:space="preserve"> (</w:t>
      </w:r>
      <w:r w:rsidRPr="0025432C">
        <w:rPr>
          <w:rFonts w:cs="Arial"/>
          <w:szCs w:val="22"/>
          <w:highlight w:val="yellow"/>
        </w:rPr>
        <w:t>comparables are between 96% and 100%</w:t>
      </w:r>
      <w:r>
        <w:rPr>
          <w:rFonts w:cs="Arial"/>
          <w:szCs w:val="22"/>
        </w:rPr>
        <w:t>), we do not anticipate there to be any added risk to the subject property by raising rental rates to be within range of the closest competitors within Hood River County (albeit slightly below, due to space sizes/inferior quality/condition).</w:t>
      </w:r>
      <w:r w:rsidRPr="00BF731C">
        <w:rPr>
          <w:rFonts w:cs="Arial"/>
          <w:szCs w:val="22"/>
        </w:rPr>
        <w:t xml:space="preserve"> </w:t>
      </w:r>
      <w:r>
        <w:rPr>
          <w:rFonts w:cs="Arial"/>
          <w:szCs w:val="22"/>
        </w:rPr>
        <w:t>Therefore, a</w:t>
      </w:r>
      <w:r w:rsidRPr="00460F68">
        <w:rPr>
          <w:rFonts w:cs="Arial"/>
          <w:szCs w:val="22"/>
        </w:rPr>
        <w:t xml:space="preserve"> more applicable </w:t>
      </w:r>
      <w:r w:rsidRPr="00460F68">
        <w:rPr>
          <w:rFonts w:cs="Arial"/>
          <w:b/>
          <w:szCs w:val="22"/>
        </w:rPr>
        <w:t xml:space="preserve">market rent of </w:t>
      </w:r>
      <w:r w:rsidRPr="0025432C">
        <w:rPr>
          <w:rFonts w:cs="Arial"/>
          <w:b/>
          <w:szCs w:val="22"/>
          <w:highlight w:val="yellow"/>
        </w:rPr>
        <w:t>$500 per space</w:t>
      </w:r>
      <w:r w:rsidRPr="00460F68">
        <w:rPr>
          <w:rFonts w:cs="Arial"/>
          <w:szCs w:val="22"/>
        </w:rPr>
        <w:t xml:space="preserve"> will be utilized in this analysis</w:t>
      </w:r>
      <w:r>
        <w:rPr>
          <w:rFonts w:cs="Arial"/>
          <w:szCs w:val="22"/>
        </w:rPr>
        <w:t xml:space="preserve"> </w:t>
      </w:r>
      <w:r w:rsidRPr="00082DA4">
        <w:rPr>
          <w:rFonts w:cs="Arial"/>
          <w:b/>
          <w:szCs w:val="22"/>
        </w:rPr>
        <w:t xml:space="preserve">for </w:t>
      </w:r>
      <w:r>
        <w:rPr>
          <w:rFonts w:cs="Arial"/>
          <w:b/>
          <w:szCs w:val="22"/>
        </w:rPr>
        <w:t xml:space="preserve">all </w:t>
      </w:r>
      <w:r w:rsidR="00E2371F">
        <w:rPr>
          <w:rFonts w:cs="Arial"/>
          <w:b/>
          <w:szCs w:val="22"/>
        </w:rPr>
        <w:t>${spaces}</w:t>
      </w:r>
      <w:r>
        <w:rPr>
          <w:rFonts w:cs="Arial"/>
          <w:b/>
          <w:szCs w:val="22"/>
        </w:rPr>
        <w:t xml:space="preserve"> spaces</w:t>
      </w:r>
      <w:r w:rsidRPr="00460F68">
        <w:rPr>
          <w:rFonts w:cs="Arial"/>
          <w:szCs w:val="22"/>
        </w:rPr>
        <w:t>.</w:t>
      </w:r>
    </w:p>
    <w:p w14:paraId="2CC4E8DB" w14:textId="77777777" w:rsidR="0025432C" w:rsidRPr="009B6E44" w:rsidRDefault="0025432C" w:rsidP="0025432C">
      <w:pPr>
        <w:pStyle w:val="Footer"/>
        <w:keepNext/>
        <w:keepLines/>
        <w:tabs>
          <w:tab w:val="left" w:pos="3744"/>
        </w:tabs>
        <w:spacing w:before="260"/>
        <w:outlineLvl w:val="1"/>
        <w:rPr>
          <w:rFonts w:cs="Arial"/>
          <w:b/>
          <w:color w:val="1E4959"/>
          <w:kern w:val="20"/>
          <w:sz w:val="28"/>
          <w:szCs w:val="22"/>
        </w:rPr>
      </w:pPr>
      <w:r w:rsidRPr="009B6E44">
        <w:rPr>
          <w:rFonts w:cs="Arial"/>
          <w:color w:val="1E4959"/>
          <w:kern w:val="20"/>
          <w:sz w:val="28"/>
          <w:szCs w:val="22"/>
        </w:rPr>
        <w:t xml:space="preserve">Potential Gross </w:t>
      </w:r>
      <w:r>
        <w:rPr>
          <w:rFonts w:cs="Arial"/>
          <w:color w:val="1E4959"/>
          <w:kern w:val="20"/>
          <w:sz w:val="28"/>
          <w:szCs w:val="22"/>
        </w:rPr>
        <w:t xml:space="preserve">Rental </w:t>
      </w:r>
      <w:r w:rsidRPr="009B6E44">
        <w:rPr>
          <w:rFonts w:cs="Arial"/>
          <w:color w:val="1E4959"/>
          <w:kern w:val="20"/>
          <w:sz w:val="28"/>
          <w:szCs w:val="22"/>
        </w:rPr>
        <w:t>Income</w:t>
      </w:r>
    </w:p>
    <w:p w14:paraId="1925EE74" w14:textId="2502B0B8" w:rsidR="0025432C" w:rsidRDefault="0025432C" w:rsidP="0025432C">
      <w:pPr>
        <w:pStyle w:val="Footer"/>
        <w:rPr>
          <w:rFonts w:cs="Arial"/>
          <w:szCs w:val="22"/>
        </w:rPr>
      </w:pPr>
      <w:r w:rsidRPr="00082DA4">
        <w:rPr>
          <w:rFonts w:cs="Arial"/>
          <w:szCs w:val="22"/>
        </w:rPr>
        <w:t xml:space="preserve">Gross potential rental income at market rent is forecast at </w:t>
      </w:r>
      <w:r w:rsidR="00DD49B1" w:rsidRPr="0025432C">
        <w:rPr>
          <w:rFonts w:cs="Arial"/>
          <w:b/>
          <w:szCs w:val="22"/>
          <w:highlight w:val="yellow"/>
        </w:rPr>
        <w:t xml:space="preserve">$_________ </w:t>
      </w:r>
      <w:r w:rsidR="00DD49B1" w:rsidRPr="0025432C">
        <w:rPr>
          <w:highlight w:val="yellow"/>
        </w:rPr>
        <w:t>($________ per space)</w:t>
      </w:r>
      <w:r w:rsidRPr="00DD49B1">
        <w:rPr>
          <w:rFonts w:cs="Arial"/>
          <w:bCs/>
          <w:szCs w:val="22"/>
        </w:rPr>
        <w:t>.</w:t>
      </w:r>
      <w:r w:rsidRPr="00082DA4">
        <w:rPr>
          <w:rFonts w:cs="Arial"/>
          <w:szCs w:val="22"/>
        </w:rPr>
        <w:t xml:space="preserve"> This a</w:t>
      </w:r>
      <w:r w:rsidRPr="00AC66C6">
        <w:rPr>
          <w:rFonts w:cs="Arial"/>
          <w:szCs w:val="22"/>
        </w:rPr>
        <w:t>mount is indicated in the following stabilized income and expense statement for the subject property.</w:t>
      </w:r>
      <w:r>
        <w:rPr>
          <w:rFonts w:cs="Arial"/>
          <w:szCs w:val="22"/>
        </w:rPr>
        <w:t xml:space="preserve"> </w:t>
      </w:r>
    </w:p>
    <w:p w14:paraId="5F39AA43" w14:textId="0FF244E0" w:rsidR="0025432C" w:rsidRPr="004E5C4F" w:rsidRDefault="0025432C" w:rsidP="0025432C">
      <w:pPr>
        <w:spacing w:before="240"/>
        <w:rPr>
          <w:bCs/>
          <w:color w:val="1E4959"/>
          <w:sz w:val="24"/>
          <w:u w:val="single"/>
        </w:rPr>
      </w:pPr>
      <w:r w:rsidRPr="004E5C4F">
        <w:rPr>
          <w:bCs/>
          <w:color w:val="1E4959"/>
          <w:sz w:val="24"/>
          <w:u w:val="single"/>
        </w:rPr>
        <w:t xml:space="preserve">Other </w:t>
      </w:r>
      <w:r w:rsidR="008D26BD">
        <w:rPr>
          <w:bCs/>
          <w:color w:val="1E4959"/>
          <w:sz w:val="24"/>
          <w:u w:val="single"/>
        </w:rPr>
        <w:t xml:space="preserve">Storage </w:t>
      </w:r>
      <w:r w:rsidRPr="004E5C4F">
        <w:rPr>
          <w:bCs/>
          <w:color w:val="1E4959"/>
          <w:sz w:val="24"/>
          <w:u w:val="single"/>
        </w:rPr>
        <w:t>Income</w:t>
      </w:r>
    </w:p>
    <w:p w14:paraId="27F5F0A9" w14:textId="715766BE" w:rsidR="00DD49B1" w:rsidRDefault="00DD49B1" w:rsidP="00DD49B1">
      <w:r w:rsidRPr="00460745">
        <w:t>Other income at the subject property includes income from miscellaneous charges</w:t>
      </w:r>
      <w:r>
        <w:t xml:space="preserve"> and RV Storage Fees</w:t>
      </w:r>
      <w:r w:rsidRPr="00460745">
        <w:t xml:space="preserve">. </w:t>
      </w:r>
      <w:r>
        <w:t>Between</w:t>
      </w:r>
      <w:r w:rsidRPr="00460745">
        <w:t xml:space="preserve"> </w:t>
      </w:r>
      <w:r w:rsidRPr="00DD49B1">
        <w:rPr>
          <w:highlight w:val="yellow"/>
        </w:rPr>
        <w:t>2018 and 2020</w:t>
      </w:r>
      <w:r w:rsidRPr="00460745">
        <w:t xml:space="preserve">, </w:t>
      </w:r>
      <w:r>
        <w:t xml:space="preserve">miscellaneous charges amounted to </w:t>
      </w:r>
      <w:r w:rsidRPr="00DD49B1">
        <w:rPr>
          <w:highlight w:val="yellow"/>
        </w:rPr>
        <w:t>$19, $12, and $13 per space per year</w:t>
      </w:r>
      <w:r w:rsidRPr="00460745">
        <w:t xml:space="preserve">, which is </w:t>
      </w:r>
      <w:r>
        <w:t>in-line with</w:t>
      </w:r>
      <w:r w:rsidRPr="00460745">
        <w:t xml:space="preserve"> market indicators, which suggest a range from </w:t>
      </w:r>
      <w:r w:rsidRPr="00DD49B1">
        <w:rPr>
          <w:highlight w:val="yellow"/>
        </w:rPr>
        <w:t>$0 to $350 per space per year</w:t>
      </w:r>
      <w:r w:rsidRPr="00460745">
        <w:t xml:space="preserve">. </w:t>
      </w:r>
      <w:r>
        <w:t xml:space="preserve">Considering the historic figures at the property, miscellaneous charges for the subject property are estimated at </w:t>
      </w:r>
      <w:r w:rsidRPr="00DD49B1">
        <w:rPr>
          <w:b/>
          <w:highlight w:val="yellow"/>
        </w:rPr>
        <w:t>$15 per space per year</w:t>
      </w:r>
      <w:r>
        <w:t xml:space="preserve"> for a total of </w:t>
      </w:r>
      <w:r w:rsidRPr="00DD49B1">
        <w:rPr>
          <w:b/>
          <w:highlight w:val="yellow"/>
        </w:rPr>
        <w:t>$915 per year</w:t>
      </w:r>
      <w:r w:rsidRPr="001E2598">
        <w:rPr>
          <w:b/>
        </w:rPr>
        <w:t>.</w:t>
      </w:r>
    </w:p>
    <w:p w14:paraId="211E3F57" w14:textId="77777777" w:rsidR="00DD49B1" w:rsidRDefault="00DD49B1" w:rsidP="00DD49B1"/>
    <w:p w14:paraId="2070AC12" w14:textId="77777777" w:rsidR="00DD49B1" w:rsidRPr="008D26BD" w:rsidRDefault="00DD49B1" w:rsidP="00DD49B1">
      <w:pPr>
        <w:rPr>
          <w:highlight w:val="yellow"/>
        </w:rPr>
      </w:pPr>
      <w:r w:rsidRPr="008D26BD">
        <w:rPr>
          <w:highlight w:val="yellow"/>
        </w:rPr>
        <w:lastRenderedPageBreak/>
        <w:t xml:space="preserve">The subject has the unique positioning of having an RV storage yard with surplus capacity and has been collecting RV storage rent from residents within the subject and from the immediately surrounding mobile home park (Giadanj Estates, which is under the same ownership). We anticipate this arrangement would continue in the future, as it benefits both park owners and residents. RV Storage income between 2016 and 2018 was $11,062, $12,127, and $11,250. Considering the preceding, RV Storage income for the subject property is estimated at </w:t>
      </w:r>
      <w:r w:rsidRPr="008D26BD">
        <w:rPr>
          <w:b/>
          <w:highlight w:val="yellow"/>
        </w:rPr>
        <w:t>$11,250 per year.</w:t>
      </w:r>
      <w:r w:rsidRPr="008D26BD" w:rsidDel="008D7C80">
        <w:rPr>
          <w:highlight w:val="yellow"/>
        </w:rPr>
        <w:t xml:space="preserve"> </w:t>
      </w:r>
    </w:p>
    <w:p w14:paraId="1D86029C" w14:textId="77777777" w:rsidR="00DD49B1" w:rsidRPr="008D26BD" w:rsidRDefault="00DD49B1" w:rsidP="00DD49B1">
      <w:pPr>
        <w:rPr>
          <w:highlight w:val="yellow"/>
        </w:rPr>
      </w:pPr>
    </w:p>
    <w:p w14:paraId="391EECDE" w14:textId="77777777" w:rsidR="00DD49B1" w:rsidRDefault="00DD49B1" w:rsidP="00DD49B1">
      <w:r w:rsidRPr="008D26BD">
        <w:rPr>
          <w:highlight w:val="yellow"/>
        </w:rPr>
        <w:t>Note that the landlord has an arrangement for revenue sharing with Comcast which produces additional income. However, this income is considered to be business-related and may not be available to a more typical market operator of the subject. It is therefore not considered in our analysis.</w:t>
      </w:r>
    </w:p>
    <w:p w14:paraId="042E6957" w14:textId="77777777" w:rsidR="008D26BD" w:rsidRDefault="008D26BD" w:rsidP="008D26BD">
      <w:pPr>
        <w:spacing w:before="240"/>
        <w:rPr>
          <w:bCs/>
          <w:color w:val="1E4959"/>
          <w:sz w:val="24"/>
          <w:u w:val="single"/>
        </w:rPr>
      </w:pPr>
      <w:r>
        <w:rPr>
          <w:bCs/>
          <w:color w:val="1E4959"/>
          <w:sz w:val="24"/>
          <w:u w:val="single"/>
        </w:rPr>
        <w:t>Utilities / Cable Reimbursements</w:t>
      </w:r>
    </w:p>
    <w:p w14:paraId="038BEAB4" w14:textId="75F02ADF" w:rsidR="008D26BD" w:rsidRPr="004E5C4F" w:rsidRDefault="008D26BD" w:rsidP="008D26BD">
      <w:r>
        <w:t xml:space="preserve">The tenants pay electricity directly, while reimbursing the landlord for water (including reading and billing fee), sewer, and cable services. Between </w:t>
      </w:r>
      <w:r w:rsidRPr="008D26BD">
        <w:rPr>
          <w:highlight w:val="yellow"/>
        </w:rPr>
        <w:t>2018 and 20 the reimbursements equated to $105, $109, and $109 per unit per month</w:t>
      </w:r>
      <w:r>
        <w:t xml:space="preserve">. Considering utilities typically increase each year, </w:t>
      </w:r>
      <w:r w:rsidRPr="008D26BD">
        <w:rPr>
          <w:bCs/>
        </w:rPr>
        <w:t xml:space="preserve">this analysis concludes at reimbursement income slightly above that of </w:t>
      </w:r>
      <w:r w:rsidRPr="008D26BD">
        <w:rPr>
          <w:bCs/>
          <w:highlight w:val="yellow"/>
        </w:rPr>
        <w:t>2020</w:t>
      </w:r>
      <w:r w:rsidRPr="008D26BD">
        <w:rPr>
          <w:bCs/>
        </w:rPr>
        <w:t>, at</w:t>
      </w:r>
      <w:r w:rsidRPr="007D5962">
        <w:rPr>
          <w:b/>
        </w:rPr>
        <w:t xml:space="preserve"> </w:t>
      </w:r>
      <w:r w:rsidRPr="008D26BD">
        <w:rPr>
          <w:b/>
          <w:highlight w:val="yellow"/>
        </w:rPr>
        <w:t>$110 per unit per month</w:t>
      </w:r>
      <w:r w:rsidRPr="008D26BD">
        <w:t xml:space="preserve"> </w:t>
      </w:r>
      <w:r>
        <w:t xml:space="preserve">for a total of </w:t>
      </w:r>
      <w:r w:rsidRPr="00DD49B1">
        <w:rPr>
          <w:b/>
          <w:highlight w:val="yellow"/>
        </w:rPr>
        <w:t>$915 per year</w:t>
      </w:r>
      <w:r w:rsidRPr="001E2598">
        <w:rPr>
          <w:b/>
        </w:rPr>
        <w:t>.</w:t>
      </w:r>
    </w:p>
    <w:p w14:paraId="29B7A26E" w14:textId="77777777" w:rsidR="008D26BD" w:rsidRPr="00460745" w:rsidRDefault="008D26BD" w:rsidP="008D26BD">
      <w:pPr>
        <w:pStyle w:val="Footer"/>
        <w:keepNext/>
        <w:keepLines/>
        <w:tabs>
          <w:tab w:val="left" w:pos="3744"/>
        </w:tabs>
        <w:spacing w:before="260"/>
        <w:outlineLvl w:val="1"/>
        <w:rPr>
          <w:rFonts w:cs="Arial"/>
          <w:b/>
          <w:color w:val="1E4959"/>
          <w:kern w:val="20"/>
          <w:sz w:val="28"/>
          <w:szCs w:val="22"/>
        </w:rPr>
      </w:pPr>
      <w:r w:rsidRPr="00460745">
        <w:rPr>
          <w:rFonts w:cs="Arial"/>
          <w:color w:val="1E4959"/>
          <w:kern w:val="20"/>
          <w:sz w:val="28"/>
          <w:szCs w:val="22"/>
        </w:rPr>
        <w:t>Potential Gross Income</w:t>
      </w:r>
    </w:p>
    <w:p w14:paraId="6786889E" w14:textId="4C6686C9" w:rsidR="0025432C" w:rsidRDefault="008D26BD" w:rsidP="0025432C">
      <w:pPr>
        <w:pStyle w:val="Footer"/>
        <w:rPr>
          <w:rFonts w:cs="Arial"/>
          <w:szCs w:val="22"/>
        </w:rPr>
      </w:pPr>
      <w:r w:rsidRPr="00460745">
        <w:rPr>
          <w:rFonts w:cs="Arial"/>
          <w:szCs w:val="22"/>
        </w:rPr>
        <w:t xml:space="preserve">Combining gross potential rental income with </w:t>
      </w:r>
      <w:r>
        <w:rPr>
          <w:rFonts w:cs="Arial"/>
          <w:szCs w:val="22"/>
        </w:rPr>
        <w:t>other income and reimbursements</w:t>
      </w:r>
      <w:r w:rsidRPr="00460745">
        <w:rPr>
          <w:rFonts w:cs="Arial"/>
          <w:szCs w:val="22"/>
        </w:rPr>
        <w:t xml:space="preserve"> equates to potential gross income</w:t>
      </w:r>
      <w:r>
        <w:rPr>
          <w:rFonts w:cs="Arial"/>
          <w:szCs w:val="22"/>
        </w:rPr>
        <w:t xml:space="preserve"> of</w:t>
      </w:r>
      <w:r w:rsidRPr="00082DA4">
        <w:rPr>
          <w:rFonts w:cs="Arial"/>
          <w:szCs w:val="22"/>
        </w:rPr>
        <w:t xml:space="preserve"> </w:t>
      </w:r>
      <w:r w:rsidRPr="0025432C">
        <w:rPr>
          <w:rFonts w:cs="Arial"/>
          <w:b/>
          <w:szCs w:val="22"/>
          <w:highlight w:val="yellow"/>
        </w:rPr>
        <w:t xml:space="preserve">$_________ </w:t>
      </w:r>
      <w:r w:rsidRPr="0025432C">
        <w:rPr>
          <w:highlight w:val="yellow"/>
        </w:rPr>
        <w:t>($________ per space)</w:t>
      </w:r>
      <w:r>
        <w:rPr>
          <w:rFonts w:cs="Arial"/>
          <w:szCs w:val="22"/>
        </w:rPr>
        <w:t>.</w:t>
      </w:r>
      <w:r w:rsidR="0025432C" w:rsidRPr="00082DA4">
        <w:rPr>
          <w:rFonts w:cs="Arial"/>
          <w:szCs w:val="22"/>
        </w:rPr>
        <w:t xml:space="preserve"> </w:t>
      </w:r>
    </w:p>
    <w:p w14:paraId="2F33F29C" w14:textId="77777777" w:rsidR="0025432C" w:rsidRPr="009B6E44" w:rsidRDefault="0025432C" w:rsidP="0025432C">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76EF2302" w14:textId="77777777" w:rsidR="0025432C" w:rsidRPr="00493EA2" w:rsidRDefault="0025432C" w:rsidP="0025432C">
      <w:r w:rsidRPr="00493EA2">
        <w:t>This expense category accounts for the time period between tenants, as well as possible prolonged vacancies under slow market conditions. The assignment will reflect the probable vacancy during the economic life of the property.</w:t>
      </w:r>
    </w:p>
    <w:p w14:paraId="4F1F09D9" w14:textId="77777777" w:rsidR="0025432C" w:rsidRPr="00493EA2" w:rsidRDefault="0025432C" w:rsidP="0025432C"/>
    <w:p w14:paraId="5C4EA9B7" w14:textId="77777777" w:rsidR="008D26BD" w:rsidRDefault="008D26BD" w:rsidP="008D26BD">
      <w:r w:rsidRPr="00493EA2">
        <w:t xml:space="preserve">At the time of inspection, the subject property </w:t>
      </w:r>
      <w:r>
        <w:t xml:space="preserve">had no vacancies. </w:t>
      </w:r>
      <w:r w:rsidRPr="00493EA2">
        <w:t xml:space="preserve">A review of </w:t>
      </w:r>
      <w:r>
        <w:t xml:space="preserve">other </w:t>
      </w:r>
      <w:r w:rsidRPr="00493EA2">
        <w:t xml:space="preserve">comparable sale properties indicates most investors evaluate the income potential of similar projects using a zero to </w:t>
      </w:r>
      <w:r>
        <w:t>5%</w:t>
      </w:r>
      <w:r w:rsidRPr="00493EA2">
        <w:t xml:space="preserve"> vacancy and coll</w:t>
      </w:r>
      <w:r>
        <w:t xml:space="preserve">ection loss factor, while comparables surveyed indicate vacancies of less than 2% and </w:t>
      </w:r>
      <w:r w:rsidRPr="00493EA2">
        <w:t>ha</w:t>
      </w:r>
      <w:r>
        <w:t>ve</w:t>
      </w:r>
      <w:r w:rsidRPr="00493EA2">
        <w:t xml:space="preserve"> effectively been operating at stabilized level</w:t>
      </w:r>
      <w:r>
        <w:t>s</w:t>
      </w:r>
      <w:r w:rsidRPr="00493EA2">
        <w:t xml:space="preserve"> long-term.</w:t>
      </w:r>
    </w:p>
    <w:p w14:paraId="50D1B177" w14:textId="77777777" w:rsidR="008D26BD" w:rsidRDefault="008D26BD" w:rsidP="008D26BD"/>
    <w:p w14:paraId="07046EBC" w14:textId="79F12316" w:rsidR="00921FB4" w:rsidRDefault="00921FB4" w:rsidP="00921FB4">
      <w:pPr>
        <w:rPr>
          <w:rFonts w:cs="Arial"/>
          <w:szCs w:val="22"/>
        </w:rPr>
      </w:pPr>
      <w:r w:rsidRPr="00C655DD">
        <w:rPr>
          <w:rFonts w:cs="Arial"/>
          <w:szCs w:val="22"/>
          <w:highlight w:val="green"/>
        </w:rPr>
        <w:t>Copy th</w:t>
      </w:r>
      <w:r>
        <w:rPr>
          <w:rFonts w:cs="Arial"/>
          <w:szCs w:val="22"/>
          <w:highlight w:val="green"/>
        </w:rPr>
        <w:t>ese</w:t>
      </w:r>
      <w:r w:rsidRPr="00C655DD">
        <w:rPr>
          <w:rFonts w:cs="Arial"/>
          <w:szCs w:val="22"/>
          <w:highlight w:val="green"/>
        </w:rPr>
        <w:t xml:space="preserve"> paragraph</w:t>
      </w:r>
      <w:r>
        <w:rPr>
          <w:rFonts w:cs="Arial"/>
          <w:szCs w:val="22"/>
          <w:highlight w:val="green"/>
        </w:rPr>
        <w:t>s</w:t>
      </w:r>
      <w:r w:rsidRPr="00C655DD">
        <w:rPr>
          <w:rFonts w:cs="Arial"/>
          <w:szCs w:val="22"/>
          <w:highlight w:val="green"/>
        </w:rPr>
        <w:t xml:space="preserve"> directly from </w:t>
      </w:r>
      <w:r w:rsidRPr="00FF34F3">
        <w:rPr>
          <w:rFonts w:cs="Arial"/>
          <w:szCs w:val="22"/>
          <w:highlight w:val="green"/>
        </w:rPr>
        <w:t>Market Analysis</w:t>
      </w:r>
    </w:p>
    <w:p w14:paraId="1791EFDC" w14:textId="6D63E7F8" w:rsidR="008D26BD" w:rsidRPr="009613AB" w:rsidRDefault="008D26BD" w:rsidP="008D26BD">
      <w:r w:rsidRPr="008D26BD">
        <w:rPr>
          <w:highlight w:val="yellow"/>
        </w:rPr>
        <w:t xml:space="preserve">According to the most recent </w:t>
      </w:r>
      <w:r w:rsidRPr="008D26BD">
        <w:rPr>
          <w:b/>
          <w:highlight w:val="yellow"/>
        </w:rPr>
        <w:t>Multi-family Northwest Report</w:t>
      </w:r>
      <w:r w:rsidRPr="008D26BD">
        <w:rPr>
          <w:highlight w:val="yellow"/>
        </w:rPr>
        <w:t xml:space="preserve"> (Fall 2020), current average multi-family vacancy in the subject’s immediate Milwaukie area is at 3.0%. The current average rental rate is $1.43 per SF, which has stayed steady from $1.43 per SF from Spring 2018.</w:t>
      </w:r>
    </w:p>
    <w:p w14:paraId="54AB854A" w14:textId="77777777" w:rsidR="008D26BD" w:rsidRDefault="008D26BD" w:rsidP="008D26BD"/>
    <w:p w14:paraId="532554D4" w14:textId="25514306" w:rsidR="008D26BD" w:rsidRDefault="008D26BD" w:rsidP="008D26BD">
      <w:pPr>
        <w:rPr>
          <w:rFonts w:cs="Arial"/>
          <w:szCs w:val="22"/>
        </w:rPr>
      </w:pPr>
      <w:r w:rsidRPr="008D26BD">
        <w:rPr>
          <w:rFonts w:cs="Arial"/>
          <w:szCs w:val="22"/>
          <w:highlight w:val="yellow"/>
        </w:rPr>
        <w:t xml:space="preserve">The subject primarily competes with manufactured home parks in the </w:t>
      </w:r>
      <w:r w:rsidRPr="008D26BD">
        <w:rPr>
          <w:rFonts w:cs="Arial"/>
          <w:szCs w:val="22"/>
          <w:highlight w:val="yellow"/>
          <w:u w:val="single"/>
        </w:rPr>
        <w:t>Clackamas / Milwaukie Submarket</w:t>
      </w:r>
      <w:r w:rsidRPr="008D26BD">
        <w:rPr>
          <w:rFonts w:cs="Arial"/>
          <w:szCs w:val="22"/>
          <w:highlight w:val="yellow"/>
        </w:rPr>
        <w:t>. As of April 20</w:t>
      </w:r>
      <w:r>
        <w:rPr>
          <w:rFonts w:cs="Arial"/>
          <w:szCs w:val="22"/>
          <w:highlight w:val="yellow"/>
        </w:rPr>
        <w:t>20</w:t>
      </w:r>
      <w:r w:rsidRPr="008D26BD">
        <w:rPr>
          <w:rFonts w:cs="Arial"/>
          <w:szCs w:val="22"/>
          <w:highlight w:val="yellow"/>
        </w:rPr>
        <w:t xml:space="preserve">, </w:t>
      </w:r>
      <w:r w:rsidRPr="008D26BD">
        <w:rPr>
          <w:rFonts w:cs="Arial"/>
          <w:b/>
          <w:szCs w:val="22"/>
          <w:highlight w:val="yellow"/>
        </w:rPr>
        <w:t xml:space="preserve">CoStar </w:t>
      </w:r>
      <w:r w:rsidRPr="008D26BD">
        <w:rPr>
          <w:rFonts w:cs="Arial"/>
          <w:szCs w:val="22"/>
          <w:highlight w:val="yellow"/>
        </w:rPr>
        <w:t>reports an overall vacancy rate of 4.1% (56 out of 1,363 units among 32 developments). which is down from the 5-year average of 4.5%. Occupancy rates have been relatively stable for the past five years. Rental rates have increased steadily over the past five years, with current rent estimated at $538 per months, in comparison to the 5-year average of $511.</w:t>
      </w:r>
    </w:p>
    <w:p w14:paraId="5A3426E6" w14:textId="77777777" w:rsidR="008D26BD" w:rsidRDefault="008D26BD" w:rsidP="008D26BD"/>
    <w:p w14:paraId="1DC53640" w14:textId="77777777" w:rsidR="008D26BD" w:rsidRDefault="008D26BD" w:rsidP="008D26BD">
      <w:r w:rsidRPr="00B3013C">
        <w:t xml:space="preserve">Therefore, based on the above, a stabilized vacancy and credit loss </w:t>
      </w:r>
      <w:r w:rsidRPr="00E54305">
        <w:t xml:space="preserve">of </w:t>
      </w:r>
      <w:r>
        <w:rPr>
          <w:b/>
        </w:rPr>
        <w:t>5.0</w:t>
      </w:r>
      <w:r w:rsidRPr="00E54305">
        <w:rPr>
          <w:b/>
        </w:rPr>
        <w:t>%</w:t>
      </w:r>
      <w:r w:rsidRPr="00B3013C">
        <w:t xml:space="preserve"> is estimated for the subject property. According to manufactured housing community investors, as well as brokers, this amount is reasonable.</w:t>
      </w:r>
    </w:p>
    <w:p w14:paraId="4CC4A6CC" w14:textId="77777777" w:rsidR="0025432C" w:rsidRPr="009B6E44" w:rsidRDefault="0025432C" w:rsidP="0025432C">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lastRenderedPageBreak/>
        <w:t>Effective Gross Income</w:t>
      </w:r>
    </w:p>
    <w:p w14:paraId="2F3FCE1B" w14:textId="3C59303C" w:rsidR="0025432C" w:rsidRDefault="0025432C" w:rsidP="0025432C">
      <w:r w:rsidRPr="00B3013C">
        <w:t>Based on the prece</w:t>
      </w:r>
      <w:r w:rsidRPr="00082DA4">
        <w:t xml:space="preserve">ding, effective gross rental income for the subject property is estimated at </w:t>
      </w:r>
      <w:r w:rsidR="008D26BD" w:rsidRPr="0025432C">
        <w:rPr>
          <w:rFonts w:cs="Arial"/>
          <w:b/>
          <w:szCs w:val="22"/>
          <w:highlight w:val="yellow"/>
        </w:rPr>
        <w:t xml:space="preserve">$_________ </w:t>
      </w:r>
      <w:r w:rsidR="008D26BD" w:rsidRPr="0025432C">
        <w:rPr>
          <w:highlight w:val="yellow"/>
        </w:rPr>
        <w:t>($________ per space)</w:t>
      </w:r>
      <w:r w:rsidR="008D26BD">
        <w:rPr>
          <w:rFonts w:cs="Arial"/>
          <w:szCs w:val="22"/>
        </w:rPr>
        <w:t>.</w:t>
      </w:r>
    </w:p>
    <w:p w14:paraId="3DD2AE29" w14:textId="77777777" w:rsidR="0025432C" w:rsidRPr="009B6E44" w:rsidRDefault="0025432C" w:rsidP="0025432C">
      <w:pPr>
        <w:keepNext/>
        <w:keepLines/>
        <w:spacing w:before="260"/>
        <w:outlineLvl w:val="1"/>
        <w:rPr>
          <w:rFonts w:cs="Arial"/>
          <w:b/>
          <w:color w:val="1E4959"/>
          <w:sz w:val="28"/>
          <w:szCs w:val="22"/>
        </w:rPr>
      </w:pPr>
      <w:r w:rsidRPr="009B6E44">
        <w:rPr>
          <w:rFonts w:cs="Arial"/>
          <w:color w:val="1E4959"/>
          <w:sz w:val="28"/>
          <w:szCs w:val="22"/>
        </w:rPr>
        <w:t>Projected Operating Expenses</w:t>
      </w:r>
    </w:p>
    <w:p w14:paraId="56703841" w14:textId="77777777" w:rsidR="0025432C" w:rsidRPr="00B3013C" w:rsidRDefault="0025432C" w:rsidP="0025432C">
      <w:pPr>
        <w:widowControl w:val="0"/>
        <w:rPr>
          <w:rFonts w:cs="Segoe UI"/>
          <w:color w:val="000000"/>
          <w:szCs w:val="22"/>
        </w:rPr>
      </w:pPr>
      <w:r w:rsidRPr="00B3013C">
        <w:rPr>
          <w:rFonts w:cs="Segoe UI"/>
          <w:color w:val="000000"/>
          <w:szCs w:val="22"/>
        </w:rPr>
        <w:t xml:space="preserve">The next step in the Income Capitalization Approach is to estimate the subject's stabilized operating expenses. The market rent conclusion has been based upon a </w:t>
      </w:r>
      <w:r>
        <w:rPr>
          <w:rFonts w:cs="Segoe UI"/>
          <w:color w:val="000000"/>
          <w:szCs w:val="22"/>
        </w:rPr>
        <w:t>modified</w:t>
      </w:r>
      <w:r w:rsidRPr="00B3013C">
        <w:rPr>
          <w:rFonts w:cs="Segoe UI"/>
          <w:color w:val="000000"/>
          <w:szCs w:val="22"/>
        </w:rPr>
        <w:t xml:space="preserve"> basis, similar to multi-family apartment properties. The landlord is responsible for expenses including real estate taxes, insurance, property management, administrative expenses, repairs and maintenance and some utilities (</w:t>
      </w:r>
      <w:r>
        <w:rPr>
          <w:rFonts w:cs="Segoe UI"/>
          <w:color w:val="000000"/>
          <w:szCs w:val="22"/>
        </w:rPr>
        <w:t xml:space="preserve">water / sewer / garbage expenses and </w:t>
      </w:r>
      <w:r w:rsidRPr="00B3013C">
        <w:rPr>
          <w:rFonts w:cs="Segoe UI"/>
          <w:color w:val="000000"/>
          <w:szCs w:val="22"/>
        </w:rPr>
        <w:t>common areas).</w:t>
      </w:r>
    </w:p>
    <w:p w14:paraId="2A2AFBE4" w14:textId="77777777" w:rsidR="0025432C" w:rsidRPr="00B3013C" w:rsidRDefault="0025432C" w:rsidP="0025432C">
      <w:pPr>
        <w:widowControl w:val="0"/>
        <w:rPr>
          <w:rFonts w:cs="Segoe UI"/>
          <w:color w:val="000000"/>
          <w:szCs w:val="22"/>
        </w:rPr>
      </w:pPr>
    </w:p>
    <w:p w14:paraId="4E0E3158" w14:textId="3671A297" w:rsidR="0025432C" w:rsidRDefault="0025432C" w:rsidP="0025432C">
      <w:pPr>
        <w:rPr>
          <w:rFonts w:cs="Segoe UI"/>
          <w:color w:val="000000"/>
          <w:szCs w:val="22"/>
        </w:rPr>
      </w:pPr>
      <w:r w:rsidRPr="00B3013C">
        <w:rPr>
          <w:rFonts w:cs="Segoe UI"/>
          <w:color w:val="000000"/>
          <w:szCs w:val="22"/>
        </w:rPr>
        <w:t>To estimate expenses applicable to the subject property, the subject</w:t>
      </w:r>
      <w:r>
        <w:rPr>
          <w:rFonts w:cs="Segoe UI"/>
          <w:color w:val="000000"/>
          <w:szCs w:val="22"/>
        </w:rPr>
        <w:t>’s most recent income statement was</w:t>
      </w:r>
      <w:r w:rsidRPr="00B3013C">
        <w:rPr>
          <w:rFonts w:cs="Segoe UI"/>
          <w:color w:val="000000"/>
          <w:szCs w:val="22"/>
        </w:rPr>
        <w:t xml:space="preserve"> analyzed. Additional expense information was obtained from our files, which includes expenses from other manufactured housing communities in the region.</w:t>
      </w:r>
    </w:p>
    <w:p w14:paraId="407756CB" w14:textId="77777777" w:rsidR="000B0C0A" w:rsidRDefault="000B0C0A" w:rsidP="0025432C">
      <w:pPr>
        <w:rPr>
          <w:rFonts w:cs="Segoe UI"/>
          <w:color w:val="000000"/>
          <w:szCs w:val="22"/>
        </w:rPr>
      </w:pPr>
    </w:p>
    <w:p w14:paraId="242E8A87" w14:textId="2C846D52" w:rsidR="0025432C" w:rsidRDefault="000B0C0A" w:rsidP="0025432C">
      <w:r w:rsidRPr="00B570E9">
        <w:rPr>
          <w:rFonts w:eastAsiaTheme="majorEastAsia" w:cs="Arial"/>
          <w:color w:val="1E4959"/>
          <w:sz w:val="24"/>
          <w:szCs w:val="22"/>
          <w:u w:val="single"/>
        </w:rPr>
        <w:t>Real Estate Taxes</w:t>
      </w:r>
      <w:r w:rsidRPr="000B0C0A">
        <w:rPr>
          <w:rFonts w:eastAsiaTheme="majorEastAsia" w:cs="Arial"/>
          <w:color w:val="1E4959"/>
          <w:sz w:val="24"/>
          <w:szCs w:val="22"/>
        </w:rPr>
        <w:t>:</w:t>
      </w:r>
      <w:r w:rsidRPr="00B3013C">
        <w:t xml:space="preserve"> </w:t>
      </w:r>
      <w:r w:rsidR="0025432C">
        <w:t xml:space="preserve">Real estate taxes for this analysis are based on the subject’s most recent tax obligation and a projection (3% by law increase) of </w:t>
      </w:r>
      <w:r w:rsidR="0025432C" w:rsidRPr="003479F4">
        <w:t xml:space="preserve">next year’s rate because the fiscal tax year is more than half over of </w:t>
      </w:r>
      <w:r w:rsidR="0025432C" w:rsidRPr="00DD49B1">
        <w:rPr>
          <w:b/>
          <w:highlight w:val="yellow"/>
        </w:rPr>
        <w:t>$</w:t>
      </w:r>
      <w:r w:rsidR="008D26BD" w:rsidRPr="008D26BD">
        <w:rPr>
          <w:b/>
          <w:highlight w:val="yellow"/>
        </w:rPr>
        <w:t>________</w:t>
      </w:r>
      <w:r w:rsidR="0025432C" w:rsidRPr="008D26BD">
        <w:rPr>
          <w:highlight w:val="yellow"/>
        </w:rPr>
        <w:t>.</w:t>
      </w:r>
    </w:p>
    <w:p w14:paraId="478F0B92" w14:textId="77777777" w:rsidR="000B0C0A" w:rsidRPr="00B3013C" w:rsidRDefault="000B0C0A" w:rsidP="0025432C"/>
    <w:p w14:paraId="161C35DE" w14:textId="562BE88D" w:rsidR="0025432C" w:rsidRDefault="000B0C0A" w:rsidP="0025432C">
      <w:r w:rsidRPr="004123DA">
        <w:rPr>
          <w:rFonts w:eastAsiaTheme="majorEastAsia" w:cs="Arial"/>
          <w:color w:val="1E4959"/>
          <w:sz w:val="24"/>
          <w:szCs w:val="22"/>
          <w:u w:val="single"/>
        </w:rPr>
        <w:t>Insurance</w:t>
      </w:r>
      <w:r w:rsidRPr="000B0C0A">
        <w:rPr>
          <w:rFonts w:eastAsiaTheme="majorEastAsia" w:cs="Arial"/>
          <w:color w:val="1E4959"/>
          <w:sz w:val="24"/>
          <w:szCs w:val="22"/>
        </w:rPr>
        <w:t>:</w:t>
      </w:r>
      <w:r w:rsidRPr="00B3013C">
        <w:t xml:space="preserve"> </w:t>
      </w:r>
      <w:r w:rsidR="0025432C" w:rsidRPr="004123DA">
        <w:t xml:space="preserve">No historical insurance expenses of the subject were available.  Therefore, recent comparables in the marketplace were referenced which suggest insurance expenses reported between </w:t>
      </w:r>
      <w:r w:rsidR="0025432C" w:rsidRPr="00DD49B1">
        <w:rPr>
          <w:highlight w:val="yellow"/>
        </w:rPr>
        <w:t>$75 and $200 per space</w:t>
      </w:r>
      <w:r w:rsidR="0025432C" w:rsidRPr="004123DA">
        <w:t xml:space="preserve"> per year. Based on this figure, as well as information contained in our files, an annual expense of </w:t>
      </w:r>
      <w:r w:rsidR="0025432C" w:rsidRPr="00DD49B1">
        <w:rPr>
          <w:b/>
          <w:highlight w:val="yellow"/>
        </w:rPr>
        <w:t>$100 per space</w:t>
      </w:r>
      <w:r w:rsidR="0025432C" w:rsidRPr="004123DA">
        <w:rPr>
          <w:b/>
        </w:rPr>
        <w:t xml:space="preserve"> </w:t>
      </w:r>
      <w:r w:rsidR="0025432C" w:rsidRPr="004123DA">
        <w:t>is reasonable based on the subject’s age, limited amount of improvements and overall</w:t>
      </w:r>
      <w:r w:rsidR="0025432C" w:rsidRPr="00B3013C">
        <w:t xml:space="preserve"> size.</w:t>
      </w:r>
      <w:r w:rsidR="0025432C">
        <w:t xml:space="preserve"> </w:t>
      </w:r>
    </w:p>
    <w:p w14:paraId="1DABA05A" w14:textId="77777777" w:rsidR="000B0C0A" w:rsidRPr="00B3013C" w:rsidRDefault="000B0C0A" w:rsidP="0025432C"/>
    <w:p w14:paraId="0984BF29" w14:textId="1C267084" w:rsidR="0025432C" w:rsidRDefault="000B0C0A" w:rsidP="0025432C">
      <w:r w:rsidRPr="001A5949">
        <w:rPr>
          <w:rFonts w:eastAsiaTheme="majorEastAsia" w:cs="Arial"/>
          <w:color w:val="1E4959"/>
          <w:sz w:val="24"/>
          <w:szCs w:val="22"/>
          <w:u w:val="single"/>
        </w:rPr>
        <w:t>Utilities</w:t>
      </w:r>
      <w:r w:rsidRPr="000B0C0A">
        <w:rPr>
          <w:rFonts w:eastAsiaTheme="majorEastAsia" w:cs="Arial"/>
          <w:color w:val="1E4959"/>
          <w:sz w:val="24"/>
          <w:szCs w:val="22"/>
        </w:rPr>
        <w:t>:</w:t>
      </w:r>
      <w:r w:rsidRPr="00B3013C">
        <w:t xml:space="preserve"> </w:t>
      </w:r>
      <w:r w:rsidR="0025432C" w:rsidRPr="00B3013C">
        <w:t>This category includes the</w:t>
      </w:r>
      <w:r w:rsidR="0025432C">
        <w:t xml:space="preserve"> water, sewer, trash, and minimal common area electricity</w:t>
      </w:r>
      <w:r w:rsidR="0025432C" w:rsidRPr="00B3013C">
        <w:t xml:space="preserve">. </w:t>
      </w:r>
      <w:r w:rsidR="0025432C">
        <w:t xml:space="preserve">The property manager was only able to </w:t>
      </w:r>
      <w:r w:rsidR="0025432C" w:rsidRPr="008D26BD">
        <w:rPr>
          <w:highlight w:val="yellow"/>
        </w:rPr>
        <w:t>provide billings for the past three years</w:t>
      </w:r>
      <w:r w:rsidR="0025432C">
        <w:t>, which amounted to $</w:t>
      </w:r>
      <w:r w:rsidR="0025432C" w:rsidRPr="008D26BD">
        <w:rPr>
          <w:highlight w:val="yellow"/>
        </w:rPr>
        <w:t>25,984, $29,545, $30,898 for the year for the 30 spaces suggesting a monthly rate of $866, $985 and $1,030 per unit per month.  Similar properties range from $800 to $1,200 per unit per year</w:t>
      </w:r>
      <w:r w:rsidR="0025432C">
        <w:t xml:space="preserve">.  Given the subject historical billings fall well within the market range, it is given majority weight. Therefore, this stabilized analysis utilized an </w:t>
      </w:r>
      <w:r w:rsidR="0025432C" w:rsidRPr="00B3013C">
        <w:t xml:space="preserve">annual </w:t>
      </w:r>
      <w:r w:rsidR="0025432C">
        <w:t xml:space="preserve">utility </w:t>
      </w:r>
      <w:r w:rsidR="0025432C" w:rsidRPr="00B3013C">
        <w:t>expense</w:t>
      </w:r>
      <w:r w:rsidR="0025432C">
        <w:t>s</w:t>
      </w:r>
      <w:r w:rsidR="0025432C" w:rsidRPr="00B3013C">
        <w:t xml:space="preserve"> of </w:t>
      </w:r>
      <w:r w:rsidR="0025432C" w:rsidRPr="00DD49B1">
        <w:rPr>
          <w:b/>
          <w:highlight w:val="yellow"/>
        </w:rPr>
        <w:t>$1,000 per space</w:t>
      </w:r>
      <w:r w:rsidR="0025432C" w:rsidRPr="00B3013C">
        <w:t>.</w:t>
      </w:r>
    </w:p>
    <w:p w14:paraId="3B09F1F4" w14:textId="77777777" w:rsidR="000B0C0A" w:rsidRPr="00B3013C" w:rsidRDefault="000B0C0A" w:rsidP="0025432C"/>
    <w:p w14:paraId="38C4B73C" w14:textId="2213F6F9" w:rsidR="0025432C" w:rsidRDefault="000B0C0A" w:rsidP="0025432C">
      <w:r w:rsidRPr="001A5949">
        <w:rPr>
          <w:rFonts w:eastAsiaTheme="majorEastAsia" w:cs="Arial"/>
          <w:color w:val="1E4959"/>
          <w:sz w:val="24"/>
          <w:szCs w:val="22"/>
          <w:u w:val="single"/>
        </w:rPr>
        <w:t>Management &amp; Administration</w:t>
      </w:r>
      <w:r w:rsidRPr="000B0C0A">
        <w:rPr>
          <w:rFonts w:eastAsiaTheme="majorEastAsia" w:cs="Arial"/>
          <w:color w:val="1E4959"/>
          <w:sz w:val="24"/>
          <w:szCs w:val="22"/>
        </w:rPr>
        <w:t>:</w:t>
      </w:r>
      <w:r w:rsidRPr="00B3013C">
        <w:t xml:space="preserve"> </w:t>
      </w:r>
      <w:r w:rsidR="0025432C" w:rsidRPr="001A5949">
        <w:t xml:space="preserve">According </w:t>
      </w:r>
      <w:r w:rsidR="0025432C" w:rsidRPr="000B0C0A">
        <w:rPr>
          <w:highlight w:val="yellow"/>
        </w:rPr>
        <w:t>Commonwealth Real Estate Services</w:t>
      </w:r>
      <w:r w:rsidR="0025432C" w:rsidRPr="00460F68">
        <w:t>, a regional property management company</w:t>
      </w:r>
      <w:r w:rsidR="0025432C">
        <w:t>, t</w:t>
      </w:r>
      <w:r w:rsidR="0025432C" w:rsidRPr="00493EA2">
        <w:t xml:space="preserve">ypically, professional management fees range between </w:t>
      </w:r>
      <w:r w:rsidR="0025432C" w:rsidRPr="008D26BD">
        <w:rPr>
          <w:highlight w:val="yellow"/>
        </w:rPr>
        <w:t>5.0% and 10.0%</w:t>
      </w:r>
      <w:r w:rsidR="0025432C" w:rsidRPr="00493EA2">
        <w:t xml:space="preserve"> of effective gross income, depending on the size and quality of the property. </w:t>
      </w:r>
      <w:r w:rsidR="0025432C" w:rsidRPr="008D26BD">
        <w:rPr>
          <w:highlight w:val="yellow"/>
        </w:rPr>
        <w:t>The property manager is presently collecting approximately 15.0% of potential gross income</w:t>
      </w:r>
      <w:r w:rsidR="0025432C">
        <w:t xml:space="preserve"> in fees according to the expense statement, which appears on the high side for the market, </w:t>
      </w:r>
      <w:r w:rsidR="0025432C" w:rsidRPr="00157A57">
        <w:rPr>
          <w:highlight w:val="yellow"/>
        </w:rPr>
        <w:t>but considering the diminished / under-performing size of the project and outlying location, not surprising</w:t>
      </w:r>
      <w:r w:rsidR="0025432C">
        <w:t xml:space="preserve">. As such, a more reasonable </w:t>
      </w:r>
      <w:r w:rsidR="0025432C" w:rsidRPr="00493EA2">
        <w:t xml:space="preserve">management fee of </w:t>
      </w:r>
      <w:r w:rsidR="0025432C" w:rsidRPr="00DD49B1">
        <w:rPr>
          <w:b/>
          <w:highlight w:val="yellow"/>
        </w:rPr>
        <w:t>9.0% of EGI</w:t>
      </w:r>
      <w:r w:rsidR="0025432C">
        <w:rPr>
          <w:b/>
        </w:rPr>
        <w:t xml:space="preserve"> </w:t>
      </w:r>
      <w:r w:rsidR="0025432C" w:rsidRPr="00082DA4">
        <w:t>is applied for this analysis</w:t>
      </w:r>
      <w:r w:rsidR="0025432C">
        <w:t>.</w:t>
      </w:r>
    </w:p>
    <w:p w14:paraId="52985AB5" w14:textId="77777777" w:rsidR="000B0C0A" w:rsidRPr="00B3013C" w:rsidRDefault="000B0C0A" w:rsidP="0025432C">
      <w:pPr>
        <w:rPr>
          <w:b/>
        </w:rPr>
      </w:pPr>
    </w:p>
    <w:p w14:paraId="06D205C9" w14:textId="737CADC4" w:rsidR="0025432C" w:rsidRDefault="000B0C0A" w:rsidP="0025432C">
      <w:r w:rsidRPr="00B570E9">
        <w:rPr>
          <w:rFonts w:eastAsiaTheme="majorEastAsia" w:cs="Arial"/>
          <w:color w:val="1E4959"/>
          <w:sz w:val="24"/>
          <w:szCs w:val="22"/>
          <w:u w:val="single"/>
        </w:rPr>
        <w:t>Repairs and Maintenance</w:t>
      </w:r>
      <w:r w:rsidRPr="000B0C0A">
        <w:rPr>
          <w:rFonts w:eastAsiaTheme="majorEastAsia" w:cs="Arial"/>
          <w:color w:val="1E4959"/>
          <w:sz w:val="24"/>
          <w:szCs w:val="22"/>
        </w:rPr>
        <w:t>:</w:t>
      </w:r>
      <w:r w:rsidRPr="00B3013C">
        <w:t xml:space="preserve"> </w:t>
      </w:r>
      <w:r w:rsidR="0025432C" w:rsidRPr="00B3013C">
        <w:t xml:space="preserve">This category includes ongoing routine repairs and maintenance of items such as interior streets and landscaping. It is typical in the market for the </w:t>
      </w:r>
      <w:r w:rsidR="0025432C" w:rsidRPr="00DD49B1">
        <w:rPr>
          <w:highlight w:val="yellow"/>
        </w:rPr>
        <w:t>maintenance and repair expense to average 3.0% to 8.0%</w:t>
      </w:r>
      <w:r w:rsidR="0025432C" w:rsidRPr="00B3013C">
        <w:t xml:space="preserve"> of the effective gross income of seasoned parks. This allocation is considered adequate to maintain the subject improvements in good condition, which is important in order to maintain and attract new tenants. In many instances, maintenance and some repairs are performed by on-site park management without separate allocation of time from the management account ledger. Therefore, this </w:t>
      </w:r>
      <w:r w:rsidR="0025432C" w:rsidRPr="00B3013C">
        <w:lastRenderedPageBreak/>
        <w:t>expense category is often under-reported. Based on the current age and condition of the park</w:t>
      </w:r>
      <w:r w:rsidR="0025432C">
        <w:t xml:space="preserve">, repairs and maintenance is estimated at </w:t>
      </w:r>
      <w:r w:rsidR="0025432C" w:rsidRPr="00DD49B1">
        <w:rPr>
          <w:b/>
          <w:highlight w:val="yellow"/>
        </w:rPr>
        <w:t>6.0% of EGI</w:t>
      </w:r>
      <w:r w:rsidR="0025432C">
        <w:t>.</w:t>
      </w:r>
    </w:p>
    <w:p w14:paraId="6447BA04" w14:textId="77777777" w:rsidR="000B0C0A" w:rsidRPr="00B3013C" w:rsidRDefault="000B0C0A" w:rsidP="0025432C"/>
    <w:p w14:paraId="7AD27563" w14:textId="63006AF4" w:rsidR="0025432C" w:rsidRPr="00B3013C" w:rsidRDefault="000B0C0A" w:rsidP="0025432C">
      <w:r w:rsidRPr="00B570E9">
        <w:rPr>
          <w:rFonts w:eastAsiaTheme="majorEastAsia" w:cs="Arial"/>
          <w:color w:val="1E4959"/>
          <w:sz w:val="24"/>
          <w:szCs w:val="22"/>
          <w:u w:val="single"/>
        </w:rPr>
        <w:t>Reserves for Capital Replacements</w:t>
      </w:r>
      <w:r w:rsidRPr="000B0C0A">
        <w:rPr>
          <w:rFonts w:eastAsiaTheme="majorEastAsia" w:cs="Arial"/>
          <w:color w:val="1E4959"/>
          <w:sz w:val="24"/>
          <w:szCs w:val="22"/>
        </w:rPr>
        <w:t>:</w:t>
      </w:r>
      <w:r w:rsidRPr="00B3013C">
        <w:t xml:space="preserve"> </w:t>
      </w:r>
      <w:r w:rsidR="0025432C" w:rsidRPr="00B3013C">
        <w:t>This expense is typically not an annual cash outflow, but rather a set-aside for major expenses anticipated in the future for replacement of short</w:t>
      </w:r>
      <w:r w:rsidR="0025432C">
        <w:t>-</w:t>
      </w:r>
      <w:r w:rsidR="0025432C" w:rsidRPr="00B3013C">
        <w:t xml:space="preserve">lived items. Park infrastructure is constantly in need of upkeep/investment. The annual expense for reserves for replacement is estimated by determining the replacement cost for the individual items and assuming a realistic economic life. </w:t>
      </w:r>
      <w:r w:rsidR="0025432C">
        <w:t xml:space="preserve"> </w:t>
      </w:r>
      <w:r w:rsidR="0025432C" w:rsidRPr="00B3013C">
        <w:t xml:space="preserve">The annual replacement expense is a contribution to the reserve account based on a four-percent sinking fund factor. While expenses for reserves will not be incurred for a number of years, and not every year, it is important that these short-lived components be kept in good condition in order to attract a good tenant base. Reserves for replacement will typically range from below </w:t>
      </w:r>
      <w:r w:rsidR="00157A57">
        <w:t>2.0%</w:t>
      </w:r>
      <w:r w:rsidR="0025432C" w:rsidRPr="00B3013C">
        <w:t xml:space="preserve"> to over </w:t>
      </w:r>
      <w:r w:rsidR="00157A57">
        <w:t>3.0% or 4.0%</w:t>
      </w:r>
      <w:r w:rsidR="0025432C">
        <w:t xml:space="preserve"> </w:t>
      </w:r>
      <w:r w:rsidR="0025432C" w:rsidRPr="00B3013C">
        <w:t xml:space="preserve">percent of the effective gross income. The expense for reserves is estimated at </w:t>
      </w:r>
      <w:r w:rsidR="0025432C" w:rsidRPr="00DD49B1">
        <w:rPr>
          <w:b/>
          <w:highlight w:val="yellow"/>
        </w:rPr>
        <w:t>3.0%</w:t>
      </w:r>
      <w:r w:rsidR="0025432C" w:rsidRPr="00DD49B1">
        <w:rPr>
          <w:highlight w:val="yellow"/>
        </w:rPr>
        <w:t xml:space="preserve"> </w:t>
      </w:r>
      <w:r w:rsidR="0025432C" w:rsidRPr="00DD49B1">
        <w:rPr>
          <w:b/>
          <w:highlight w:val="yellow"/>
        </w:rPr>
        <w:t>of EGI</w:t>
      </w:r>
      <w:r w:rsidR="0025432C">
        <w:t>.</w:t>
      </w:r>
    </w:p>
    <w:p w14:paraId="76EE5F68" w14:textId="77777777" w:rsidR="0025432C" w:rsidRPr="009B6E44" w:rsidRDefault="0025432C" w:rsidP="0025432C">
      <w:pPr>
        <w:keepNext/>
        <w:numPr>
          <w:ilvl w:val="1"/>
          <w:numId w:val="0"/>
        </w:numPr>
        <w:spacing w:before="200" w:line="233" w:lineRule="auto"/>
        <w:outlineLvl w:val="2"/>
        <w:rPr>
          <w:rFonts w:eastAsiaTheme="majorEastAsia" w:cs="Arial"/>
          <w:bCs/>
          <w:color w:val="1E4959"/>
          <w:sz w:val="24"/>
          <w:szCs w:val="22"/>
          <w:u w:val="single"/>
        </w:rPr>
      </w:pPr>
      <w:r w:rsidRPr="009B6E44">
        <w:rPr>
          <w:rFonts w:eastAsiaTheme="majorEastAsia" w:cs="Arial"/>
          <w:color w:val="1E4959"/>
          <w:sz w:val="24"/>
          <w:szCs w:val="22"/>
          <w:u w:val="single"/>
        </w:rPr>
        <w:t>Total Operating Expenses</w:t>
      </w:r>
    </w:p>
    <w:p w14:paraId="31CF1025" w14:textId="0A2D0EEA" w:rsidR="0025432C" w:rsidRDefault="0025432C" w:rsidP="0025432C">
      <w:pPr>
        <w:rPr>
          <w:rFonts w:eastAsiaTheme="majorEastAsia" w:cs="Arial"/>
          <w:color w:val="1E4959"/>
          <w:sz w:val="24"/>
          <w:szCs w:val="22"/>
          <w:u w:val="single"/>
        </w:rPr>
      </w:pPr>
      <w:r w:rsidRPr="00082DA4">
        <w:t xml:space="preserve">Based on the preceding, total stabilized operating expenses for the subject property equate to </w:t>
      </w:r>
      <w:r w:rsidRPr="00DD49B1">
        <w:rPr>
          <w:b/>
          <w:highlight w:val="yellow"/>
        </w:rPr>
        <w:t>$</w:t>
      </w:r>
      <w:r w:rsidR="00DD49B1" w:rsidRPr="00DD49B1">
        <w:rPr>
          <w:b/>
          <w:highlight w:val="yellow"/>
        </w:rPr>
        <w:t>_________</w:t>
      </w:r>
      <w:r w:rsidRPr="00DD49B1">
        <w:rPr>
          <w:b/>
          <w:highlight w:val="yellow"/>
        </w:rPr>
        <w:t xml:space="preserve"> </w:t>
      </w:r>
      <w:r w:rsidRPr="00DD49B1">
        <w:rPr>
          <w:highlight w:val="yellow"/>
        </w:rPr>
        <w:t>($</w:t>
      </w:r>
      <w:r w:rsidR="00DD49B1" w:rsidRPr="00DD49B1">
        <w:rPr>
          <w:highlight w:val="yellow"/>
        </w:rPr>
        <w:t>______</w:t>
      </w:r>
      <w:r w:rsidRPr="00DD49B1">
        <w:rPr>
          <w:highlight w:val="yellow"/>
        </w:rPr>
        <w:t xml:space="preserve"> per space; </w:t>
      </w:r>
      <w:r w:rsidR="00DD49B1" w:rsidRPr="00DD49B1">
        <w:rPr>
          <w:highlight w:val="yellow"/>
        </w:rPr>
        <w:t>___.__</w:t>
      </w:r>
      <w:r w:rsidRPr="00DD49B1">
        <w:rPr>
          <w:highlight w:val="yellow"/>
        </w:rPr>
        <w:t>% of EGI)</w:t>
      </w:r>
      <w:r w:rsidRPr="00DD49B1">
        <w:rPr>
          <w:i/>
          <w:highlight w:val="yellow"/>
        </w:rPr>
        <w:t>.</w:t>
      </w:r>
      <w:r w:rsidRPr="00B3013C">
        <w:t xml:space="preserve"> The estimated stabilized operating expenses are considered reasonably supported in this analysis.</w:t>
      </w:r>
    </w:p>
    <w:p w14:paraId="6FAB1C8D" w14:textId="77777777" w:rsidR="0025432C" w:rsidRPr="009B6E44" w:rsidRDefault="0025432C" w:rsidP="0025432C">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Net Operating Income</w:t>
      </w:r>
    </w:p>
    <w:p w14:paraId="12734782" w14:textId="430681E5" w:rsidR="0025432C" w:rsidRPr="009B6E44" w:rsidRDefault="0025432C" w:rsidP="0025432C">
      <w:pPr>
        <w:rPr>
          <w:rFonts w:cs="Arial"/>
          <w:szCs w:val="22"/>
        </w:rPr>
      </w:pPr>
      <w:r w:rsidRPr="00AA4ACC">
        <w:rPr>
          <w:rFonts w:cs="Arial"/>
          <w:szCs w:val="22"/>
        </w:rPr>
        <w:t xml:space="preserve">Deducting projected annual operating expenses from effective annual effective gross income, results in </w:t>
      </w:r>
      <w:r w:rsidRPr="00082DA4">
        <w:rPr>
          <w:rFonts w:cs="Arial"/>
          <w:szCs w:val="22"/>
        </w:rPr>
        <w:t xml:space="preserve">projected net operating income for the subject property of </w:t>
      </w:r>
      <w:r w:rsidRPr="0025432C">
        <w:rPr>
          <w:rFonts w:cs="Arial"/>
          <w:b/>
          <w:szCs w:val="22"/>
          <w:highlight w:val="yellow"/>
        </w:rPr>
        <w:t xml:space="preserve">$_________ </w:t>
      </w:r>
      <w:r w:rsidRPr="0025432C">
        <w:rPr>
          <w:highlight w:val="yellow"/>
        </w:rPr>
        <w:t>($________ per space)</w:t>
      </w:r>
      <w:r w:rsidRPr="0025432C">
        <w:rPr>
          <w:rFonts w:cs="Arial"/>
          <w:szCs w:val="22"/>
          <w:highlight w:val="yellow"/>
        </w:rPr>
        <w:t>,</w:t>
      </w:r>
      <w:r w:rsidRPr="00AA4ACC">
        <w:rPr>
          <w:rFonts w:cs="Arial"/>
          <w:szCs w:val="22"/>
        </w:rPr>
        <w:t xml:space="preserve"> as is summarized on a following page. It is at this time that net operating income can be capitalized into a value estimate.</w:t>
      </w:r>
    </w:p>
    <w:p w14:paraId="332C917B" w14:textId="77777777" w:rsidR="004F6CAE" w:rsidRPr="000754FA" w:rsidRDefault="004F6CAE" w:rsidP="004F6CAE">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4FD5E317" w14:textId="77777777" w:rsidR="004F6CAE" w:rsidRPr="000754FA" w:rsidRDefault="004F6CAE" w:rsidP="004F6CAE">
      <w:pPr>
        <w:keepNext/>
        <w:numPr>
          <w:ilvl w:val="1"/>
          <w:numId w:val="0"/>
        </w:numPr>
        <w:spacing w:before="6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5B75C72A" w14:textId="77777777" w:rsidR="004F6CAE" w:rsidRDefault="004F6CAE" w:rsidP="004F6CAE">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50667FFB" w14:textId="77777777" w:rsidR="004F6CAE" w:rsidRPr="000754FA" w:rsidRDefault="004F6CAE" w:rsidP="004F6CAE">
      <w:pPr>
        <w:rPr>
          <w:rFonts w:cs="Arial"/>
          <w:szCs w:val="22"/>
        </w:rPr>
      </w:pPr>
    </w:p>
    <w:p w14:paraId="109FD990" w14:textId="77777777" w:rsidR="004F6CAE" w:rsidRDefault="004F6CAE" w:rsidP="004F6CAE">
      <w:pPr>
        <w:rPr>
          <w:rFonts w:cs="Arial"/>
          <w:szCs w:val="22"/>
        </w:rPr>
      </w:pPr>
      <w:r w:rsidRPr="000754FA">
        <w:rPr>
          <w:rFonts w:cs="Arial"/>
          <w:szCs w:val="22"/>
        </w:rPr>
        <w:t xml:space="preserve">The primary factors influencing capitalization rates are:  1) The quality and certainty of the net operating income stream; 2) risk factors; 3) physical and locational characteristics of the property; 4) the competitive market position of the property and 5) the potential for future appreciation. </w:t>
      </w:r>
      <w:r w:rsidRPr="00E955E2">
        <w:rPr>
          <w:rFonts w:cs="Arial"/>
          <w:szCs w:val="22"/>
        </w:rPr>
        <w:t>The following chart summarizes the data used to estimate the market capitalization rate applicable to the subject property.</w:t>
      </w:r>
    </w:p>
    <w:p w14:paraId="5F6A1B4A" w14:textId="77777777" w:rsidR="004F6CAE" w:rsidRDefault="004F6CAE" w:rsidP="004F6CAE">
      <w:pPr>
        <w:rPr>
          <w:rFonts w:cs="Arial"/>
          <w:szCs w:val="22"/>
        </w:rPr>
      </w:pPr>
    </w:p>
    <w:p w14:paraId="04A5C5A5" w14:textId="77777777" w:rsidR="004F6CAE" w:rsidRDefault="004F6CAE" w:rsidP="004F6CAE">
      <w:pPr>
        <w:rPr>
          <w:rFonts w:cs="Arial"/>
          <w:szCs w:val="22"/>
        </w:rPr>
      </w:pPr>
      <w:r w:rsidRPr="00E26156">
        <w:rPr>
          <w:rFonts w:cs="Arial"/>
          <w:szCs w:val="22"/>
          <w:highlight w:val="green"/>
        </w:rPr>
        <w:t>Merge cap rate comparables from CARDS and insert into here (example below)</w:t>
      </w:r>
    </w:p>
    <w:p w14:paraId="669C03A9" w14:textId="6AC59548" w:rsidR="004F6CAE" w:rsidRDefault="004F6CAE" w:rsidP="004F6CAE">
      <w:pPr>
        <w:rPr>
          <w:rFonts w:cs="Arial"/>
          <w:szCs w:val="22"/>
        </w:rPr>
      </w:pPr>
    </w:p>
    <w:tbl>
      <w:tblPr>
        <w:tblW w:w="0" w:type="auto"/>
        <w:tblLook w:val="01E0" w:firstRow="1" w:lastRow="1" w:firstColumn="1" w:lastColumn="1" w:noHBand="0" w:noVBand="0"/>
      </w:tblPr>
      <w:tblGrid>
        <w:gridCol w:w="816"/>
        <w:gridCol w:w="2611"/>
        <w:gridCol w:w="856"/>
        <w:gridCol w:w="1391"/>
        <w:gridCol w:w="1165"/>
        <w:gridCol w:w="1640"/>
        <w:gridCol w:w="881"/>
      </w:tblGrid>
      <w:tr w:rsidR="008D26BD" w:rsidRPr="00EE6F4E" w14:paraId="270B229E" w14:textId="77777777" w:rsidTr="008D26BD">
        <w:tc>
          <w:tcPr>
            <w:tcW w:w="816" w:type="dxa"/>
            <w:tcBorders>
              <w:bottom w:val="single" w:sz="24" w:space="0" w:color="3FB44F"/>
            </w:tcBorders>
            <w:shd w:val="clear" w:color="auto" w:fill="1E4959"/>
            <w:vAlign w:val="bottom"/>
          </w:tcPr>
          <w:p w14:paraId="36743384" w14:textId="77777777" w:rsidR="008D26BD" w:rsidRPr="00674D31" w:rsidRDefault="008D26BD" w:rsidP="00055AD5">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611" w:type="dxa"/>
            <w:tcBorders>
              <w:bottom w:val="single" w:sz="24" w:space="0" w:color="3FB44F"/>
            </w:tcBorders>
            <w:shd w:val="clear" w:color="auto" w:fill="1E4959"/>
            <w:vAlign w:val="bottom"/>
          </w:tcPr>
          <w:p w14:paraId="22E92054" w14:textId="77777777" w:rsidR="008D26BD" w:rsidRPr="00674D31" w:rsidRDefault="008D26BD" w:rsidP="00055AD5">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856" w:type="dxa"/>
            <w:tcBorders>
              <w:bottom w:val="single" w:sz="24" w:space="0" w:color="3FB44F"/>
            </w:tcBorders>
            <w:shd w:val="clear" w:color="auto" w:fill="1E4959"/>
            <w:vAlign w:val="bottom"/>
          </w:tcPr>
          <w:p w14:paraId="6489F408" w14:textId="77777777" w:rsidR="008D26BD" w:rsidRPr="00674D31" w:rsidRDefault="008D26BD" w:rsidP="00055AD5">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1B63B59E" w14:textId="77777777" w:rsidR="008D26BD" w:rsidRPr="00674D31" w:rsidRDefault="008D26BD" w:rsidP="00055AD5">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65" w:type="dxa"/>
            <w:tcBorders>
              <w:bottom w:val="single" w:sz="24" w:space="0" w:color="3FB44F"/>
            </w:tcBorders>
            <w:shd w:val="clear" w:color="auto" w:fill="1E4959"/>
            <w:vAlign w:val="bottom"/>
          </w:tcPr>
          <w:p w14:paraId="5B3B38A7" w14:textId="77777777" w:rsidR="008D26BD" w:rsidRPr="00674D31" w:rsidRDefault="008D26BD" w:rsidP="00055AD5">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r>
            <w:r>
              <w:rPr>
                <w:rFonts w:ascii="Calibri" w:hAnsi="Calibri" w:cs="Arial"/>
                <w:b/>
                <w:smallCaps/>
                <w:color w:val="FFFFFF"/>
                <w:spacing w:val="20"/>
                <w:sz w:val="20"/>
              </w:rPr>
              <w:t>Units</w:t>
            </w:r>
          </w:p>
        </w:tc>
        <w:tc>
          <w:tcPr>
            <w:tcW w:w="1640" w:type="dxa"/>
            <w:tcBorders>
              <w:bottom w:val="single" w:sz="24" w:space="0" w:color="3FB44F"/>
            </w:tcBorders>
            <w:shd w:val="clear" w:color="auto" w:fill="1E4959"/>
            <w:vAlign w:val="bottom"/>
          </w:tcPr>
          <w:p w14:paraId="09F938BC" w14:textId="77777777" w:rsidR="008D26BD" w:rsidRPr="00674D31" w:rsidRDefault="008D26BD" w:rsidP="00055AD5">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881" w:type="dxa"/>
            <w:tcBorders>
              <w:bottom w:val="single" w:sz="24" w:space="0" w:color="3FB44F"/>
            </w:tcBorders>
            <w:shd w:val="clear" w:color="auto" w:fill="1E4959"/>
            <w:vAlign w:val="bottom"/>
          </w:tcPr>
          <w:p w14:paraId="39024483" w14:textId="77777777" w:rsidR="008D26BD" w:rsidRPr="00674D31" w:rsidRDefault="008D26BD" w:rsidP="00055AD5">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8D26BD" w:rsidRPr="00EE6F4E" w14:paraId="06156EFE" w14:textId="77777777" w:rsidTr="008D26BD">
        <w:tc>
          <w:tcPr>
            <w:tcW w:w="816" w:type="dxa"/>
            <w:tcBorders>
              <w:bottom w:val="single" w:sz="4" w:space="0" w:color="auto"/>
              <w:right w:val="single" w:sz="2" w:space="0" w:color="auto"/>
            </w:tcBorders>
            <w:shd w:val="clear" w:color="auto" w:fill="auto"/>
          </w:tcPr>
          <w:p w14:paraId="713BD6BF"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w:t>
            </w:r>
          </w:p>
        </w:tc>
        <w:tc>
          <w:tcPr>
            <w:tcW w:w="2611" w:type="dxa"/>
            <w:tcBorders>
              <w:left w:val="single" w:sz="2" w:space="0" w:color="auto"/>
              <w:bottom w:val="single" w:sz="4" w:space="0" w:color="auto"/>
              <w:right w:val="single" w:sz="2" w:space="0" w:color="auto"/>
            </w:tcBorders>
            <w:shd w:val="clear" w:color="auto" w:fill="auto"/>
          </w:tcPr>
          <w:p w14:paraId="1FAA44F1" w14:textId="77777777" w:rsidR="008D26BD" w:rsidRPr="008D26BD" w:rsidRDefault="008D26BD" w:rsidP="00055AD5">
            <w:pPr>
              <w:pStyle w:val="StylePlainTextArial"/>
              <w:spacing w:before="120" w:line="240" w:lineRule="exact"/>
              <w:jc w:val="left"/>
              <w:rPr>
                <w:rFonts w:ascii="Calibri" w:hAnsi="Calibri" w:cs="Arial"/>
                <w:sz w:val="20"/>
                <w:highlight w:val="yellow"/>
              </w:rPr>
            </w:pPr>
            <w:r w:rsidRPr="008D26BD">
              <w:rPr>
                <w:rFonts w:ascii="Calibri" w:hAnsi="Calibri" w:cs="Arial"/>
                <w:sz w:val="20"/>
                <w:highlight w:val="yellow"/>
              </w:rPr>
              <w:t>Summer Oaks Park</w:t>
            </w:r>
            <w:r w:rsidRPr="008D26BD">
              <w:rPr>
                <w:rFonts w:ascii="Calibri" w:hAnsi="Calibri" w:cs="Arial"/>
                <w:sz w:val="20"/>
                <w:highlight w:val="yellow"/>
              </w:rPr>
              <w:br/>
              <w:t>3220 Crescent Avenue</w:t>
            </w:r>
            <w:r w:rsidRPr="008D26BD">
              <w:rPr>
                <w:rFonts w:ascii="Calibri" w:hAnsi="Calibri" w:cs="Arial"/>
                <w:sz w:val="20"/>
                <w:highlight w:val="yellow"/>
              </w:rPr>
              <w:br/>
              <w:t>Eugene, OR</w:t>
            </w:r>
          </w:p>
        </w:tc>
        <w:tc>
          <w:tcPr>
            <w:tcW w:w="856" w:type="dxa"/>
            <w:tcBorders>
              <w:left w:val="single" w:sz="2" w:space="0" w:color="auto"/>
              <w:bottom w:val="single" w:sz="4" w:space="0" w:color="auto"/>
            </w:tcBorders>
            <w:shd w:val="clear" w:color="auto" w:fill="auto"/>
          </w:tcPr>
          <w:p w14:paraId="62238639"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04/16</w:t>
            </w:r>
            <w:r w:rsidRPr="008D26BD">
              <w:rPr>
                <w:rFonts w:ascii="Calibri" w:hAnsi="Calibri" w:cs="Arial"/>
                <w:sz w:val="20"/>
                <w:highlight w:val="yellow"/>
              </w:rPr>
              <w:br/>
            </w:r>
          </w:p>
        </w:tc>
        <w:tc>
          <w:tcPr>
            <w:tcW w:w="1391" w:type="dxa"/>
            <w:tcBorders>
              <w:bottom w:val="single" w:sz="4" w:space="0" w:color="auto"/>
            </w:tcBorders>
            <w:shd w:val="clear" w:color="auto" w:fill="auto"/>
          </w:tcPr>
          <w:p w14:paraId="07E12D26"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1997</w:t>
            </w:r>
            <w:r w:rsidRPr="008D26BD">
              <w:rPr>
                <w:rFonts w:ascii="Calibri" w:hAnsi="Calibri" w:cs="Arial"/>
                <w:sz w:val="20"/>
                <w:highlight w:val="yellow"/>
              </w:rPr>
              <w:br/>
              <w:t xml:space="preserve"> </w:t>
            </w:r>
          </w:p>
        </w:tc>
        <w:tc>
          <w:tcPr>
            <w:tcW w:w="1165" w:type="dxa"/>
            <w:tcBorders>
              <w:bottom w:val="single" w:sz="4" w:space="0" w:color="auto"/>
            </w:tcBorders>
            <w:shd w:val="clear" w:color="auto" w:fill="auto"/>
          </w:tcPr>
          <w:p w14:paraId="648DC89E"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102</w:t>
            </w:r>
          </w:p>
        </w:tc>
        <w:tc>
          <w:tcPr>
            <w:tcW w:w="1640" w:type="dxa"/>
            <w:tcBorders>
              <w:bottom w:val="single" w:sz="4" w:space="0" w:color="auto"/>
              <w:right w:val="single" w:sz="2" w:space="0" w:color="auto"/>
            </w:tcBorders>
            <w:shd w:val="clear" w:color="auto" w:fill="auto"/>
          </w:tcPr>
          <w:p w14:paraId="2E564FFC"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$10,400,000</w:t>
            </w:r>
          </w:p>
        </w:tc>
        <w:tc>
          <w:tcPr>
            <w:tcW w:w="881" w:type="dxa"/>
            <w:tcBorders>
              <w:left w:val="single" w:sz="2" w:space="0" w:color="auto"/>
              <w:bottom w:val="single" w:sz="4" w:space="0" w:color="auto"/>
            </w:tcBorders>
            <w:shd w:val="clear" w:color="auto" w:fill="auto"/>
          </w:tcPr>
          <w:p w14:paraId="40473051"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4.80 %</w:t>
            </w:r>
          </w:p>
        </w:tc>
      </w:tr>
      <w:tr w:rsidR="008D26BD" w:rsidRPr="00EE6F4E" w14:paraId="2CF8EB6F" w14:textId="77777777" w:rsidTr="008D26BD">
        <w:tc>
          <w:tcPr>
            <w:tcW w:w="816" w:type="dxa"/>
            <w:tcBorders>
              <w:bottom w:val="single" w:sz="4" w:space="0" w:color="auto"/>
              <w:right w:val="single" w:sz="2" w:space="0" w:color="auto"/>
            </w:tcBorders>
            <w:shd w:val="clear" w:color="auto" w:fill="auto"/>
          </w:tcPr>
          <w:p w14:paraId="7F4FB866"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lastRenderedPageBreak/>
              <w:t>2</w:t>
            </w:r>
          </w:p>
        </w:tc>
        <w:tc>
          <w:tcPr>
            <w:tcW w:w="2611" w:type="dxa"/>
            <w:tcBorders>
              <w:left w:val="single" w:sz="2" w:space="0" w:color="auto"/>
              <w:bottom w:val="single" w:sz="4" w:space="0" w:color="auto"/>
              <w:right w:val="single" w:sz="2" w:space="0" w:color="auto"/>
            </w:tcBorders>
            <w:shd w:val="clear" w:color="auto" w:fill="auto"/>
          </w:tcPr>
          <w:p w14:paraId="30620EC0" w14:textId="77777777" w:rsidR="008D26BD" w:rsidRPr="008D26BD" w:rsidRDefault="008D26BD" w:rsidP="00055AD5">
            <w:pPr>
              <w:pStyle w:val="StylePlainTextArial"/>
              <w:spacing w:before="120" w:line="240" w:lineRule="exact"/>
              <w:jc w:val="left"/>
              <w:rPr>
                <w:rFonts w:ascii="Calibri" w:hAnsi="Calibri" w:cs="Arial"/>
                <w:sz w:val="20"/>
                <w:highlight w:val="yellow"/>
              </w:rPr>
            </w:pPr>
            <w:r w:rsidRPr="008D26BD">
              <w:rPr>
                <w:rFonts w:ascii="Calibri" w:hAnsi="Calibri" w:cs="Arial"/>
                <w:sz w:val="20"/>
                <w:highlight w:val="yellow"/>
              </w:rPr>
              <w:t>Aspen Meadows MHC</w:t>
            </w:r>
            <w:r w:rsidRPr="008D26BD">
              <w:rPr>
                <w:rFonts w:ascii="Calibri" w:hAnsi="Calibri" w:cs="Arial"/>
                <w:sz w:val="20"/>
                <w:highlight w:val="yellow"/>
              </w:rPr>
              <w:br/>
              <w:t>13400 SE Holgate Boulevard</w:t>
            </w:r>
            <w:r w:rsidRPr="008D26BD">
              <w:rPr>
                <w:rFonts w:ascii="Calibri" w:hAnsi="Calibri" w:cs="Arial"/>
                <w:sz w:val="20"/>
                <w:highlight w:val="yellow"/>
              </w:rPr>
              <w:br/>
              <w:t>Portland, OR</w:t>
            </w:r>
          </w:p>
        </w:tc>
        <w:tc>
          <w:tcPr>
            <w:tcW w:w="856" w:type="dxa"/>
            <w:tcBorders>
              <w:left w:val="single" w:sz="2" w:space="0" w:color="auto"/>
              <w:bottom w:val="single" w:sz="4" w:space="0" w:color="auto"/>
            </w:tcBorders>
            <w:shd w:val="clear" w:color="auto" w:fill="auto"/>
          </w:tcPr>
          <w:p w14:paraId="3CDCB298"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07/17</w:t>
            </w:r>
            <w:r w:rsidRPr="008D26BD">
              <w:rPr>
                <w:rFonts w:ascii="Calibri" w:hAnsi="Calibri" w:cs="Arial"/>
                <w:sz w:val="20"/>
                <w:highlight w:val="yellow"/>
              </w:rPr>
              <w:br/>
            </w:r>
          </w:p>
        </w:tc>
        <w:tc>
          <w:tcPr>
            <w:tcW w:w="1391" w:type="dxa"/>
            <w:tcBorders>
              <w:bottom w:val="single" w:sz="4" w:space="0" w:color="auto"/>
            </w:tcBorders>
            <w:shd w:val="clear" w:color="auto" w:fill="auto"/>
          </w:tcPr>
          <w:p w14:paraId="79BC38B2"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1994</w:t>
            </w:r>
            <w:r w:rsidRPr="008D26BD">
              <w:rPr>
                <w:rFonts w:ascii="Calibri" w:hAnsi="Calibri" w:cs="Arial"/>
                <w:sz w:val="20"/>
                <w:highlight w:val="yellow"/>
              </w:rPr>
              <w:br/>
              <w:t xml:space="preserve"> </w:t>
            </w:r>
          </w:p>
        </w:tc>
        <w:tc>
          <w:tcPr>
            <w:tcW w:w="1165" w:type="dxa"/>
            <w:tcBorders>
              <w:bottom w:val="single" w:sz="4" w:space="0" w:color="auto"/>
            </w:tcBorders>
            <w:shd w:val="clear" w:color="auto" w:fill="auto"/>
          </w:tcPr>
          <w:p w14:paraId="44D80FCE"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118</w:t>
            </w:r>
          </w:p>
        </w:tc>
        <w:tc>
          <w:tcPr>
            <w:tcW w:w="1640" w:type="dxa"/>
            <w:tcBorders>
              <w:bottom w:val="single" w:sz="4" w:space="0" w:color="auto"/>
              <w:right w:val="single" w:sz="2" w:space="0" w:color="auto"/>
            </w:tcBorders>
            <w:shd w:val="clear" w:color="auto" w:fill="auto"/>
          </w:tcPr>
          <w:p w14:paraId="2FE33784"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$12,765,000</w:t>
            </w:r>
          </w:p>
        </w:tc>
        <w:tc>
          <w:tcPr>
            <w:tcW w:w="881" w:type="dxa"/>
            <w:tcBorders>
              <w:left w:val="single" w:sz="2" w:space="0" w:color="auto"/>
              <w:bottom w:val="single" w:sz="4" w:space="0" w:color="auto"/>
            </w:tcBorders>
            <w:shd w:val="clear" w:color="auto" w:fill="auto"/>
          </w:tcPr>
          <w:p w14:paraId="3AD58916"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4.60 %</w:t>
            </w:r>
          </w:p>
        </w:tc>
      </w:tr>
      <w:tr w:rsidR="008D26BD" w:rsidRPr="00EE6F4E" w14:paraId="4B3B2E8B" w14:textId="77777777" w:rsidTr="008D26BD">
        <w:tc>
          <w:tcPr>
            <w:tcW w:w="816" w:type="dxa"/>
            <w:tcBorders>
              <w:bottom w:val="single" w:sz="4" w:space="0" w:color="auto"/>
              <w:right w:val="single" w:sz="2" w:space="0" w:color="auto"/>
            </w:tcBorders>
            <w:shd w:val="clear" w:color="auto" w:fill="auto"/>
          </w:tcPr>
          <w:p w14:paraId="646CBE04"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4</w:t>
            </w:r>
          </w:p>
        </w:tc>
        <w:tc>
          <w:tcPr>
            <w:tcW w:w="2611" w:type="dxa"/>
            <w:tcBorders>
              <w:left w:val="single" w:sz="2" w:space="0" w:color="auto"/>
              <w:bottom w:val="single" w:sz="4" w:space="0" w:color="auto"/>
              <w:right w:val="single" w:sz="2" w:space="0" w:color="auto"/>
            </w:tcBorders>
            <w:shd w:val="clear" w:color="auto" w:fill="auto"/>
          </w:tcPr>
          <w:p w14:paraId="3AC27E3D" w14:textId="77777777" w:rsidR="008D26BD" w:rsidRPr="008D26BD" w:rsidRDefault="008D26BD" w:rsidP="00055AD5">
            <w:pPr>
              <w:pStyle w:val="StylePlainTextArial"/>
              <w:spacing w:before="120" w:line="240" w:lineRule="exact"/>
              <w:jc w:val="left"/>
              <w:rPr>
                <w:rFonts w:ascii="Calibri" w:hAnsi="Calibri" w:cs="Arial"/>
                <w:sz w:val="20"/>
                <w:highlight w:val="yellow"/>
              </w:rPr>
            </w:pPr>
            <w:r w:rsidRPr="008D26BD">
              <w:rPr>
                <w:rFonts w:ascii="Calibri" w:hAnsi="Calibri" w:cs="Arial"/>
                <w:sz w:val="20"/>
                <w:highlight w:val="yellow"/>
              </w:rPr>
              <w:t>Country Manor MHP</w:t>
            </w:r>
            <w:r w:rsidRPr="008D26BD">
              <w:rPr>
                <w:rFonts w:ascii="Calibri" w:hAnsi="Calibri" w:cs="Arial"/>
                <w:sz w:val="20"/>
                <w:highlight w:val="yellow"/>
              </w:rPr>
              <w:br/>
              <w:t>15619 NE Caples Road</w:t>
            </w:r>
            <w:r w:rsidRPr="008D26BD">
              <w:rPr>
                <w:rFonts w:ascii="Calibri" w:hAnsi="Calibri" w:cs="Arial"/>
                <w:sz w:val="20"/>
                <w:highlight w:val="yellow"/>
              </w:rPr>
              <w:br/>
              <w:t>Brush Prairie, WA</w:t>
            </w:r>
          </w:p>
        </w:tc>
        <w:tc>
          <w:tcPr>
            <w:tcW w:w="856" w:type="dxa"/>
            <w:tcBorders>
              <w:left w:val="single" w:sz="2" w:space="0" w:color="auto"/>
              <w:bottom w:val="single" w:sz="4" w:space="0" w:color="auto"/>
            </w:tcBorders>
            <w:shd w:val="clear" w:color="auto" w:fill="auto"/>
          </w:tcPr>
          <w:p w14:paraId="5271BB62"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10/18</w:t>
            </w:r>
            <w:r w:rsidRPr="008D26BD">
              <w:rPr>
                <w:rFonts w:ascii="Calibri" w:hAnsi="Calibri" w:cs="Arial"/>
                <w:sz w:val="20"/>
                <w:highlight w:val="yellow"/>
              </w:rPr>
              <w:br/>
            </w:r>
          </w:p>
        </w:tc>
        <w:tc>
          <w:tcPr>
            <w:tcW w:w="1391" w:type="dxa"/>
            <w:tcBorders>
              <w:bottom w:val="single" w:sz="4" w:space="0" w:color="auto"/>
            </w:tcBorders>
            <w:shd w:val="clear" w:color="auto" w:fill="auto"/>
          </w:tcPr>
          <w:p w14:paraId="702E748B"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1968</w:t>
            </w:r>
            <w:r w:rsidRPr="008D26BD">
              <w:rPr>
                <w:rFonts w:ascii="Calibri" w:hAnsi="Calibri" w:cs="Arial"/>
                <w:sz w:val="20"/>
                <w:highlight w:val="yellow"/>
              </w:rPr>
              <w:br/>
              <w:t xml:space="preserve"> </w:t>
            </w:r>
          </w:p>
        </w:tc>
        <w:tc>
          <w:tcPr>
            <w:tcW w:w="1165" w:type="dxa"/>
            <w:tcBorders>
              <w:bottom w:val="single" w:sz="4" w:space="0" w:color="auto"/>
            </w:tcBorders>
            <w:shd w:val="clear" w:color="auto" w:fill="auto"/>
          </w:tcPr>
          <w:p w14:paraId="4139DF73"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159</w:t>
            </w:r>
          </w:p>
        </w:tc>
        <w:tc>
          <w:tcPr>
            <w:tcW w:w="1640" w:type="dxa"/>
            <w:tcBorders>
              <w:bottom w:val="single" w:sz="4" w:space="0" w:color="auto"/>
              <w:right w:val="single" w:sz="2" w:space="0" w:color="auto"/>
            </w:tcBorders>
            <w:shd w:val="clear" w:color="auto" w:fill="auto"/>
          </w:tcPr>
          <w:p w14:paraId="643E086E"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$15,000,000</w:t>
            </w:r>
          </w:p>
        </w:tc>
        <w:tc>
          <w:tcPr>
            <w:tcW w:w="881" w:type="dxa"/>
            <w:tcBorders>
              <w:left w:val="single" w:sz="2" w:space="0" w:color="auto"/>
              <w:bottom w:val="single" w:sz="4" w:space="0" w:color="auto"/>
            </w:tcBorders>
            <w:shd w:val="clear" w:color="auto" w:fill="auto"/>
          </w:tcPr>
          <w:p w14:paraId="3AD65301"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4.93 %</w:t>
            </w:r>
          </w:p>
        </w:tc>
      </w:tr>
      <w:tr w:rsidR="008D26BD" w:rsidRPr="00EE6F4E" w14:paraId="67F64450" w14:textId="77777777" w:rsidTr="008D26BD">
        <w:tc>
          <w:tcPr>
            <w:tcW w:w="816" w:type="dxa"/>
            <w:tcBorders>
              <w:bottom w:val="single" w:sz="4" w:space="0" w:color="auto"/>
              <w:right w:val="single" w:sz="2" w:space="0" w:color="auto"/>
            </w:tcBorders>
            <w:shd w:val="clear" w:color="auto" w:fill="auto"/>
          </w:tcPr>
          <w:p w14:paraId="38757AE4"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5</w:t>
            </w:r>
          </w:p>
        </w:tc>
        <w:tc>
          <w:tcPr>
            <w:tcW w:w="2611" w:type="dxa"/>
            <w:tcBorders>
              <w:left w:val="single" w:sz="2" w:space="0" w:color="auto"/>
              <w:bottom w:val="single" w:sz="4" w:space="0" w:color="auto"/>
              <w:right w:val="single" w:sz="2" w:space="0" w:color="auto"/>
            </w:tcBorders>
            <w:shd w:val="clear" w:color="auto" w:fill="auto"/>
          </w:tcPr>
          <w:p w14:paraId="0DF841FE" w14:textId="77777777" w:rsidR="008D26BD" w:rsidRPr="008D26BD" w:rsidRDefault="008D26BD" w:rsidP="00055AD5">
            <w:pPr>
              <w:pStyle w:val="StylePlainTextArial"/>
              <w:spacing w:before="120" w:line="240" w:lineRule="exact"/>
              <w:jc w:val="left"/>
              <w:rPr>
                <w:rFonts w:ascii="Calibri" w:hAnsi="Calibri" w:cs="Arial"/>
                <w:sz w:val="20"/>
                <w:highlight w:val="yellow"/>
              </w:rPr>
            </w:pPr>
            <w:r w:rsidRPr="008D26BD">
              <w:rPr>
                <w:rFonts w:ascii="Calibri" w:hAnsi="Calibri" w:cs="Arial"/>
                <w:sz w:val="20"/>
                <w:highlight w:val="yellow"/>
              </w:rPr>
              <w:t>Clairmont MHP</w:t>
            </w:r>
            <w:r w:rsidRPr="008D26BD">
              <w:rPr>
                <w:rFonts w:ascii="Calibri" w:hAnsi="Calibri" w:cs="Arial"/>
                <w:sz w:val="20"/>
                <w:highlight w:val="yellow"/>
              </w:rPr>
              <w:br/>
              <w:t>13531 Clairmont Way</w:t>
            </w:r>
            <w:r w:rsidRPr="008D26BD">
              <w:rPr>
                <w:rFonts w:ascii="Calibri" w:hAnsi="Calibri" w:cs="Arial"/>
                <w:sz w:val="20"/>
                <w:highlight w:val="yellow"/>
              </w:rPr>
              <w:br/>
              <w:t>Oregon City, OR</w:t>
            </w:r>
          </w:p>
        </w:tc>
        <w:tc>
          <w:tcPr>
            <w:tcW w:w="856" w:type="dxa"/>
            <w:tcBorders>
              <w:left w:val="single" w:sz="2" w:space="0" w:color="auto"/>
              <w:bottom w:val="single" w:sz="4" w:space="0" w:color="auto"/>
            </w:tcBorders>
            <w:shd w:val="clear" w:color="auto" w:fill="auto"/>
          </w:tcPr>
          <w:p w14:paraId="0808537E"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03/19</w:t>
            </w:r>
            <w:r w:rsidRPr="008D26BD">
              <w:rPr>
                <w:rFonts w:ascii="Calibri" w:hAnsi="Calibri" w:cs="Arial"/>
                <w:sz w:val="20"/>
                <w:highlight w:val="yellow"/>
              </w:rPr>
              <w:br/>
            </w:r>
          </w:p>
        </w:tc>
        <w:tc>
          <w:tcPr>
            <w:tcW w:w="1391" w:type="dxa"/>
            <w:tcBorders>
              <w:bottom w:val="single" w:sz="4" w:space="0" w:color="auto"/>
            </w:tcBorders>
            <w:shd w:val="clear" w:color="auto" w:fill="auto"/>
          </w:tcPr>
          <w:p w14:paraId="4277AE50"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1969</w:t>
            </w:r>
            <w:r w:rsidRPr="008D26BD">
              <w:rPr>
                <w:rFonts w:ascii="Calibri" w:hAnsi="Calibri" w:cs="Arial"/>
                <w:sz w:val="20"/>
                <w:highlight w:val="yellow"/>
              </w:rPr>
              <w:br/>
              <w:t xml:space="preserve"> </w:t>
            </w:r>
          </w:p>
        </w:tc>
        <w:tc>
          <w:tcPr>
            <w:tcW w:w="1165" w:type="dxa"/>
            <w:tcBorders>
              <w:bottom w:val="single" w:sz="4" w:space="0" w:color="auto"/>
            </w:tcBorders>
            <w:shd w:val="clear" w:color="auto" w:fill="auto"/>
          </w:tcPr>
          <w:p w14:paraId="04670CFB"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188</w:t>
            </w:r>
          </w:p>
        </w:tc>
        <w:tc>
          <w:tcPr>
            <w:tcW w:w="1640" w:type="dxa"/>
            <w:tcBorders>
              <w:bottom w:val="single" w:sz="4" w:space="0" w:color="auto"/>
              <w:right w:val="single" w:sz="2" w:space="0" w:color="auto"/>
            </w:tcBorders>
            <w:shd w:val="clear" w:color="auto" w:fill="auto"/>
          </w:tcPr>
          <w:p w14:paraId="0069AB77"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$21,000,000</w:t>
            </w:r>
          </w:p>
        </w:tc>
        <w:tc>
          <w:tcPr>
            <w:tcW w:w="881" w:type="dxa"/>
            <w:tcBorders>
              <w:left w:val="single" w:sz="2" w:space="0" w:color="auto"/>
              <w:bottom w:val="single" w:sz="4" w:space="0" w:color="auto"/>
            </w:tcBorders>
            <w:shd w:val="clear" w:color="auto" w:fill="auto"/>
          </w:tcPr>
          <w:p w14:paraId="70E3A322"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4.76 %</w:t>
            </w:r>
          </w:p>
        </w:tc>
      </w:tr>
      <w:tr w:rsidR="008D26BD" w:rsidRPr="00EE6F4E" w14:paraId="4DD35537" w14:textId="77777777" w:rsidTr="008D26BD">
        <w:tc>
          <w:tcPr>
            <w:tcW w:w="816" w:type="dxa"/>
            <w:tcBorders>
              <w:bottom w:val="single" w:sz="4" w:space="0" w:color="auto"/>
              <w:right w:val="single" w:sz="2" w:space="0" w:color="auto"/>
            </w:tcBorders>
            <w:shd w:val="clear" w:color="auto" w:fill="auto"/>
          </w:tcPr>
          <w:p w14:paraId="6DA7AE1E"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A</w:t>
            </w:r>
          </w:p>
        </w:tc>
        <w:tc>
          <w:tcPr>
            <w:tcW w:w="2611" w:type="dxa"/>
            <w:tcBorders>
              <w:left w:val="single" w:sz="2" w:space="0" w:color="auto"/>
              <w:bottom w:val="single" w:sz="4" w:space="0" w:color="auto"/>
              <w:right w:val="single" w:sz="2" w:space="0" w:color="auto"/>
            </w:tcBorders>
            <w:shd w:val="clear" w:color="auto" w:fill="auto"/>
          </w:tcPr>
          <w:p w14:paraId="54CF94CE" w14:textId="77777777" w:rsidR="008D26BD" w:rsidRPr="008D26BD" w:rsidRDefault="008D26BD" w:rsidP="00055AD5">
            <w:pPr>
              <w:pStyle w:val="StylePlainTextArial"/>
              <w:spacing w:before="120" w:line="240" w:lineRule="exact"/>
              <w:jc w:val="left"/>
              <w:rPr>
                <w:rFonts w:ascii="Calibri" w:hAnsi="Calibri" w:cs="Arial"/>
                <w:sz w:val="20"/>
                <w:highlight w:val="yellow"/>
              </w:rPr>
            </w:pPr>
            <w:r w:rsidRPr="008D26BD">
              <w:rPr>
                <w:rFonts w:ascii="Calibri" w:hAnsi="Calibri" w:cs="Arial"/>
                <w:sz w:val="20"/>
                <w:highlight w:val="yellow"/>
              </w:rPr>
              <w:t>Nine Oaks MHP</w:t>
            </w:r>
            <w:r w:rsidRPr="008D26BD">
              <w:rPr>
                <w:rFonts w:ascii="Calibri" w:hAnsi="Calibri" w:cs="Arial"/>
                <w:sz w:val="20"/>
                <w:highlight w:val="yellow"/>
              </w:rPr>
              <w:br/>
              <w:t>4239 SE 122nd Avenue</w:t>
            </w:r>
            <w:r w:rsidRPr="008D26BD">
              <w:rPr>
                <w:rFonts w:ascii="Calibri" w:hAnsi="Calibri" w:cs="Arial"/>
                <w:sz w:val="20"/>
                <w:highlight w:val="yellow"/>
              </w:rPr>
              <w:br/>
              <w:t>Portland, OR</w:t>
            </w:r>
          </w:p>
        </w:tc>
        <w:tc>
          <w:tcPr>
            <w:tcW w:w="856" w:type="dxa"/>
            <w:tcBorders>
              <w:left w:val="single" w:sz="2" w:space="0" w:color="auto"/>
              <w:bottom w:val="single" w:sz="4" w:space="0" w:color="auto"/>
            </w:tcBorders>
            <w:shd w:val="clear" w:color="auto" w:fill="auto"/>
          </w:tcPr>
          <w:p w14:paraId="3A8C8FDB"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08/17</w:t>
            </w:r>
            <w:r w:rsidRPr="008D26BD">
              <w:rPr>
                <w:rFonts w:ascii="Calibri" w:hAnsi="Calibri" w:cs="Arial"/>
                <w:sz w:val="20"/>
                <w:highlight w:val="yellow"/>
              </w:rPr>
              <w:br/>
            </w:r>
          </w:p>
        </w:tc>
        <w:tc>
          <w:tcPr>
            <w:tcW w:w="1391" w:type="dxa"/>
            <w:tcBorders>
              <w:bottom w:val="single" w:sz="4" w:space="0" w:color="auto"/>
            </w:tcBorders>
            <w:shd w:val="clear" w:color="auto" w:fill="auto"/>
          </w:tcPr>
          <w:p w14:paraId="3D77A96A"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1993</w:t>
            </w:r>
            <w:r w:rsidRPr="008D26BD">
              <w:rPr>
                <w:rFonts w:ascii="Calibri" w:hAnsi="Calibri" w:cs="Arial"/>
                <w:sz w:val="20"/>
                <w:highlight w:val="yellow"/>
              </w:rPr>
              <w:br/>
              <w:t xml:space="preserve"> </w:t>
            </w:r>
          </w:p>
        </w:tc>
        <w:tc>
          <w:tcPr>
            <w:tcW w:w="1165" w:type="dxa"/>
            <w:tcBorders>
              <w:bottom w:val="single" w:sz="4" w:space="0" w:color="auto"/>
            </w:tcBorders>
            <w:shd w:val="clear" w:color="auto" w:fill="auto"/>
          </w:tcPr>
          <w:p w14:paraId="32AB0DB7"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14</w:t>
            </w:r>
          </w:p>
        </w:tc>
        <w:tc>
          <w:tcPr>
            <w:tcW w:w="1640" w:type="dxa"/>
            <w:tcBorders>
              <w:bottom w:val="single" w:sz="4" w:space="0" w:color="auto"/>
              <w:right w:val="single" w:sz="2" w:space="0" w:color="auto"/>
            </w:tcBorders>
            <w:shd w:val="clear" w:color="auto" w:fill="auto"/>
          </w:tcPr>
          <w:p w14:paraId="673A06E3"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$1,050,000</w:t>
            </w:r>
          </w:p>
        </w:tc>
        <w:tc>
          <w:tcPr>
            <w:tcW w:w="881" w:type="dxa"/>
            <w:tcBorders>
              <w:left w:val="single" w:sz="2" w:space="0" w:color="auto"/>
              <w:bottom w:val="single" w:sz="4" w:space="0" w:color="auto"/>
            </w:tcBorders>
            <w:shd w:val="clear" w:color="auto" w:fill="auto"/>
          </w:tcPr>
          <w:p w14:paraId="38271166"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5.50 %</w:t>
            </w:r>
          </w:p>
        </w:tc>
      </w:tr>
      <w:tr w:rsidR="008D26BD" w:rsidRPr="00EE6F4E" w14:paraId="63990162" w14:textId="77777777" w:rsidTr="008D26BD">
        <w:tc>
          <w:tcPr>
            <w:tcW w:w="816" w:type="dxa"/>
            <w:tcBorders>
              <w:bottom w:val="single" w:sz="4" w:space="0" w:color="auto"/>
              <w:right w:val="single" w:sz="2" w:space="0" w:color="auto"/>
            </w:tcBorders>
            <w:shd w:val="clear" w:color="auto" w:fill="auto"/>
          </w:tcPr>
          <w:p w14:paraId="3F78ECAE"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B</w:t>
            </w:r>
          </w:p>
        </w:tc>
        <w:tc>
          <w:tcPr>
            <w:tcW w:w="2611" w:type="dxa"/>
            <w:tcBorders>
              <w:left w:val="single" w:sz="2" w:space="0" w:color="auto"/>
              <w:bottom w:val="single" w:sz="4" w:space="0" w:color="auto"/>
              <w:right w:val="single" w:sz="2" w:space="0" w:color="auto"/>
            </w:tcBorders>
            <w:shd w:val="clear" w:color="auto" w:fill="auto"/>
          </w:tcPr>
          <w:p w14:paraId="1D1CB6EA" w14:textId="77777777" w:rsidR="008D26BD" w:rsidRPr="008D26BD" w:rsidRDefault="008D26BD" w:rsidP="00055AD5">
            <w:pPr>
              <w:pStyle w:val="StylePlainTextArial"/>
              <w:spacing w:before="120" w:line="240" w:lineRule="exact"/>
              <w:jc w:val="left"/>
              <w:rPr>
                <w:rFonts w:ascii="Calibri" w:hAnsi="Calibri" w:cs="Arial"/>
                <w:sz w:val="20"/>
                <w:highlight w:val="yellow"/>
              </w:rPr>
            </w:pPr>
            <w:r w:rsidRPr="008D26BD">
              <w:rPr>
                <w:rFonts w:ascii="Calibri" w:hAnsi="Calibri" w:cs="Arial"/>
                <w:sz w:val="20"/>
                <w:highlight w:val="yellow"/>
              </w:rPr>
              <w:t>Viking MHP</w:t>
            </w:r>
            <w:r w:rsidRPr="008D26BD">
              <w:rPr>
                <w:rFonts w:ascii="Calibri" w:hAnsi="Calibri" w:cs="Arial"/>
                <w:sz w:val="20"/>
                <w:highlight w:val="yellow"/>
              </w:rPr>
              <w:br/>
              <w:t>3441 SE 111th Avenue</w:t>
            </w:r>
            <w:r w:rsidRPr="008D26BD">
              <w:rPr>
                <w:rFonts w:ascii="Calibri" w:hAnsi="Calibri" w:cs="Arial"/>
                <w:sz w:val="20"/>
                <w:highlight w:val="yellow"/>
              </w:rPr>
              <w:br/>
              <w:t>Portland, OR</w:t>
            </w:r>
          </w:p>
        </w:tc>
        <w:tc>
          <w:tcPr>
            <w:tcW w:w="856" w:type="dxa"/>
            <w:tcBorders>
              <w:left w:val="single" w:sz="2" w:space="0" w:color="auto"/>
              <w:bottom w:val="single" w:sz="4" w:space="0" w:color="auto"/>
            </w:tcBorders>
            <w:shd w:val="clear" w:color="auto" w:fill="auto"/>
          </w:tcPr>
          <w:p w14:paraId="71A1F177"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10/18</w:t>
            </w:r>
            <w:r w:rsidRPr="008D26BD">
              <w:rPr>
                <w:rFonts w:ascii="Calibri" w:hAnsi="Calibri" w:cs="Arial"/>
                <w:sz w:val="20"/>
                <w:highlight w:val="yellow"/>
              </w:rPr>
              <w:br/>
            </w:r>
          </w:p>
        </w:tc>
        <w:tc>
          <w:tcPr>
            <w:tcW w:w="1391" w:type="dxa"/>
            <w:tcBorders>
              <w:bottom w:val="single" w:sz="4" w:space="0" w:color="auto"/>
            </w:tcBorders>
            <w:shd w:val="clear" w:color="auto" w:fill="auto"/>
          </w:tcPr>
          <w:p w14:paraId="6CB966DA"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1964</w:t>
            </w:r>
            <w:r w:rsidRPr="008D26BD">
              <w:rPr>
                <w:rFonts w:ascii="Calibri" w:hAnsi="Calibri" w:cs="Arial"/>
                <w:sz w:val="20"/>
                <w:highlight w:val="yellow"/>
              </w:rPr>
              <w:br/>
              <w:t xml:space="preserve"> </w:t>
            </w:r>
          </w:p>
        </w:tc>
        <w:tc>
          <w:tcPr>
            <w:tcW w:w="1165" w:type="dxa"/>
            <w:tcBorders>
              <w:bottom w:val="single" w:sz="4" w:space="0" w:color="auto"/>
            </w:tcBorders>
            <w:shd w:val="clear" w:color="auto" w:fill="auto"/>
          </w:tcPr>
          <w:p w14:paraId="1FABA685"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31</w:t>
            </w:r>
          </w:p>
        </w:tc>
        <w:tc>
          <w:tcPr>
            <w:tcW w:w="1640" w:type="dxa"/>
            <w:tcBorders>
              <w:bottom w:val="single" w:sz="4" w:space="0" w:color="auto"/>
              <w:right w:val="single" w:sz="2" w:space="0" w:color="auto"/>
            </w:tcBorders>
            <w:shd w:val="clear" w:color="auto" w:fill="auto"/>
          </w:tcPr>
          <w:p w14:paraId="171FF065"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$2,225,000</w:t>
            </w:r>
          </w:p>
        </w:tc>
        <w:tc>
          <w:tcPr>
            <w:tcW w:w="881" w:type="dxa"/>
            <w:tcBorders>
              <w:left w:val="single" w:sz="2" w:space="0" w:color="auto"/>
              <w:bottom w:val="single" w:sz="4" w:space="0" w:color="auto"/>
            </w:tcBorders>
            <w:shd w:val="clear" w:color="auto" w:fill="auto"/>
          </w:tcPr>
          <w:p w14:paraId="3F560F62"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5.25 %</w:t>
            </w:r>
          </w:p>
        </w:tc>
      </w:tr>
      <w:tr w:rsidR="008D26BD" w:rsidRPr="00EE6F4E" w14:paraId="2F84386D" w14:textId="77777777" w:rsidTr="008D26BD">
        <w:tc>
          <w:tcPr>
            <w:tcW w:w="816" w:type="dxa"/>
            <w:tcBorders>
              <w:bottom w:val="single" w:sz="4" w:space="0" w:color="auto"/>
              <w:right w:val="single" w:sz="2" w:space="0" w:color="auto"/>
            </w:tcBorders>
            <w:shd w:val="clear" w:color="auto" w:fill="auto"/>
          </w:tcPr>
          <w:p w14:paraId="7FD7042F"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C</w:t>
            </w:r>
          </w:p>
        </w:tc>
        <w:tc>
          <w:tcPr>
            <w:tcW w:w="2611" w:type="dxa"/>
            <w:tcBorders>
              <w:left w:val="single" w:sz="2" w:space="0" w:color="auto"/>
              <w:bottom w:val="single" w:sz="4" w:space="0" w:color="auto"/>
              <w:right w:val="single" w:sz="2" w:space="0" w:color="auto"/>
            </w:tcBorders>
            <w:shd w:val="clear" w:color="auto" w:fill="auto"/>
          </w:tcPr>
          <w:p w14:paraId="76C87B61" w14:textId="77777777" w:rsidR="008D26BD" w:rsidRPr="008D26BD" w:rsidRDefault="008D26BD" w:rsidP="00055AD5">
            <w:pPr>
              <w:pStyle w:val="StylePlainTextArial"/>
              <w:spacing w:before="120" w:line="240" w:lineRule="exact"/>
              <w:jc w:val="left"/>
              <w:rPr>
                <w:rFonts w:ascii="Calibri" w:hAnsi="Calibri" w:cs="Arial"/>
                <w:sz w:val="20"/>
                <w:highlight w:val="yellow"/>
              </w:rPr>
            </w:pPr>
            <w:r w:rsidRPr="008D26BD">
              <w:rPr>
                <w:rFonts w:ascii="Calibri" w:hAnsi="Calibri" w:cs="Arial"/>
                <w:sz w:val="20"/>
                <w:highlight w:val="yellow"/>
              </w:rPr>
              <w:t>Fir Haven MHP</w:t>
            </w:r>
            <w:r w:rsidRPr="008D26BD">
              <w:rPr>
                <w:rFonts w:ascii="Calibri" w:hAnsi="Calibri" w:cs="Arial"/>
                <w:sz w:val="20"/>
                <w:highlight w:val="yellow"/>
              </w:rPr>
              <w:br/>
              <w:t>17007 SE Stark Street</w:t>
            </w:r>
            <w:r w:rsidRPr="008D26BD">
              <w:rPr>
                <w:rFonts w:ascii="Calibri" w:hAnsi="Calibri" w:cs="Arial"/>
                <w:sz w:val="20"/>
                <w:highlight w:val="yellow"/>
              </w:rPr>
              <w:br/>
              <w:t>Portland, OR</w:t>
            </w:r>
          </w:p>
        </w:tc>
        <w:tc>
          <w:tcPr>
            <w:tcW w:w="856" w:type="dxa"/>
            <w:tcBorders>
              <w:left w:val="single" w:sz="2" w:space="0" w:color="auto"/>
              <w:bottom w:val="single" w:sz="4" w:space="0" w:color="auto"/>
            </w:tcBorders>
            <w:shd w:val="clear" w:color="auto" w:fill="auto"/>
          </w:tcPr>
          <w:p w14:paraId="04321F45"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04/19</w:t>
            </w:r>
            <w:r w:rsidRPr="008D26BD">
              <w:rPr>
                <w:rFonts w:ascii="Calibri" w:hAnsi="Calibri" w:cs="Arial"/>
                <w:sz w:val="20"/>
                <w:highlight w:val="yellow"/>
              </w:rPr>
              <w:br/>
              <w:t>(Listing)</w:t>
            </w:r>
          </w:p>
        </w:tc>
        <w:tc>
          <w:tcPr>
            <w:tcW w:w="1391" w:type="dxa"/>
            <w:tcBorders>
              <w:bottom w:val="single" w:sz="4" w:space="0" w:color="auto"/>
            </w:tcBorders>
            <w:shd w:val="clear" w:color="auto" w:fill="auto"/>
          </w:tcPr>
          <w:p w14:paraId="11E64441"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1928</w:t>
            </w:r>
            <w:r w:rsidRPr="008D26BD">
              <w:rPr>
                <w:rFonts w:ascii="Calibri" w:hAnsi="Calibri" w:cs="Arial"/>
                <w:sz w:val="20"/>
                <w:highlight w:val="yellow"/>
              </w:rPr>
              <w:br/>
              <w:t xml:space="preserve"> </w:t>
            </w:r>
          </w:p>
        </w:tc>
        <w:tc>
          <w:tcPr>
            <w:tcW w:w="1165" w:type="dxa"/>
            <w:tcBorders>
              <w:bottom w:val="single" w:sz="4" w:space="0" w:color="auto"/>
            </w:tcBorders>
            <w:shd w:val="clear" w:color="auto" w:fill="auto"/>
          </w:tcPr>
          <w:p w14:paraId="49D52F34"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54</w:t>
            </w:r>
          </w:p>
        </w:tc>
        <w:tc>
          <w:tcPr>
            <w:tcW w:w="1640" w:type="dxa"/>
            <w:tcBorders>
              <w:bottom w:val="single" w:sz="4" w:space="0" w:color="auto"/>
              <w:right w:val="single" w:sz="2" w:space="0" w:color="auto"/>
            </w:tcBorders>
            <w:shd w:val="clear" w:color="auto" w:fill="auto"/>
          </w:tcPr>
          <w:p w14:paraId="1280C392"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$4,100,000</w:t>
            </w:r>
          </w:p>
        </w:tc>
        <w:tc>
          <w:tcPr>
            <w:tcW w:w="881" w:type="dxa"/>
            <w:tcBorders>
              <w:left w:val="single" w:sz="2" w:space="0" w:color="auto"/>
              <w:bottom w:val="single" w:sz="4" w:space="0" w:color="auto"/>
            </w:tcBorders>
            <w:shd w:val="clear" w:color="auto" w:fill="auto"/>
          </w:tcPr>
          <w:p w14:paraId="70DB7E2B" w14:textId="77777777" w:rsidR="008D26BD" w:rsidRPr="008D26BD" w:rsidRDefault="008D26BD" w:rsidP="00055AD5">
            <w:pPr>
              <w:pStyle w:val="StylePlainTextArial"/>
              <w:spacing w:before="120" w:line="240" w:lineRule="exact"/>
              <w:jc w:val="center"/>
              <w:rPr>
                <w:rFonts w:ascii="Calibri" w:hAnsi="Calibri" w:cs="Arial"/>
                <w:sz w:val="20"/>
                <w:highlight w:val="yellow"/>
              </w:rPr>
            </w:pPr>
            <w:r w:rsidRPr="008D26BD">
              <w:rPr>
                <w:rFonts w:ascii="Calibri" w:hAnsi="Calibri" w:cs="Arial"/>
                <w:sz w:val="20"/>
                <w:highlight w:val="yellow"/>
              </w:rPr>
              <w:t>6.24 %</w:t>
            </w:r>
          </w:p>
        </w:tc>
      </w:tr>
    </w:tbl>
    <w:p w14:paraId="61EA0680" w14:textId="77777777" w:rsidR="008D26BD" w:rsidRDefault="008D26BD" w:rsidP="008D26BD">
      <w:pPr>
        <w:rPr>
          <w:kern w:val="24"/>
        </w:rPr>
      </w:pPr>
    </w:p>
    <w:p w14:paraId="31ADD224" w14:textId="1B42FB78" w:rsidR="004F6CAE" w:rsidRPr="00BC3E4E" w:rsidRDefault="004F6CAE" w:rsidP="004F6CAE">
      <w:pPr>
        <w:widowControl w:val="0"/>
        <w:numPr>
          <w:ilvl w:val="1"/>
          <w:numId w:val="0"/>
        </w:numPr>
        <w:spacing w:line="233" w:lineRule="auto"/>
        <w:outlineLvl w:val="2"/>
        <w:rPr>
          <w:rFonts w:cs="Arial"/>
          <w:szCs w:val="22"/>
        </w:rPr>
      </w:pPr>
      <w:r w:rsidRPr="00BC3E4E">
        <w:rPr>
          <w:rFonts w:cs="Arial"/>
          <w:szCs w:val="22"/>
        </w:rPr>
        <w:t xml:space="preserve">The surveyed capitalization rate sales data indicate a range of capitalization rates from </w:t>
      </w:r>
      <w:r w:rsidRPr="004F6CAE">
        <w:rPr>
          <w:rFonts w:cs="Arial"/>
          <w:szCs w:val="22"/>
          <w:highlight w:val="yellow"/>
        </w:rPr>
        <w:t>5.98% to 6.85%</w:t>
      </w:r>
      <w:r>
        <w:rPr>
          <w:rFonts w:cs="Arial"/>
          <w:szCs w:val="22"/>
          <w:highlight w:val="yellow"/>
        </w:rPr>
        <w:t xml:space="preserve"> (average = 6.25%)</w:t>
      </w:r>
      <w:r w:rsidRPr="004F6CAE">
        <w:rPr>
          <w:rFonts w:cs="Arial"/>
          <w:szCs w:val="22"/>
          <w:highlight w:val="yellow"/>
        </w:rPr>
        <w:t>.</w:t>
      </w:r>
      <w:r w:rsidRPr="00BC3E4E">
        <w:rPr>
          <w:rFonts w:cs="Arial"/>
          <w:szCs w:val="22"/>
        </w:rPr>
        <w:t xml:space="preserve"> The comparables show a relatively small range and are considered to be fair indicators of a market capitalization rate and all of them have been weighed on our conclusion. Based on the subject’s </w:t>
      </w:r>
      <w:r w:rsidRPr="008D26BD">
        <w:rPr>
          <w:rFonts w:cs="Arial"/>
          <w:szCs w:val="22"/>
          <w:highlight w:val="yellow"/>
        </w:rPr>
        <w:t>age / condition and unit mix</w:t>
      </w:r>
      <w:r w:rsidRPr="00BC3E4E">
        <w:rPr>
          <w:rFonts w:cs="Arial"/>
          <w:szCs w:val="22"/>
        </w:rPr>
        <w:t xml:space="preserve">, a capitalization rate toward the </w:t>
      </w:r>
      <w:r w:rsidRPr="004F6CAE">
        <w:rPr>
          <w:rFonts w:cs="Arial"/>
          <w:szCs w:val="22"/>
          <w:highlight w:val="yellow"/>
        </w:rPr>
        <w:t>middle of the range</w:t>
      </w:r>
      <w:r w:rsidRPr="00BC3E4E">
        <w:rPr>
          <w:rFonts w:cs="Arial"/>
          <w:szCs w:val="22"/>
        </w:rPr>
        <w:t xml:space="preserve"> is considered reasonable.  </w:t>
      </w:r>
    </w:p>
    <w:p w14:paraId="74638F35" w14:textId="77777777" w:rsidR="004F6CAE" w:rsidRPr="00BC3E4E" w:rsidRDefault="004F6CAE" w:rsidP="004F6CAE">
      <w:pPr>
        <w:widowControl w:val="0"/>
        <w:numPr>
          <w:ilvl w:val="1"/>
          <w:numId w:val="0"/>
        </w:numPr>
        <w:spacing w:before="200" w:line="233" w:lineRule="auto"/>
        <w:outlineLvl w:val="2"/>
        <w:rPr>
          <w:rFonts w:eastAsiaTheme="majorEastAsia" w:cs="Arial"/>
          <w:bCs/>
          <w:iCs/>
          <w:color w:val="1E4959"/>
          <w:sz w:val="24"/>
          <w:szCs w:val="22"/>
          <w:u w:val="single"/>
        </w:rPr>
      </w:pPr>
      <w:r w:rsidRPr="00BC3E4E">
        <w:rPr>
          <w:rFonts w:eastAsiaTheme="majorEastAsia" w:cs="Arial"/>
          <w:iCs/>
          <w:color w:val="1E4959"/>
          <w:sz w:val="24"/>
          <w:szCs w:val="22"/>
          <w:u w:val="single"/>
        </w:rPr>
        <w:t>Cap Rate Conclusion</w:t>
      </w:r>
    </w:p>
    <w:p w14:paraId="35EDDED2" w14:textId="77777777" w:rsidR="000B0C0A" w:rsidRPr="00BC3E4E" w:rsidRDefault="000B0C0A" w:rsidP="000B0C0A">
      <w:pPr>
        <w:widowControl w:val="0"/>
        <w:autoSpaceDE w:val="0"/>
        <w:autoSpaceDN w:val="0"/>
        <w:adjustRightInd w:val="0"/>
        <w:rPr>
          <w:rFonts w:cs="Arial"/>
          <w:szCs w:val="22"/>
        </w:rPr>
      </w:pPr>
      <w:r>
        <w:rPr>
          <w:rFonts w:cs="Arial"/>
          <w:szCs w:val="22"/>
        </w:rPr>
        <w:t>Based on the preceding, we have</w:t>
      </w:r>
      <w:r w:rsidRPr="00BC3E4E">
        <w:rPr>
          <w:rFonts w:cs="Arial"/>
          <w:szCs w:val="22"/>
        </w:rPr>
        <w:t xml:space="preserve"> concluded</w:t>
      </w:r>
      <w:r>
        <w:rPr>
          <w:rFonts w:cs="Arial"/>
          <w:szCs w:val="22"/>
        </w:rPr>
        <w:t xml:space="preserve"> a</w:t>
      </w:r>
      <w:r w:rsidRPr="00BC3E4E">
        <w:rPr>
          <w:rFonts w:cs="Arial"/>
          <w:szCs w:val="22"/>
        </w:rPr>
        <w:t xml:space="preserve"> </w:t>
      </w:r>
      <w:r w:rsidRPr="00BC3E4E">
        <w:rPr>
          <w:rFonts w:cs="Arial"/>
          <w:b/>
          <w:szCs w:val="22"/>
        </w:rPr>
        <w:t>direct capitalization rate</w:t>
      </w:r>
      <w:r w:rsidRPr="00BC3E4E">
        <w:rPr>
          <w:rFonts w:cs="Arial"/>
          <w:szCs w:val="22"/>
        </w:rPr>
        <w:t xml:space="preserve"> of </w:t>
      </w:r>
      <w:r>
        <w:rPr>
          <w:rFonts w:cs="Arial"/>
          <w:b/>
          <w:szCs w:val="22"/>
          <w:highlight w:val="yellow"/>
        </w:rPr>
        <w:t>______</w:t>
      </w:r>
      <w:r w:rsidRPr="004F6CAE">
        <w:rPr>
          <w:rFonts w:cs="Arial"/>
          <w:b/>
          <w:szCs w:val="22"/>
          <w:highlight w:val="yellow"/>
        </w:rPr>
        <w:t>%</w:t>
      </w:r>
      <w:r w:rsidRPr="00BC3E4E">
        <w:rPr>
          <w:rFonts w:cs="Arial"/>
          <w:szCs w:val="22"/>
        </w:rPr>
        <w:t xml:space="preserve"> </w:t>
      </w:r>
      <w:r>
        <w:rPr>
          <w:rFonts w:cs="Arial"/>
          <w:szCs w:val="22"/>
        </w:rPr>
        <w:t>as reasonable for use</w:t>
      </w:r>
      <w:r w:rsidRPr="00BC3E4E">
        <w:rPr>
          <w:rFonts w:cs="Arial"/>
          <w:szCs w:val="22"/>
        </w:rPr>
        <w:t xml:space="preserve"> in analyzing the subject property on a stabilized basis. </w:t>
      </w:r>
    </w:p>
    <w:p w14:paraId="55E12254" w14:textId="77777777" w:rsidR="004F6CAE" w:rsidRPr="00BC3E4E" w:rsidRDefault="004F6CAE" w:rsidP="004F6CAE">
      <w:pPr>
        <w:widowControl w:val="0"/>
        <w:spacing w:before="260"/>
        <w:outlineLvl w:val="1"/>
        <w:rPr>
          <w:rFonts w:cs="Arial"/>
          <w:iCs/>
          <w:color w:val="1E4959"/>
          <w:sz w:val="28"/>
          <w:szCs w:val="22"/>
        </w:rPr>
      </w:pPr>
      <w:r w:rsidRPr="00BC3E4E">
        <w:rPr>
          <w:rFonts w:cs="Arial"/>
          <w:iCs/>
          <w:color w:val="1E4959"/>
          <w:sz w:val="28"/>
          <w:szCs w:val="22"/>
        </w:rPr>
        <w:t xml:space="preserve">Concluded Market Value Via The Income Capitalization Approach </w:t>
      </w:r>
    </w:p>
    <w:p w14:paraId="61D5CABF" w14:textId="77777777" w:rsidR="007D2DDF" w:rsidRPr="000754FA" w:rsidRDefault="007D2DDF" w:rsidP="007D2DDF">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A1399187FC904F848DFA328046EF8106"/>
          </w:placeholder>
          <w:dropDownList>
            <w:listItem w:value="Choose an item."/>
            <w:listItem w:displayText="stabilized" w:value="stabilized"/>
            <w:listItem w:displayText="prospective stabilized" w:value="prospective stabilized"/>
          </w:dropDownList>
        </w:sdtPr>
        <w:sdtEnd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4B39514414754D63A98578AD80F38A64"/>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Pr>
              <w:rFonts w:cs="Arial"/>
              <w:szCs w:val="22"/>
              <w:highlight w:val="green"/>
            </w:rPr>
            <w:t>rounded to the nearest $5,000</w:t>
          </w:r>
        </w:sdtContent>
      </w:sdt>
      <w:r>
        <w:rPr>
          <w:rFonts w:cs="Arial"/>
          <w:szCs w:val="22"/>
        </w:rPr>
        <w:t>)</w:t>
      </w:r>
      <w:r w:rsidRPr="0005433A">
        <w:rPr>
          <w:rFonts w:cs="Arial"/>
          <w:szCs w:val="22"/>
        </w:rPr>
        <w:t>:</w:t>
      </w:r>
    </w:p>
    <w:p w14:paraId="3EF212E8" w14:textId="77777777" w:rsidR="004F6CAE" w:rsidRPr="000754FA" w:rsidRDefault="004F6CAE" w:rsidP="004F6CAE">
      <w:pPr>
        <w:widowControl w:val="0"/>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4F6CAE" w:rsidRPr="000754FA" w14:paraId="5B9B2934" w14:textId="77777777" w:rsidTr="00567FA0">
        <w:trPr>
          <w:jc w:val="center"/>
        </w:trPr>
        <w:tc>
          <w:tcPr>
            <w:tcW w:w="5314" w:type="dxa"/>
            <w:tcBorders>
              <w:bottom w:val="single" w:sz="24" w:space="0" w:color="3FB44F"/>
            </w:tcBorders>
            <w:shd w:val="clear" w:color="auto" w:fill="1E4959"/>
          </w:tcPr>
          <w:p w14:paraId="67CC3109" w14:textId="77777777" w:rsidR="004F6CAE" w:rsidRPr="000754FA" w:rsidRDefault="004F6CAE" w:rsidP="00567FA0">
            <w:pPr>
              <w:widowControl w:val="0"/>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1F820F8C" w14:textId="77777777" w:rsidR="004F6CAE" w:rsidRPr="000754FA" w:rsidRDefault="004F6CAE" w:rsidP="00567FA0">
            <w:pPr>
              <w:widowControl w:val="0"/>
              <w:tabs>
                <w:tab w:val="left" w:pos="0"/>
                <w:tab w:val="left" w:pos="259"/>
                <w:tab w:val="left" w:pos="518"/>
              </w:tabs>
              <w:spacing w:line="273" w:lineRule="exact"/>
              <w:jc w:val="right"/>
              <w:rPr>
                <w:rFonts w:cs="Arial"/>
                <w:szCs w:val="22"/>
              </w:rPr>
            </w:pPr>
          </w:p>
        </w:tc>
      </w:tr>
      <w:tr w:rsidR="004F6CAE" w:rsidRPr="00176843" w14:paraId="721C75A7" w14:textId="77777777" w:rsidTr="00567FA0">
        <w:trPr>
          <w:jc w:val="center"/>
        </w:trPr>
        <w:tc>
          <w:tcPr>
            <w:tcW w:w="5314" w:type="dxa"/>
            <w:tcBorders>
              <w:top w:val="single" w:sz="24" w:space="0" w:color="3FB44F"/>
              <w:bottom w:val="double" w:sz="6" w:space="0" w:color="auto"/>
              <w:right w:val="single" w:sz="6" w:space="0" w:color="auto"/>
            </w:tcBorders>
          </w:tcPr>
          <w:p w14:paraId="6A888455" w14:textId="77777777" w:rsidR="004F6CAE" w:rsidRPr="000754FA" w:rsidRDefault="004F6CAE" w:rsidP="00567FA0">
            <w:pPr>
              <w:widowControl w:val="0"/>
              <w:tabs>
                <w:tab w:val="left" w:pos="0"/>
                <w:tab w:val="left" w:pos="259"/>
                <w:tab w:val="left" w:pos="518"/>
              </w:tabs>
              <w:spacing w:before="120"/>
              <w:jc w:val="left"/>
              <w:rPr>
                <w:rFonts w:cs="Arial"/>
                <w:b/>
                <w:szCs w:val="22"/>
              </w:rPr>
            </w:pPr>
            <w:r w:rsidRPr="000754FA">
              <w:rPr>
                <w:rFonts w:cs="Arial"/>
                <w:b/>
                <w:szCs w:val="22"/>
              </w:rPr>
              <w:t xml:space="preserve">Concluded Market Value Via the </w:t>
            </w:r>
          </w:p>
          <w:p w14:paraId="1249A5EC" w14:textId="77777777" w:rsidR="004F6CAE" w:rsidRPr="000754FA" w:rsidRDefault="004F6CAE" w:rsidP="00567FA0">
            <w:pPr>
              <w:widowControl w:val="0"/>
              <w:tabs>
                <w:tab w:val="left" w:pos="0"/>
                <w:tab w:val="left" w:pos="259"/>
                <w:tab w:val="left" w:pos="518"/>
              </w:tabs>
              <w:spacing w:after="58"/>
              <w:jc w:val="left"/>
              <w:rPr>
                <w:rFonts w:cs="Arial"/>
                <w:b/>
                <w:szCs w:val="22"/>
              </w:rPr>
            </w:pPr>
            <w:r w:rsidRPr="000754FA">
              <w:rPr>
                <w:rFonts w:cs="Arial"/>
                <w:b/>
                <w:szCs w:val="22"/>
              </w:rPr>
              <w:t>Income Capitalization Approach:</w:t>
            </w:r>
          </w:p>
        </w:tc>
        <w:tc>
          <w:tcPr>
            <w:tcW w:w="1976" w:type="dxa"/>
            <w:tcBorders>
              <w:top w:val="single" w:sz="24" w:space="0" w:color="3FB44F"/>
              <w:left w:val="nil"/>
              <w:bottom w:val="double" w:sz="6" w:space="0" w:color="auto"/>
            </w:tcBorders>
          </w:tcPr>
          <w:p w14:paraId="2E6EF792" w14:textId="140CF2DC" w:rsidR="004F6CAE" w:rsidRPr="004F6CAE" w:rsidRDefault="004F6CAE" w:rsidP="00567FA0">
            <w:pPr>
              <w:widowControl w:val="0"/>
              <w:tabs>
                <w:tab w:val="left" w:pos="0"/>
                <w:tab w:val="left" w:pos="259"/>
                <w:tab w:val="left" w:pos="518"/>
              </w:tabs>
              <w:spacing w:before="120" w:after="58" w:line="400" w:lineRule="exact"/>
              <w:jc w:val="center"/>
              <w:rPr>
                <w:rFonts w:cs="Arial"/>
                <w:b/>
                <w:szCs w:val="22"/>
                <w:highlight w:val="yellow"/>
              </w:rPr>
            </w:pPr>
            <w:r w:rsidRPr="004F6CAE">
              <w:rPr>
                <w:rFonts w:cs="Arial"/>
                <w:b/>
                <w:szCs w:val="22"/>
                <w:highlight w:val="yellow"/>
              </w:rPr>
              <w:t>$____________</w:t>
            </w:r>
          </w:p>
        </w:tc>
      </w:tr>
    </w:tbl>
    <w:p w14:paraId="48DA6ACC" w14:textId="77777777" w:rsidR="004F6CAE" w:rsidRPr="000754FA" w:rsidRDefault="004F6CAE" w:rsidP="004F6CAE">
      <w:pPr>
        <w:pStyle w:val="Style1"/>
        <w:tabs>
          <w:tab w:val="clear" w:pos="4680"/>
        </w:tabs>
        <w:rPr>
          <w:rFonts w:cs="Arial"/>
          <w:kern w:val="20"/>
          <w:szCs w:val="22"/>
        </w:rPr>
      </w:pPr>
    </w:p>
    <w:p w14:paraId="233200F2" w14:textId="5A15D73D" w:rsidR="004F6CAE" w:rsidRDefault="004F6CAE" w:rsidP="004F6CAE">
      <w:pPr>
        <w:widowControl w:val="0"/>
        <w:rPr>
          <w:rFonts w:cs="Arial"/>
          <w:szCs w:val="22"/>
        </w:rPr>
      </w:pPr>
      <w:r w:rsidRPr="000754FA">
        <w:rPr>
          <w:rFonts w:cs="Arial"/>
          <w:szCs w:val="22"/>
        </w:rPr>
        <w:t>Our analysis of the subject property via the Income Capitalization Approach is presented on the following page.</w:t>
      </w:r>
    </w:p>
    <w:p w14:paraId="5F4156FE" w14:textId="77777777" w:rsidR="00AD5850" w:rsidRPr="000754FA" w:rsidRDefault="00AD5850" w:rsidP="00AD5850">
      <w:pPr>
        <w:rPr>
          <w:rFonts w:cs="Arial"/>
          <w:szCs w:val="22"/>
        </w:rPr>
        <w:sectPr w:rsidR="00AD5850" w:rsidRPr="000754FA" w:rsidSect="00AD7FDD">
          <w:headerReference w:type="default" r:id="rId18"/>
          <w:footerReference w:type="default" r:id="rId19"/>
          <w:pgSz w:w="12240" w:h="15840"/>
          <w:pgMar w:top="1440" w:right="1440" w:bottom="1440" w:left="1440" w:header="720" w:footer="720" w:gutter="0"/>
          <w:cols w:space="720"/>
          <w:noEndnote/>
          <w:docGrid w:linePitch="286"/>
        </w:sectPr>
      </w:pPr>
    </w:p>
    <w:p w14:paraId="68B34662" w14:textId="20DADDEA" w:rsidR="00AD5850" w:rsidRDefault="008D26BD" w:rsidP="00AD5850">
      <w:pPr>
        <w:ind w:left="720"/>
        <w:jc w:val="center"/>
        <w:sectPr w:rsidR="00AD5850" w:rsidSect="00ED17DC">
          <w:headerReference w:type="default" r:id="rId20"/>
          <w:footerReference w:type="default" r:id="rId21"/>
          <w:pgSz w:w="15840" w:h="12240" w:orient="landscape"/>
          <w:pgMar w:top="1440" w:right="1440" w:bottom="1440" w:left="720" w:header="720" w:footer="720" w:gutter="0"/>
          <w:cols w:space="720"/>
          <w:vAlign w:val="center"/>
          <w:docGrid w:linePitch="360"/>
        </w:sectPr>
      </w:pPr>
      <w:r w:rsidRPr="006C0420">
        <w:rPr>
          <w:noProof/>
        </w:rPr>
        <w:lastRenderedPageBreak/>
        <w:drawing>
          <wp:inline distT="0" distB="0" distL="0" distR="0" wp14:anchorId="7F85C85F" wp14:editId="4A64D055">
            <wp:extent cx="8638528" cy="58959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643308" cy="5899238"/>
                    </a:xfrm>
                    <a:prstGeom prst="rect">
                      <a:avLst/>
                    </a:prstGeom>
                    <a:noFill/>
                    <a:ln>
                      <a:noFill/>
                    </a:ln>
                  </pic:spPr>
                </pic:pic>
              </a:graphicData>
            </a:graphic>
          </wp:inline>
        </w:drawing>
      </w:r>
      <w:r w:rsidR="00AD5850" w:rsidRPr="00117877">
        <w:t xml:space="preserve"> </w:t>
      </w:r>
      <w:r w:rsidR="00AD5850" w:rsidRPr="00FA7551">
        <w:t xml:space="preserve">  </w:t>
      </w:r>
      <w:r w:rsidR="00AD5850" w:rsidRPr="002278EA">
        <w:t xml:space="preserve"> </w:t>
      </w:r>
      <w:r w:rsidR="00AD5850" w:rsidRPr="00626392">
        <w:t xml:space="preserve">  </w:t>
      </w:r>
      <w:r w:rsidR="00AD5850" w:rsidRPr="00C20443">
        <w:rPr>
          <w:noProof/>
        </w:rPr>
        <w:t xml:space="preserve">  </w:t>
      </w:r>
    </w:p>
    <w:p w14:paraId="18C3D59D" w14:textId="77777777" w:rsidR="00DA4B42" w:rsidRDefault="00DA4B42" w:rsidP="00AD5850">
      <w:pPr>
        <w:widowControl w:val="0"/>
        <w:spacing w:after="120"/>
      </w:pPr>
    </w:p>
    <w:sectPr w:rsidR="00DA4B42" w:rsidSect="00BC65DD">
      <w:headerReference w:type="default" r:id="rId2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4E99C" w14:textId="77777777" w:rsidR="00185D01" w:rsidRDefault="00185D01">
      <w:r>
        <w:separator/>
      </w:r>
    </w:p>
  </w:endnote>
  <w:endnote w:type="continuationSeparator" w:id="0">
    <w:p w14:paraId="5F025A53" w14:textId="77777777" w:rsidR="00185D01" w:rsidRDefault="0018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04A7BF94"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9530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2371F">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7782" w14:textId="56B0DE5E"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9530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2371F">
      <w:rPr>
        <w:rFonts w:cs="Segoe UI"/>
        <w:bCs/>
        <w:iCs/>
        <w:kern w:val="0"/>
        <w:sz w:val="20"/>
        <w:szCs w:val="18"/>
      </w:rPr>
      <w:t>${reportname}</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C95C9" w14:textId="22018FE7"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9530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2371F">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4FA7A" w14:textId="64AF0E68" w:rsidR="00AD5850" w:rsidRDefault="00AD585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9530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E2371F">
      <w:rPr>
        <w:rFonts w:cs="Segoe UI"/>
        <w:bCs/>
        <w:iCs/>
        <w:kern w:val="0"/>
        <w:sz w:val="20"/>
        <w:szCs w:val="18"/>
      </w:rPr>
      <w:t>| ${reportname}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E1576" w14:textId="0C2755CC" w:rsidR="00AD5850" w:rsidRDefault="00AD585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9530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2371F">
      <w:rPr>
        <w:rFonts w:cs="Segoe UI"/>
        <w:bCs/>
        <w:iCs/>
        <w:kern w:val="0"/>
        <w:sz w:val="20"/>
        <w:szCs w:val="18"/>
      </w:rPr>
      <w:t>${reportname}</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778B0" w14:textId="77777777" w:rsidR="00185D01" w:rsidRDefault="00185D01">
      <w:r>
        <w:separator/>
      </w:r>
    </w:p>
  </w:footnote>
  <w:footnote w:type="continuationSeparator" w:id="0">
    <w:p w14:paraId="1E872736" w14:textId="77777777" w:rsidR="00185D01" w:rsidRDefault="00185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6A4237B" w14:textId="77777777" w:rsidTr="00CA3661">
      <w:trPr>
        <w:trHeight w:val="800"/>
      </w:trPr>
      <w:tc>
        <w:tcPr>
          <w:tcW w:w="5124" w:type="dxa"/>
        </w:tcPr>
        <w:p w14:paraId="2E8A0E2D" w14:textId="77777777" w:rsidR="00462D82" w:rsidRDefault="008A1229" w:rsidP="00492705">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E2371F">
            <w:rPr>
              <w:rFonts w:asciiTheme="minorHAnsi" w:hAnsiTheme="minorHAnsi"/>
              <w:noProof/>
              <w:color w:val="auto"/>
              <w:sz w:val="20"/>
            </w:rPr>
            <w:t>${cappropname}</w:t>
          </w:r>
        </w:p>
        <w:p w14:paraId="41FBDEEE"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462D82" w:rsidRPr="007F6649" w:rsidRDefault="00185D01" w:rsidP="00FE229A">
    <w:pPr>
      <w:pStyle w:val="ValbridgeHeader"/>
      <w:tabs>
        <w:tab w:val="left" w:pos="2235"/>
        <w:tab w:val="right" w:pos="9360"/>
      </w:tabs>
      <w:jc w:val="left"/>
      <w:rPr>
        <w:rFonts w:asciiTheme="minorHAnsi" w:hAnsi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ED17DC" w:rsidRPr="006C283F" w14:paraId="47A6C064" w14:textId="77777777" w:rsidTr="00ED17DC">
      <w:trPr>
        <w:trHeight w:val="800"/>
      </w:trPr>
      <w:tc>
        <w:tcPr>
          <w:tcW w:w="5124" w:type="dxa"/>
        </w:tcPr>
        <w:p w14:paraId="1C75515C" w14:textId="77777777" w:rsidR="00ED17DC" w:rsidRDefault="00ED17DC" w:rsidP="00492705">
          <w:pPr>
            <w:pStyle w:val="ValbridgeHeader"/>
            <w:spacing w:line="240" w:lineRule="auto"/>
            <w:jc w:val="left"/>
          </w:pPr>
          <w:r w:rsidRPr="006C283F">
            <w:rPr>
              <w:noProof/>
            </w:rPr>
            <w:drawing>
              <wp:inline distT="0" distB="0" distL="0" distR="0" wp14:anchorId="35D427F2" wp14:editId="270D4635">
                <wp:extent cx="2231136" cy="49377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5BBEFE80"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E2371F">
            <w:rPr>
              <w:rFonts w:asciiTheme="minorHAnsi" w:hAnsiTheme="minorHAnsi"/>
              <w:noProof/>
              <w:color w:val="auto"/>
              <w:sz w:val="20"/>
            </w:rPr>
            <w:t>${cappropname}</w:t>
          </w:r>
        </w:p>
        <w:p w14:paraId="49366AA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632FA4DA"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ED17DC" w:rsidRPr="006C283F" w14:paraId="30C5B5F6" w14:textId="77777777" w:rsidTr="00CA3661">
      <w:trPr>
        <w:trHeight w:val="800"/>
      </w:trPr>
      <w:tc>
        <w:tcPr>
          <w:tcW w:w="5124" w:type="dxa"/>
        </w:tcPr>
        <w:p w14:paraId="09A74AD4" w14:textId="77777777" w:rsidR="00ED17DC" w:rsidRDefault="00ED17DC" w:rsidP="00492705">
          <w:pPr>
            <w:pStyle w:val="ValbridgeHeader"/>
            <w:spacing w:line="240" w:lineRule="auto"/>
            <w:jc w:val="left"/>
          </w:pPr>
          <w:r w:rsidRPr="006C283F">
            <w:rPr>
              <w:noProof/>
            </w:rPr>
            <w:drawing>
              <wp:inline distT="0" distB="0" distL="0" distR="0" wp14:anchorId="29D6FEAE" wp14:editId="37F510A9">
                <wp:extent cx="2231136" cy="493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71EE62A8"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E2371F">
            <w:rPr>
              <w:rFonts w:asciiTheme="minorHAnsi" w:hAnsiTheme="minorHAnsi"/>
              <w:noProof/>
              <w:color w:val="auto"/>
              <w:sz w:val="20"/>
            </w:rPr>
            <w:t>${cappropname}</w:t>
          </w:r>
        </w:p>
        <w:p w14:paraId="614BB75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2BE27609"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5BCA16D" w14:textId="77777777" w:rsidTr="00CA3661">
      <w:trPr>
        <w:trHeight w:val="800"/>
      </w:trPr>
      <w:tc>
        <w:tcPr>
          <w:tcW w:w="5124" w:type="dxa"/>
        </w:tcPr>
        <w:p w14:paraId="79593E15" w14:textId="77777777" w:rsidR="00AD5850" w:rsidRDefault="00AD5850" w:rsidP="00492705">
          <w:pPr>
            <w:pStyle w:val="ValbridgeHeader"/>
            <w:spacing w:line="240" w:lineRule="auto"/>
            <w:jc w:val="left"/>
          </w:pPr>
          <w:r w:rsidRPr="006C283F">
            <w:rPr>
              <w:noProof/>
            </w:rPr>
            <w:drawing>
              <wp:inline distT="0" distB="0" distL="0" distR="0" wp14:anchorId="578C6888" wp14:editId="4093044B">
                <wp:extent cx="2231136" cy="4937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6FAF9A72" w14:textId="77777777" w:rsidR="00AD5850" w:rsidRPr="000E23F3" w:rsidRDefault="00AD5850" w:rsidP="00BC65DD">
          <w:pPr>
            <w:pStyle w:val="ValbridgeHeader"/>
            <w:spacing w:before="120" w:line="240" w:lineRule="auto"/>
            <w:rPr>
              <w:rFonts w:asciiTheme="minorHAnsi" w:hAnsiTheme="minorHAnsi"/>
              <w:noProof/>
              <w:color w:val="auto"/>
              <w:sz w:val="20"/>
            </w:rPr>
          </w:pPr>
          <w:r w:rsidRPr="00E2371F">
            <w:rPr>
              <w:rFonts w:asciiTheme="minorHAnsi" w:hAnsiTheme="minorHAnsi"/>
              <w:noProof/>
              <w:color w:val="auto"/>
              <w:sz w:val="20"/>
            </w:rPr>
            <w:t>${cappropname}</w:t>
          </w:r>
        </w:p>
        <w:p w14:paraId="3EC4FA21" w14:textId="77777777" w:rsidR="00AD5850" w:rsidRPr="00883365" w:rsidRDefault="00AD585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089997B" w14:textId="77777777" w:rsidR="00AD5850" w:rsidRPr="007F6649" w:rsidRDefault="00AD5850" w:rsidP="00FE229A">
    <w:pPr>
      <w:pStyle w:val="ValbridgeHeader"/>
      <w:tabs>
        <w:tab w:val="left" w:pos="2235"/>
        <w:tab w:val="right" w:pos="9360"/>
      </w:tabs>
      <w:jc w:val="left"/>
      <w:rPr>
        <w:rFonts w:asciiTheme="minorHAnsi" w:hAnsiTheme="minorHAnsi"/>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AD5850" w:rsidRPr="006C283F" w14:paraId="6AF6DCEB" w14:textId="77777777" w:rsidTr="00ED17DC">
      <w:trPr>
        <w:trHeight w:val="800"/>
      </w:trPr>
      <w:tc>
        <w:tcPr>
          <w:tcW w:w="5124" w:type="dxa"/>
        </w:tcPr>
        <w:p w14:paraId="7E264DC7" w14:textId="77777777" w:rsidR="00AD5850" w:rsidRDefault="00AD5850" w:rsidP="00492705">
          <w:pPr>
            <w:pStyle w:val="ValbridgeHeader"/>
            <w:spacing w:line="240" w:lineRule="auto"/>
            <w:jc w:val="left"/>
          </w:pPr>
          <w:r w:rsidRPr="006C283F">
            <w:rPr>
              <w:noProof/>
            </w:rPr>
            <w:drawing>
              <wp:inline distT="0" distB="0" distL="0" distR="0" wp14:anchorId="631897BF" wp14:editId="418266CF">
                <wp:extent cx="2231136" cy="4937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1E82B95D" w14:textId="77777777" w:rsidR="00AD5850" w:rsidRPr="000E23F3" w:rsidRDefault="00AD5850" w:rsidP="00BC65DD">
          <w:pPr>
            <w:pStyle w:val="ValbridgeHeader"/>
            <w:spacing w:before="120" w:line="240" w:lineRule="auto"/>
            <w:rPr>
              <w:rFonts w:asciiTheme="minorHAnsi" w:hAnsiTheme="minorHAnsi"/>
              <w:noProof/>
              <w:color w:val="auto"/>
              <w:sz w:val="20"/>
            </w:rPr>
          </w:pPr>
          <w:r w:rsidRPr="00E2371F">
            <w:rPr>
              <w:rFonts w:asciiTheme="minorHAnsi" w:hAnsiTheme="minorHAnsi"/>
              <w:noProof/>
              <w:color w:val="auto"/>
              <w:sz w:val="20"/>
            </w:rPr>
            <w:t>${cappropname}</w:t>
          </w:r>
        </w:p>
        <w:p w14:paraId="180DF82F" w14:textId="77777777" w:rsidR="00AD5850" w:rsidRPr="00883365" w:rsidRDefault="00AD585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B8605E8" w14:textId="77777777" w:rsidR="00AD5850" w:rsidRPr="007F6649" w:rsidRDefault="00AD5850" w:rsidP="00FE229A">
    <w:pPr>
      <w:pStyle w:val="ValbridgeHeader"/>
      <w:tabs>
        <w:tab w:val="left" w:pos="2235"/>
        <w:tab w:val="right" w:pos="9360"/>
      </w:tabs>
      <w:jc w:val="left"/>
      <w:rPr>
        <w:rFonts w:asciiTheme="minorHAnsi" w:hAnsiTheme="minorHAnsi"/>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8358147" w14:textId="77777777" w:rsidTr="00567FA0">
      <w:trPr>
        <w:trHeight w:val="800"/>
      </w:trPr>
      <w:tc>
        <w:tcPr>
          <w:tcW w:w="5124" w:type="dxa"/>
        </w:tcPr>
        <w:p w14:paraId="0166A7D1" w14:textId="77777777" w:rsidR="00AD5850" w:rsidRDefault="00AD5850" w:rsidP="00AD5850">
          <w:pPr>
            <w:pStyle w:val="ValbridgeHeader"/>
            <w:spacing w:line="240" w:lineRule="auto"/>
            <w:jc w:val="left"/>
          </w:pPr>
          <w:r w:rsidRPr="006C283F">
            <w:rPr>
              <w:noProof/>
            </w:rPr>
            <w:drawing>
              <wp:inline distT="0" distB="0" distL="0" distR="0" wp14:anchorId="27AD4641" wp14:editId="3D6CEDB3">
                <wp:extent cx="2231136" cy="49377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A40B7E5" w14:textId="77777777" w:rsidR="00AD5850" w:rsidRPr="000E23F3" w:rsidRDefault="00AD5850" w:rsidP="00AD5850">
          <w:pPr>
            <w:pStyle w:val="ValbridgeHeader"/>
            <w:spacing w:before="120" w:line="240" w:lineRule="auto"/>
            <w:rPr>
              <w:rFonts w:asciiTheme="minorHAnsi" w:hAnsiTheme="minorHAnsi"/>
              <w:noProof/>
              <w:color w:val="auto"/>
              <w:sz w:val="20"/>
            </w:rPr>
          </w:pPr>
          <w:r w:rsidRPr="00E2371F">
            <w:rPr>
              <w:rFonts w:asciiTheme="minorHAnsi" w:hAnsiTheme="minorHAnsi"/>
              <w:noProof/>
              <w:color w:val="auto"/>
              <w:sz w:val="20"/>
            </w:rPr>
            <w:t>${cappropname}</w:t>
          </w:r>
        </w:p>
        <w:p w14:paraId="7FDBA428" w14:textId="77777777" w:rsidR="00AD5850" w:rsidRPr="00883365" w:rsidRDefault="00AD5850" w:rsidP="00AD585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7E460D01" w14:textId="77777777" w:rsidR="00AD5850" w:rsidRPr="00AD5850" w:rsidRDefault="00AD5850" w:rsidP="00AD58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676E8"/>
    <w:rsid w:val="000A6C77"/>
    <w:rsid w:val="000B0C0A"/>
    <w:rsid w:val="000B5457"/>
    <w:rsid w:val="000C5EA0"/>
    <w:rsid w:val="000D07B4"/>
    <w:rsid w:val="000F1300"/>
    <w:rsid w:val="00157A57"/>
    <w:rsid w:val="00185D01"/>
    <w:rsid w:val="001C353A"/>
    <w:rsid w:val="001F5F7E"/>
    <w:rsid w:val="002059C3"/>
    <w:rsid w:val="0025432C"/>
    <w:rsid w:val="003607D1"/>
    <w:rsid w:val="0039530F"/>
    <w:rsid w:val="003969EC"/>
    <w:rsid w:val="003B01A8"/>
    <w:rsid w:val="003F19B9"/>
    <w:rsid w:val="00447014"/>
    <w:rsid w:val="004850BB"/>
    <w:rsid w:val="004F04F1"/>
    <w:rsid w:val="004F6CAE"/>
    <w:rsid w:val="005A24B3"/>
    <w:rsid w:val="00600D1B"/>
    <w:rsid w:val="00645D69"/>
    <w:rsid w:val="006511AF"/>
    <w:rsid w:val="006947D7"/>
    <w:rsid w:val="006A3211"/>
    <w:rsid w:val="007471E1"/>
    <w:rsid w:val="00751513"/>
    <w:rsid w:val="007551F1"/>
    <w:rsid w:val="00766FBA"/>
    <w:rsid w:val="007A0E94"/>
    <w:rsid w:val="007D2DDF"/>
    <w:rsid w:val="007E5F8E"/>
    <w:rsid w:val="007F6649"/>
    <w:rsid w:val="00804817"/>
    <w:rsid w:val="00874B1A"/>
    <w:rsid w:val="008A1229"/>
    <w:rsid w:val="008D26BD"/>
    <w:rsid w:val="009151FB"/>
    <w:rsid w:val="00920724"/>
    <w:rsid w:val="00921FB4"/>
    <w:rsid w:val="009B7856"/>
    <w:rsid w:val="00A259B6"/>
    <w:rsid w:val="00A9480D"/>
    <w:rsid w:val="00AD09BE"/>
    <w:rsid w:val="00AD5850"/>
    <w:rsid w:val="00B35CD4"/>
    <w:rsid w:val="00B46DD4"/>
    <w:rsid w:val="00B651F9"/>
    <w:rsid w:val="00BC65DD"/>
    <w:rsid w:val="00BF6DA8"/>
    <w:rsid w:val="00C52C41"/>
    <w:rsid w:val="00C655DD"/>
    <w:rsid w:val="00D13A0F"/>
    <w:rsid w:val="00D228C5"/>
    <w:rsid w:val="00D54776"/>
    <w:rsid w:val="00DA4B42"/>
    <w:rsid w:val="00DC4CAF"/>
    <w:rsid w:val="00DD49B1"/>
    <w:rsid w:val="00E07120"/>
    <w:rsid w:val="00E14FDB"/>
    <w:rsid w:val="00E2371F"/>
    <w:rsid w:val="00E26156"/>
    <w:rsid w:val="00E5122E"/>
    <w:rsid w:val="00ED04D3"/>
    <w:rsid w:val="00ED17DC"/>
    <w:rsid w:val="00EF60EE"/>
    <w:rsid w:val="00F823F7"/>
    <w:rsid w:val="00F87E65"/>
    <w:rsid w:val="00FB0D25"/>
    <w:rsid w:val="00FB3439"/>
    <w:rsid w:val="00FD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0B5457"/>
    <w:rPr>
      <w:color w:val="808080"/>
    </w:rPr>
  </w:style>
  <w:style w:type="paragraph" w:styleId="Revision">
    <w:name w:val="Revision"/>
    <w:hidden/>
    <w:uiPriority w:val="99"/>
    <w:semiHidden/>
    <w:rsid w:val="00B35CD4"/>
    <w:pPr>
      <w:spacing w:after="0" w:line="240" w:lineRule="auto"/>
    </w:pPr>
    <w:rPr>
      <w:rFonts w:eastAsia="Times New Roman" w:cs="Times New Roman"/>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2042932C-8746-485A-9BCC-018FBBDE2BDC}"/>
      </w:docPartPr>
      <w:docPartBody>
        <w:p w:rsidR="00364140" w:rsidRDefault="00C92E18">
          <w:r w:rsidRPr="00BC2797">
            <w:rPr>
              <w:rStyle w:val="PlaceholderText"/>
            </w:rPr>
            <w:t>Choose an item.</w:t>
          </w:r>
        </w:p>
      </w:docPartBody>
    </w:docPart>
    <w:docPart>
      <w:docPartPr>
        <w:name w:val="7843152D736A4BA1ADD60D2212FAB53C"/>
        <w:category>
          <w:name w:val="General"/>
          <w:gallery w:val="placeholder"/>
        </w:category>
        <w:types>
          <w:type w:val="bbPlcHdr"/>
        </w:types>
        <w:behaviors>
          <w:behavior w:val="content"/>
        </w:behaviors>
        <w:guid w:val="{1C8C6E57-3C3C-4423-95ED-F0D3FDFF6F04}"/>
      </w:docPartPr>
      <w:docPartBody>
        <w:p w:rsidR="00711C5D" w:rsidRDefault="00C22CC6" w:rsidP="00C22CC6">
          <w:pPr>
            <w:pStyle w:val="7843152D736A4BA1ADD60D2212FAB53C"/>
          </w:pPr>
          <w:r w:rsidRPr="00BC2797">
            <w:rPr>
              <w:rStyle w:val="PlaceholderText"/>
            </w:rPr>
            <w:t>Choose an item.</w:t>
          </w:r>
        </w:p>
      </w:docPartBody>
    </w:docPart>
    <w:docPart>
      <w:docPartPr>
        <w:name w:val="80AD37FB8E184165B42757E049AB0906"/>
        <w:category>
          <w:name w:val="General"/>
          <w:gallery w:val="placeholder"/>
        </w:category>
        <w:types>
          <w:type w:val="bbPlcHdr"/>
        </w:types>
        <w:behaviors>
          <w:behavior w:val="content"/>
        </w:behaviors>
        <w:guid w:val="{D3DB4C31-A928-4680-AA66-1612CB244CF1}"/>
      </w:docPartPr>
      <w:docPartBody>
        <w:p w:rsidR="00711C5D" w:rsidRDefault="00C22CC6" w:rsidP="00C22CC6">
          <w:pPr>
            <w:pStyle w:val="80AD37FB8E184165B42757E049AB0906"/>
          </w:pPr>
          <w:r w:rsidRPr="00BC2797">
            <w:rPr>
              <w:rStyle w:val="PlaceholderText"/>
            </w:rPr>
            <w:t>Choose an item.</w:t>
          </w:r>
        </w:p>
      </w:docPartBody>
    </w:docPart>
    <w:docPart>
      <w:docPartPr>
        <w:name w:val="F2BC0B5D602645179B5CC119FFA050B7"/>
        <w:category>
          <w:name w:val="General"/>
          <w:gallery w:val="placeholder"/>
        </w:category>
        <w:types>
          <w:type w:val="bbPlcHdr"/>
        </w:types>
        <w:behaviors>
          <w:behavior w:val="content"/>
        </w:behaviors>
        <w:guid w:val="{45614B29-C05D-4093-B951-65176C1D8B8B}"/>
      </w:docPartPr>
      <w:docPartBody>
        <w:p w:rsidR="00711C5D" w:rsidRDefault="00C22CC6" w:rsidP="00C22CC6">
          <w:pPr>
            <w:pStyle w:val="F2BC0B5D602645179B5CC119FFA050B7"/>
          </w:pPr>
          <w:r w:rsidRPr="00BC2797">
            <w:rPr>
              <w:rStyle w:val="PlaceholderText"/>
            </w:rPr>
            <w:t>Choose an item.</w:t>
          </w:r>
        </w:p>
      </w:docPartBody>
    </w:docPart>
    <w:docPart>
      <w:docPartPr>
        <w:name w:val="A1399187FC904F848DFA328046EF8106"/>
        <w:category>
          <w:name w:val="General"/>
          <w:gallery w:val="placeholder"/>
        </w:category>
        <w:types>
          <w:type w:val="bbPlcHdr"/>
        </w:types>
        <w:behaviors>
          <w:behavior w:val="content"/>
        </w:behaviors>
        <w:guid w:val="{9AF1DD5A-601B-4322-9E80-5ECE268E479B}"/>
      </w:docPartPr>
      <w:docPartBody>
        <w:p w:rsidR="00B21B4A" w:rsidRDefault="00FE4627" w:rsidP="00FE4627">
          <w:pPr>
            <w:pStyle w:val="A1399187FC904F848DFA328046EF8106"/>
          </w:pPr>
          <w:r w:rsidRPr="003B43C3">
            <w:rPr>
              <w:rStyle w:val="PlaceholderText"/>
            </w:rPr>
            <w:t>Choose an item.</w:t>
          </w:r>
        </w:p>
      </w:docPartBody>
    </w:docPart>
    <w:docPart>
      <w:docPartPr>
        <w:name w:val="4B39514414754D63A98578AD80F38A64"/>
        <w:category>
          <w:name w:val="General"/>
          <w:gallery w:val="placeholder"/>
        </w:category>
        <w:types>
          <w:type w:val="bbPlcHdr"/>
        </w:types>
        <w:behaviors>
          <w:behavior w:val="content"/>
        </w:behaviors>
        <w:guid w:val="{553EF1C7-B75D-4E40-90E0-1D608DBC232E}"/>
      </w:docPartPr>
      <w:docPartBody>
        <w:p w:rsidR="00B21B4A" w:rsidRDefault="00FE4627" w:rsidP="00FE4627">
          <w:pPr>
            <w:pStyle w:val="4B39514414754D63A98578AD80F38A64"/>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8"/>
    <w:rsid w:val="000130BD"/>
    <w:rsid w:val="00067CBF"/>
    <w:rsid w:val="001A2981"/>
    <w:rsid w:val="00250EE0"/>
    <w:rsid w:val="003324E4"/>
    <w:rsid w:val="00364140"/>
    <w:rsid w:val="00467C73"/>
    <w:rsid w:val="005B3D5D"/>
    <w:rsid w:val="00711C5D"/>
    <w:rsid w:val="00766D4F"/>
    <w:rsid w:val="00A62243"/>
    <w:rsid w:val="00B21B4A"/>
    <w:rsid w:val="00B64681"/>
    <w:rsid w:val="00B81719"/>
    <w:rsid w:val="00BF2A9A"/>
    <w:rsid w:val="00C22CC6"/>
    <w:rsid w:val="00C56A7A"/>
    <w:rsid w:val="00C92E18"/>
    <w:rsid w:val="00CA5208"/>
    <w:rsid w:val="00DA54BF"/>
    <w:rsid w:val="00EC5012"/>
    <w:rsid w:val="00EE10C7"/>
    <w:rsid w:val="00FE4627"/>
    <w:rsid w:val="00FF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627"/>
    <w:rPr>
      <w:color w:val="808080"/>
    </w:rPr>
  </w:style>
  <w:style w:type="paragraph" w:customStyle="1" w:styleId="6A515CAB71A64AD2AE036757E98CB69B">
    <w:name w:val="6A515CAB71A64AD2AE036757E98CB69B"/>
    <w:rsid w:val="00A62243"/>
  </w:style>
  <w:style w:type="paragraph" w:customStyle="1" w:styleId="E266BE2BFC9B4C45A7C6685BEB30DE59">
    <w:name w:val="E266BE2BFC9B4C45A7C6685BEB30DE59"/>
    <w:rsid w:val="00FF3767"/>
  </w:style>
  <w:style w:type="paragraph" w:customStyle="1" w:styleId="9687163526D7494BAF6FCA33C4C7ACDB">
    <w:name w:val="9687163526D7494BAF6FCA33C4C7ACDB"/>
    <w:rsid w:val="00FF3767"/>
  </w:style>
  <w:style w:type="paragraph" w:customStyle="1" w:styleId="D11DD198C1FE4F3E83C5013A770107BD">
    <w:name w:val="D11DD198C1FE4F3E83C5013A770107BD"/>
    <w:rsid w:val="00FF3767"/>
  </w:style>
  <w:style w:type="paragraph" w:customStyle="1" w:styleId="272F880530FE4B1F8F10590262CE56D1">
    <w:name w:val="272F880530FE4B1F8F10590262CE56D1"/>
    <w:rsid w:val="00FF3767"/>
  </w:style>
  <w:style w:type="paragraph" w:customStyle="1" w:styleId="690FCAF31D5E4EC5A3EC2C116BDACDAD">
    <w:name w:val="690FCAF31D5E4EC5A3EC2C116BDACDAD"/>
    <w:rsid w:val="00FF3767"/>
  </w:style>
  <w:style w:type="paragraph" w:customStyle="1" w:styleId="AE6E1A3F9990445E8C4FDF2786EA51EB">
    <w:name w:val="AE6E1A3F9990445E8C4FDF2786EA51EB"/>
    <w:rsid w:val="00FF3767"/>
  </w:style>
  <w:style w:type="paragraph" w:customStyle="1" w:styleId="297ED2EDEAE94E94A4577A5C1099E513">
    <w:name w:val="297ED2EDEAE94E94A4577A5C1099E513"/>
    <w:rsid w:val="00FF3767"/>
  </w:style>
  <w:style w:type="paragraph" w:customStyle="1" w:styleId="7CB9A5E4B29741069EBAE1100D02F99D">
    <w:name w:val="7CB9A5E4B29741069EBAE1100D02F99D"/>
    <w:rsid w:val="00FF3767"/>
  </w:style>
  <w:style w:type="paragraph" w:customStyle="1" w:styleId="36FA1397DE6C4521A5B6A96C60EC057D">
    <w:name w:val="36FA1397DE6C4521A5B6A96C60EC057D"/>
    <w:rsid w:val="00FF3767"/>
  </w:style>
  <w:style w:type="paragraph" w:customStyle="1" w:styleId="C9EC3032C84543AF82C82C49EAA1B121">
    <w:name w:val="C9EC3032C84543AF82C82C49EAA1B121"/>
    <w:rsid w:val="00FF3767"/>
  </w:style>
  <w:style w:type="paragraph" w:customStyle="1" w:styleId="143B48A5DB2B4C14BE43EB1C9159A3D6">
    <w:name w:val="143B48A5DB2B4C14BE43EB1C9159A3D6"/>
    <w:rsid w:val="00C22CC6"/>
  </w:style>
  <w:style w:type="paragraph" w:customStyle="1" w:styleId="CFC7BBFED0244200B362206E8263689E">
    <w:name w:val="CFC7BBFED0244200B362206E8263689E"/>
    <w:rsid w:val="00C22CC6"/>
  </w:style>
  <w:style w:type="paragraph" w:customStyle="1" w:styleId="07F71866B75A4FD888831CD218A447DD">
    <w:name w:val="07F71866B75A4FD888831CD218A447DD"/>
    <w:rsid w:val="00C22CC6"/>
  </w:style>
  <w:style w:type="paragraph" w:customStyle="1" w:styleId="1491F56B77A4402B9CF995E8900728AF">
    <w:name w:val="1491F56B77A4402B9CF995E8900728AF"/>
    <w:rsid w:val="00C22CC6"/>
  </w:style>
  <w:style w:type="paragraph" w:customStyle="1" w:styleId="117059C0719D4DB3833316CF7026E9AB">
    <w:name w:val="117059C0719D4DB3833316CF7026E9AB"/>
    <w:rsid w:val="00C22CC6"/>
  </w:style>
  <w:style w:type="paragraph" w:customStyle="1" w:styleId="856FAAEEBD374328AE314E764A6C232B">
    <w:name w:val="856FAAEEBD374328AE314E764A6C232B"/>
    <w:rsid w:val="00C22CC6"/>
  </w:style>
  <w:style w:type="paragraph" w:customStyle="1" w:styleId="7843152D736A4BA1ADD60D2212FAB53C">
    <w:name w:val="7843152D736A4BA1ADD60D2212FAB53C"/>
    <w:rsid w:val="00C22CC6"/>
  </w:style>
  <w:style w:type="paragraph" w:customStyle="1" w:styleId="80AD37FB8E184165B42757E049AB0906">
    <w:name w:val="80AD37FB8E184165B42757E049AB0906"/>
    <w:rsid w:val="00C22CC6"/>
  </w:style>
  <w:style w:type="paragraph" w:customStyle="1" w:styleId="F2BC0B5D602645179B5CC119FFA050B7">
    <w:name w:val="F2BC0B5D602645179B5CC119FFA050B7"/>
    <w:rsid w:val="00C22CC6"/>
  </w:style>
  <w:style w:type="paragraph" w:customStyle="1" w:styleId="A1399187FC904F848DFA328046EF8106">
    <w:name w:val="A1399187FC904F848DFA328046EF8106"/>
    <w:rsid w:val="00FE4627"/>
  </w:style>
  <w:style w:type="paragraph" w:customStyle="1" w:styleId="4B39514414754D63A98578AD80F38A64">
    <w:name w:val="4B39514414754D63A98578AD80F38A64"/>
    <w:rsid w:val="00FE4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37CC87-48A9-40C8-A6F8-6375E2076D68}">
  <ds:schemaRefs>
    <ds:schemaRef ds:uri="http://schemas.microsoft.com/sharepoint/v3/contenttype/forms"/>
  </ds:schemaRefs>
</ds:datastoreItem>
</file>

<file path=customXml/itemProps2.xml><?xml version="1.0" encoding="utf-8"?>
<ds:datastoreItem xmlns:ds="http://schemas.openxmlformats.org/officeDocument/2006/customXml" ds:itemID="{DD14C467-4A1F-4311-8CC1-E99B110A65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B2DABE-BBD1-4C35-8A9A-BA931ACF7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5</cp:revision>
  <dcterms:created xsi:type="dcterms:W3CDTF">2020-05-26T18:22:00Z</dcterms:created>
  <dcterms:modified xsi:type="dcterms:W3CDTF">2020-06-14T20:08:00Z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