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1222E0">
        <w:trPr>
          <w:trHeight w:hRule="exact" w:val="590"/>
        </w:trPr>
        <w:tc>
          <w:tcPr>
            <w:tcW w:w="9490" w:type="dxa"/>
            <w:vAlign w:val="center"/>
          </w:tcPr>
          <w:p w14:paraId="5725AE8C" w14:textId="77777777" w:rsidR="005A24B3" w:rsidRPr="000754FA" w:rsidRDefault="005A24B3" w:rsidP="001222E0">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0BF546B4"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Methodology</w:t>
      </w:r>
    </w:p>
    <w:p w14:paraId="5BA61A6A" w14:textId="45CC2977" w:rsidR="005A24B3" w:rsidRPr="00087E8D" w:rsidRDefault="005A24B3" w:rsidP="005A24B3">
      <w:pPr>
        <w:rPr>
          <w:rFonts w:cs="Arial"/>
          <w:szCs w:val="22"/>
        </w:rPr>
      </w:pPr>
      <w:r w:rsidRPr="00087E8D">
        <w:rPr>
          <w:rFonts w:cs="Arial"/>
          <w:szCs w:val="22"/>
        </w:rPr>
        <w:t xml:space="preserve">The market valuation of the subject property is summarized in this section via the </w:t>
      </w:r>
      <w:r w:rsidRPr="00087E8D">
        <w:rPr>
          <w:rFonts w:cs="Arial"/>
          <w:b/>
          <w:szCs w:val="22"/>
        </w:rPr>
        <w:t>Direct Capitalization Method</w:t>
      </w:r>
      <w:r w:rsidRPr="00087E8D">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0E504919"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Potential Gross Rental Income</w:t>
      </w:r>
    </w:p>
    <w:p w14:paraId="39110FD6" w14:textId="01A424FC" w:rsidR="005A24B3" w:rsidRDefault="005A24B3" w:rsidP="005A24B3">
      <w:pPr>
        <w:rPr>
          <w:rFonts w:cs="Arial"/>
          <w:szCs w:val="22"/>
        </w:rPr>
      </w:pPr>
      <w:r w:rsidRPr="00087E8D">
        <w:rPr>
          <w:rFonts w:cs="Arial"/>
          <w:szCs w:val="22"/>
        </w:rPr>
        <w:t xml:space="preserve">The first step in the Income Approach is to estimate the subject's potential gross income, which reflects its market rent if currently leased in the marketplace. The analysis is conducted on the basis </w:t>
      </w:r>
      <w:r w:rsidR="005C03F7">
        <w:rPr>
          <w:rFonts w:cs="Arial"/>
          <w:szCs w:val="22"/>
        </w:rPr>
        <w:t>an annual</w:t>
      </w:r>
      <w:r w:rsidR="005C03F7" w:rsidRPr="00087E8D">
        <w:rPr>
          <w:rFonts w:cs="Arial"/>
          <w:szCs w:val="22"/>
        </w:rPr>
        <w:t xml:space="preserve"> dollar</w:t>
      </w:r>
      <w:r w:rsidRPr="00087E8D">
        <w:rPr>
          <w:rFonts w:cs="Arial"/>
          <w:szCs w:val="22"/>
        </w:rPr>
        <w:t xml:space="preserve"> per square foot rental, which is then applied to the </w:t>
      </w:r>
      <w:r w:rsidR="00F829F9">
        <w:rPr>
          <w:rFonts w:cs="Arial"/>
          <w:szCs w:val="22"/>
        </w:rPr>
        <w:t>net rentable</w:t>
      </w:r>
      <w:r w:rsidR="00F829F9" w:rsidRPr="00087E8D">
        <w:rPr>
          <w:rFonts w:cs="Arial"/>
          <w:szCs w:val="22"/>
        </w:rPr>
        <w:t xml:space="preserve"> area (</w:t>
      </w:r>
      <w:r w:rsidR="00F829F9">
        <w:rPr>
          <w:rFonts w:cs="Arial"/>
          <w:szCs w:val="22"/>
        </w:rPr>
        <w:t>NRA</w:t>
      </w:r>
      <w:r w:rsidR="00F829F9" w:rsidRPr="00087E8D">
        <w:rPr>
          <w:rFonts w:cs="Arial"/>
          <w:szCs w:val="22"/>
        </w:rPr>
        <w:t xml:space="preserve">) </w:t>
      </w:r>
      <w:r w:rsidRPr="00087E8D">
        <w:rPr>
          <w:rFonts w:cs="Arial"/>
          <w:szCs w:val="22"/>
        </w:rPr>
        <w:t xml:space="preserve">of the property. </w:t>
      </w:r>
    </w:p>
    <w:p w14:paraId="112B7A18" w14:textId="77777777" w:rsidR="00733C95" w:rsidRPr="00087E8D" w:rsidRDefault="00733C95" w:rsidP="005A24B3">
      <w:pPr>
        <w:rPr>
          <w:rFonts w:cs="Arial"/>
          <w:szCs w:val="22"/>
        </w:rPr>
      </w:pPr>
    </w:p>
    <w:p w14:paraId="409DD591" w14:textId="77777777" w:rsidR="00733C95" w:rsidRDefault="00733C95" w:rsidP="00733C95">
      <w:r w:rsidRPr="00D23158">
        <w:t xml:space="preserve">A review of current subject market trends indicates that typical </w:t>
      </w:r>
      <w:r w:rsidRPr="00733C95">
        <w:rPr>
          <w:iCs/>
        </w:rPr>
        <w:t>office</w:t>
      </w:r>
      <w:r w:rsidRPr="00D23158">
        <w:t xml:space="preserve"> tenant leases in </w:t>
      </w:r>
      <w:r>
        <w:t xml:space="preserve">multi-tenant  buildings </w:t>
      </w:r>
      <w:r w:rsidRPr="00D23158">
        <w:t xml:space="preserve">the subject market area are written on a </w:t>
      </w:r>
      <w:r w:rsidRPr="00D23158">
        <w:rPr>
          <w:b/>
        </w:rPr>
        <w:t xml:space="preserve">gross </w:t>
      </w:r>
      <w:r w:rsidRPr="00D23158">
        <w:t>rental basis (commonly referred to in the marketplace as “full service” rent). Full service rents are inclusive of both net base rent and a</w:t>
      </w:r>
      <w:r>
        <w:t xml:space="preserve">ll building operating expenses. </w:t>
      </w:r>
      <w:r w:rsidRPr="00D23158">
        <w:t>Hence, we have anticipated that all future rent for the subject office space would be payable on this basis</w:t>
      </w:r>
      <w:r>
        <w:t>.</w:t>
      </w:r>
    </w:p>
    <w:p w14:paraId="205C4B17" w14:textId="77777777" w:rsidR="005A24B3" w:rsidRPr="00B323A6"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Comparable Rent Analysis</w:t>
      </w:r>
    </w:p>
    <w:p w14:paraId="3D171A67" w14:textId="2EB71AE0" w:rsidR="000D7CF2" w:rsidRDefault="000D7CF2" w:rsidP="000D7CF2">
      <w:pPr>
        <w:widowControl w:val="0"/>
        <w:rPr>
          <w:rFonts w:cs="Arial"/>
          <w:szCs w:val="22"/>
        </w:rPr>
      </w:pPr>
      <w:r w:rsidRPr="00B323A6">
        <w:rPr>
          <w:rFonts w:cs="Arial"/>
          <w:szCs w:val="22"/>
        </w:rPr>
        <w:t>In order to estimate the current market rent for the subject</w:t>
      </w:r>
      <w:r w:rsidR="00733C95">
        <w:rPr>
          <w:rFonts w:cs="Arial"/>
          <w:szCs w:val="22"/>
        </w:rPr>
        <w:t xml:space="preserve"> office </w:t>
      </w:r>
      <w:r w:rsidRPr="00B323A6">
        <w:rPr>
          <w:rFonts w:cs="Arial"/>
          <w:szCs w:val="22"/>
        </w:rPr>
        <w:t xml:space="preserve">property, we conducted a survey of reasonably comparable tenant leases </w:t>
      </w:r>
      <w:r w:rsidRPr="00BA4BC4">
        <w:rPr>
          <w:rFonts w:cs="Arial"/>
          <w:szCs w:val="22"/>
        </w:rPr>
        <w:t xml:space="preserve">of </w:t>
      </w:r>
      <w:r w:rsidR="00733C95">
        <w:rPr>
          <w:rFonts w:cs="Arial"/>
          <w:szCs w:val="22"/>
        </w:rPr>
        <w:t xml:space="preserve">office </w:t>
      </w:r>
      <w:r w:rsidRPr="00BA4BC4">
        <w:rPr>
          <w:rFonts w:cs="Arial"/>
          <w:szCs w:val="22"/>
        </w:rPr>
        <w:t>buildings</w:t>
      </w:r>
      <w:r w:rsidRPr="00B323A6">
        <w:rPr>
          <w:rFonts w:cs="Arial"/>
          <w:szCs w:val="22"/>
        </w:rPr>
        <w:t xml:space="preserve"> located in </w:t>
      </w:r>
      <w:r w:rsidRPr="00600D1B">
        <w:rPr>
          <w:rFonts w:cs="Arial"/>
          <w:szCs w:val="22"/>
          <w:highlight w:val="yellow"/>
        </w:rPr>
        <w:t xml:space="preserve">the </w:t>
      </w:r>
      <w:sdt>
        <w:sdtPr>
          <w:rPr>
            <w:rFonts w:cs="Arial"/>
            <w:szCs w:val="22"/>
            <w:highlight w:val="green"/>
          </w:rPr>
          <w:alias w:val="Location"/>
          <w:tag w:val="Location"/>
          <w:id w:val="-668336917"/>
          <w:placeholder>
            <w:docPart w:val="B1B932A1DA1A448CABD7D10D696D0F9D"/>
          </w:placeholder>
          <w:dropDownList>
            <w:listItem w:value="Choose an item."/>
            <w:listItem w:displayText="local" w:value="local"/>
            <w:listItem w:displayText="immediate to expanded" w:value="immediate to expanded"/>
            <w:listItem w:displayText="competitive" w:value="competitive"/>
          </w:dropDownList>
        </w:sdtPr>
        <w:sdtEndPr/>
        <w:sdtContent>
          <w:r w:rsidR="0049779D">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 The result of this survey is summarized on the preceding pages, along with a location map and photographs of the buildings relating to each lease comparable.</w:t>
      </w:r>
    </w:p>
    <w:p w14:paraId="5B7CD614"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B323A6">
        <w:rPr>
          <w:rFonts w:eastAsiaTheme="majorEastAsia" w:cs="Arial"/>
          <w:color w:val="1E4959"/>
          <w:sz w:val="24"/>
          <w:szCs w:val="22"/>
          <w:u w:val="single"/>
        </w:rPr>
        <w:t>Rental Adjustments</w:t>
      </w:r>
    </w:p>
    <w:p w14:paraId="5F2D9741" w14:textId="77777777" w:rsidR="005A24B3" w:rsidRDefault="005A24B3" w:rsidP="005A24B3">
      <w:pPr>
        <w:rPr>
          <w:rFonts w:cs="Arial"/>
          <w:szCs w:val="22"/>
        </w:rPr>
      </w:pPr>
      <w:r w:rsidRPr="00AA44C4">
        <w:rPr>
          <w:rFonts w:cs="Arial"/>
          <w:szCs w:val="22"/>
        </w:rPr>
        <w:t>Depending on market conditions, free rent,</w:t>
      </w:r>
      <w:r>
        <w:rPr>
          <w:rFonts w:cs="Arial"/>
          <w:szCs w:val="22"/>
        </w:rPr>
        <w:t xml:space="preserve"> </w:t>
      </w:r>
      <w:r w:rsidRPr="00AA44C4">
        <w:rPr>
          <w:rFonts w:cs="Arial"/>
          <w:szCs w:val="22"/>
        </w:rPr>
        <w:t xml:space="preserve">or other incentives are used to attract tenants. When applicable, the comparable rents are adjusted to reflect current market terms with </w:t>
      </w:r>
      <w:r w:rsidRPr="00BA6391">
        <w:rPr>
          <w:rFonts w:cs="Arial"/>
          <w:szCs w:val="22"/>
        </w:rPr>
        <w:t xml:space="preserve">an effective rent to the property owner. </w:t>
      </w:r>
      <w:r>
        <w:rPr>
          <w:rFonts w:cs="Arial"/>
          <w:szCs w:val="22"/>
        </w:rPr>
        <w:t xml:space="preserve"> </w:t>
      </w:r>
    </w:p>
    <w:p w14:paraId="73107838" w14:textId="77777777" w:rsidR="005A24B3" w:rsidRPr="000754FA" w:rsidRDefault="005A24B3" w:rsidP="005A24B3">
      <w:pPr>
        <w:rPr>
          <w:rFonts w:cs="Arial"/>
          <w:szCs w:val="22"/>
        </w:rPr>
      </w:pPr>
    </w:p>
    <w:p w14:paraId="59E0F3DA" w14:textId="77777777" w:rsidR="005A24B3" w:rsidRPr="000754FA" w:rsidRDefault="005A24B3" w:rsidP="005A24B3">
      <w:pPr>
        <w:rPr>
          <w:rFonts w:cs="Arial"/>
          <w:szCs w:val="22"/>
        </w:rPr>
        <w:sectPr w:rsidR="005A24B3" w:rsidRPr="000754FA" w:rsidSect="001222E0">
          <w:headerReference w:type="default" r:id="rId9"/>
          <w:footerReference w:type="default" r:id="rId10"/>
          <w:pgSz w:w="12240" w:h="15840"/>
          <w:pgMar w:top="1440" w:right="1440" w:bottom="1440" w:left="1440" w:header="720" w:footer="720" w:gutter="0"/>
          <w:cols w:space="720"/>
          <w:noEndnote/>
          <w:docGrid w:linePitch="286"/>
        </w:sectPr>
      </w:pPr>
      <w:bookmarkStart w:id="3" w:name="_Hlk41300752"/>
    </w:p>
    <w:p w14:paraId="25F7E79C" w14:textId="190D00B5" w:rsidR="005A24B3" w:rsidRDefault="0019553E" w:rsidP="005A24B3">
      <w:pPr>
        <w:ind w:left="-720"/>
        <w:jc w:val="center"/>
        <w:rPr>
          <w:noProof/>
        </w:rPr>
        <w:sectPr w:rsidR="005A24B3" w:rsidSect="001222E0">
          <w:pgSz w:w="12240" w:h="15840"/>
          <w:pgMar w:top="1440" w:right="1440" w:bottom="720" w:left="1440" w:header="720" w:footer="720" w:gutter="0"/>
          <w:cols w:space="720"/>
          <w:vAlign w:val="center"/>
          <w:docGrid w:linePitch="360"/>
        </w:sectPr>
      </w:pPr>
      <w:r w:rsidRPr="009B4ECE">
        <w:rPr>
          <w:noProof/>
        </w:rPr>
        <w:lastRenderedPageBreak/>
        <w:drawing>
          <wp:inline distT="0" distB="0" distL="0" distR="0" wp14:anchorId="366CEF35" wp14:editId="49192A27">
            <wp:extent cx="6773938" cy="7459980"/>
            <wp:effectExtent l="0" t="0" r="8255"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6780881" cy="7467627"/>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p w14:paraId="327D175A" w14:textId="77777777" w:rsidR="005A24B3" w:rsidRDefault="005A24B3" w:rsidP="005A24B3">
      <w:pPr>
        <w:ind w:left="-720"/>
        <w:jc w:val="center"/>
        <w:sectPr w:rsidR="005A24B3" w:rsidSect="001222E0">
          <w:pgSz w:w="12240" w:h="15840"/>
          <w:pgMar w:top="1440" w:right="1440" w:bottom="720" w:left="1440" w:header="720" w:footer="720" w:gutter="0"/>
          <w:cols w:space="720"/>
          <w:vAlign w:val="center"/>
          <w:docGrid w:linePitch="360"/>
        </w:sectPr>
      </w:pPr>
      <w:r w:rsidRPr="00117877">
        <w:lastRenderedPageBreak/>
        <w:t xml:space="preserve"> </w:t>
      </w:r>
      <w:r w:rsidR="00B46DD4" w:rsidRPr="00B46DD4">
        <w:rPr>
          <w:noProof/>
        </w:rPr>
        <w:drawing>
          <wp:inline distT="0" distB="0" distL="0" distR="0" wp14:anchorId="6C90E535" wp14:editId="0DB60730">
            <wp:extent cx="6834628" cy="52785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9991" cy="5282724"/>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1222E0">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1222E0">
            <w:pPr>
              <w:tabs>
                <w:tab w:val="left" w:pos="3960"/>
              </w:tabs>
              <w:spacing w:before="120" w:after="60" w:line="20" w:lineRule="atLeast"/>
              <w:jc w:val="center"/>
              <w:rPr>
                <w:rFonts w:cs="Arial"/>
                <w:b/>
                <w:smallCaps/>
                <w:color w:val="FFFFFF" w:themeColor="background1"/>
                <w:sz w:val="28"/>
                <w:szCs w:val="22"/>
              </w:rPr>
            </w:pPr>
            <w:r w:rsidRPr="003F3BC2">
              <w:rPr>
                <w:rFonts w:cs="Arial"/>
                <w:b/>
                <w:smallCaps/>
                <w:color w:val="FFFFFF" w:themeColor="background1"/>
                <w:sz w:val="28"/>
                <w:szCs w:val="22"/>
                <w:highlight w:val="green"/>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1222E0">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1222E0">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1222E0">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1222E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1222E0">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A02EB5">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3BBC7F76" w14:textId="77777777" w:rsidR="002A374A" w:rsidRDefault="002A374A" w:rsidP="005A24B3">
      <w:pPr>
        <w:rPr>
          <w:rFonts w:ascii="Calibri" w:hAnsi="Calibri" w:cs="Segoe UI"/>
        </w:rPr>
        <w:sectPr w:rsidR="002A374A" w:rsidSect="001222E0">
          <w:pgSz w:w="12240" w:h="15840"/>
          <w:pgMar w:top="1080" w:right="1440" w:bottom="1080" w:left="1440" w:header="720" w:footer="720" w:gutter="0"/>
          <w:paperSrc w:first="15" w:other="15"/>
          <w:cols w:space="720"/>
          <w:noEndnote/>
          <w:docGrid w:linePitch="360"/>
        </w:sectPr>
      </w:pPr>
    </w:p>
    <w:bookmarkEnd w:id="3"/>
    <w:p w14:paraId="1B904D18" w14:textId="0B8F9A50" w:rsidR="005A24B3" w:rsidRDefault="002A374A" w:rsidP="002A374A">
      <w:pPr>
        <w:ind w:left="270"/>
        <w:rPr>
          <w:rFonts w:ascii="Calibri" w:hAnsi="Calibri" w:cs="Segoe UI"/>
        </w:rPr>
        <w:sectPr w:rsidR="005A24B3" w:rsidSect="001222E0">
          <w:pgSz w:w="12240" w:h="15840"/>
          <w:pgMar w:top="1080" w:right="1440" w:bottom="1080" w:left="1440" w:header="720" w:footer="720" w:gutter="0"/>
          <w:paperSrc w:first="15" w:other="15"/>
          <w:cols w:space="720"/>
          <w:noEndnote/>
          <w:docGrid w:linePitch="360"/>
        </w:sectPr>
      </w:pPr>
      <w:r w:rsidRPr="002A374A">
        <w:rPr>
          <w:noProof/>
        </w:rPr>
        <w:lastRenderedPageBreak/>
        <w:drawing>
          <wp:inline distT="0" distB="0" distL="0" distR="0" wp14:anchorId="1C05F1F9" wp14:editId="5D7D9A8F">
            <wp:extent cx="5562550" cy="8092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6721" cy="8098509"/>
                    </a:xfrm>
                    <a:prstGeom prst="rect">
                      <a:avLst/>
                    </a:prstGeom>
                    <a:noFill/>
                    <a:ln>
                      <a:noFill/>
                    </a:ln>
                  </pic:spPr>
                </pic:pic>
              </a:graphicData>
            </a:graphic>
          </wp:inline>
        </w:drawing>
      </w:r>
    </w:p>
    <w:p w14:paraId="09EA56F5" w14:textId="77777777" w:rsidR="005A24B3" w:rsidRPr="000754FA" w:rsidRDefault="005A24B3" w:rsidP="005A24B3">
      <w:pPr>
        <w:pStyle w:val="Heading20"/>
        <w:rPr>
          <w:rFonts w:asciiTheme="minorHAnsi" w:hAnsiTheme="minorHAnsi" w:cs="Arial"/>
          <w:b w:val="0"/>
          <w:color w:val="1E4959"/>
          <w:spacing w:val="0"/>
          <w:kern w:val="20"/>
          <w:sz w:val="28"/>
          <w:szCs w:val="22"/>
        </w:rPr>
      </w:pPr>
      <w:bookmarkStart w:id="4" w:name="_Hlk41300834"/>
      <w:r w:rsidRPr="000754FA">
        <w:rPr>
          <w:rFonts w:asciiTheme="minorHAnsi" w:hAnsiTheme="minorHAnsi" w:cs="Arial"/>
          <w:b w:val="0"/>
          <w:color w:val="1E4959"/>
          <w:spacing w:val="0"/>
          <w:kern w:val="20"/>
          <w:sz w:val="28"/>
          <w:szCs w:val="22"/>
        </w:rPr>
        <w:lastRenderedPageBreak/>
        <w:t>Comparable Rent Analysis</w:t>
      </w:r>
    </w:p>
    <w:p w14:paraId="6D0FDDED" w14:textId="2458C16E" w:rsidR="009B7DEE" w:rsidRPr="00756BD2" w:rsidRDefault="009B7DEE" w:rsidP="009B7DEE">
      <w:pPr>
        <w:rPr>
          <w:rFonts w:cs="Arial"/>
          <w:szCs w:val="22"/>
        </w:rPr>
      </w:pPr>
      <w:r w:rsidRPr="00A46E01">
        <w:rPr>
          <w:rFonts w:cs="Arial"/>
          <w:szCs w:val="22"/>
        </w:rPr>
        <w:t>From our rental survey we selected</w:t>
      </w:r>
      <w:r w:rsidRPr="00A46E01">
        <w:rPr>
          <w:rFonts w:cs="Arial"/>
          <w:color w:val="0000FF"/>
          <w:szCs w:val="22"/>
        </w:rPr>
        <w:t xml:space="preserve"> </w:t>
      </w:r>
      <w:r w:rsidRPr="00A46E01">
        <w:rPr>
          <w:rFonts w:cs="Arial"/>
          <w:szCs w:val="22"/>
        </w:rPr>
        <w:t xml:space="preserve">leases of </w:t>
      </w:r>
      <w:sdt>
        <w:sdtPr>
          <w:rPr>
            <w:rFonts w:cs="Arial"/>
            <w:szCs w:val="22"/>
            <w:highlight w:val="green"/>
          </w:rPr>
          <w:alias w:val="Office or Medical-Dental"/>
          <w:tag w:val="Office or Medical-Dental"/>
          <w:id w:val="362564282"/>
          <w:placeholder>
            <w:docPart w:val="4047ED7E4B244A8A81EFB8D83765E435"/>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43A5F" w:rsidRPr="00630B02">
            <w:rPr>
              <w:rFonts w:cs="Arial"/>
              <w:szCs w:val="22"/>
              <w:highlight w:val="green"/>
            </w:rPr>
            <w:t>office</w:t>
          </w:r>
        </w:sdtContent>
      </w:sdt>
      <w:r w:rsidRPr="00A46E01">
        <w:rPr>
          <w:rFonts w:cs="Arial"/>
          <w:szCs w:val="22"/>
        </w:rPr>
        <w:t xml:space="preserve"> </w:t>
      </w:r>
      <w:r w:rsidRPr="00967B66">
        <w:rPr>
          <w:rFonts w:cs="Arial"/>
          <w:szCs w:val="22"/>
        </w:rPr>
        <w:t xml:space="preserve">space most similar to the subject property. Overall, the comparables provide a reasonable basis for concluding a market rent for the subject property, and indicates </w:t>
      </w:r>
      <w:r>
        <w:rPr>
          <w:rFonts w:cs="Arial"/>
          <w:szCs w:val="22"/>
        </w:rPr>
        <w:t xml:space="preserve">adjusted </w:t>
      </w:r>
      <w:r w:rsidRPr="00967B66">
        <w:rPr>
          <w:rFonts w:cs="Arial"/>
          <w:szCs w:val="22"/>
        </w:rPr>
        <w:t xml:space="preserve">annual </w:t>
      </w:r>
      <w:r w:rsidR="00733C95">
        <w:rPr>
          <w:rFonts w:cs="Arial"/>
          <w:szCs w:val="22"/>
        </w:rPr>
        <w:t>full service</w:t>
      </w:r>
      <w:r w:rsidRPr="00967B66">
        <w:rPr>
          <w:rFonts w:cs="Arial"/>
          <w:szCs w:val="22"/>
        </w:rPr>
        <w:t xml:space="preserve"> leases ranging from </w:t>
      </w:r>
      <w:r w:rsidRPr="009B7DEE">
        <w:rPr>
          <w:rFonts w:cs="Arial"/>
          <w:szCs w:val="22"/>
          <w:highlight w:val="yellow"/>
        </w:rPr>
        <w:t>$17.21 to $27.55</w:t>
      </w:r>
      <w:r w:rsidRPr="00967B66">
        <w:rPr>
          <w:rFonts w:cs="Arial"/>
          <w:szCs w:val="22"/>
        </w:rPr>
        <w:t xml:space="preserve"> per SF NRA</w:t>
      </w:r>
      <w:r>
        <w:rPr>
          <w:rFonts w:cs="Arial"/>
          <w:szCs w:val="22"/>
        </w:rPr>
        <w:t>. Overall</w:t>
      </w:r>
      <w:r w:rsidRPr="00967B66">
        <w:rPr>
          <w:rFonts w:cs="Arial"/>
          <w:szCs w:val="22"/>
        </w:rPr>
        <w:t xml:space="preserve">, </w:t>
      </w:r>
      <w:r w:rsidRPr="00C61AA8">
        <w:rPr>
          <w:rFonts w:cs="Arial"/>
          <w:szCs w:val="22"/>
          <w:highlight w:val="yellow"/>
        </w:rPr>
        <w:t xml:space="preserve">the market has remained stable to improving for </w:t>
      </w:r>
      <w:sdt>
        <w:sdtPr>
          <w:rPr>
            <w:rFonts w:cs="Arial"/>
            <w:szCs w:val="22"/>
            <w:highlight w:val="green"/>
          </w:rPr>
          <w:alias w:val="Office or Medical-Dental"/>
          <w:tag w:val="Office or Medical-Dental"/>
          <w:id w:val="-564489150"/>
          <w:placeholder>
            <w:docPart w:val="2E53C3FF4E664E04B53484C8C17FE75F"/>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43A5F" w:rsidRPr="00630B02">
            <w:rPr>
              <w:rFonts w:cs="Arial"/>
              <w:szCs w:val="22"/>
              <w:highlight w:val="green"/>
            </w:rPr>
            <w:t>office</w:t>
          </w:r>
        </w:sdtContent>
      </w:sdt>
      <w:r w:rsidRPr="00C61AA8">
        <w:rPr>
          <w:rFonts w:cs="Arial"/>
          <w:szCs w:val="22"/>
          <w:highlight w:val="yellow"/>
        </w:rPr>
        <w:t xml:space="preserve"> properties</w:t>
      </w:r>
      <w:r w:rsidRPr="00756BD2">
        <w:rPr>
          <w:rFonts w:cs="Arial"/>
          <w:szCs w:val="22"/>
        </w:rPr>
        <w:t>, and therefore, the</w:t>
      </w:r>
      <w:r>
        <w:rPr>
          <w:rFonts w:cs="Arial"/>
          <w:szCs w:val="22"/>
        </w:rPr>
        <w:t xml:space="preserve"> selected</w:t>
      </w:r>
      <w:r w:rsidRPr="00756BD2">
        <w:rPr>
          <w:rFonts w:cs="Arial"/>
          <w:szCs w:val="22"/>
        </w:rPr>
        <w:t xml:space="preserve"> rent comparables were considered to be reasonable for use in comparison to the subject.</w:t>
      </w:r>
    </w:p>
    <w:p w14:paraId="0C9B0CB7" w14:textId="77777777" w:rsidR="005A24B3" w:rsidRDefault="005A24B3" w:rsidP="005A24B3">
      <w:pPr>
        <w:widowControl w:val="0"/>
        <w:rPr>
          <w:rFonts w:cs="Arial"/>
          <w:szCs w:val="22"/>
        </w:rPr>
      </w:pPr>
    </w:p>
    <w:p w14:paraId="3343810D" w14:textId="77777777" w:rsidR="00B46DD4" w:rsidRDefault="00B46DD4" w:rsidP="00B46DD4">
      <w:pPr>
        <w:rPr>
          <w:rFonts w:ascii="Calibri" w:hAnsi="Calibri" w:cs="Segoe UI"/>
        </w:rPr>
      </w:pPr>
      <w:r w:rsidRPr="000D7CF2">
        <w:rPr>
          <w:rFonts w:ascii="Calibri" w:hAnsi="Calibri" w:cs="Segoe UI"/>
          <w:highlight w:val="green"/>
        </w:rPr>
        <w:t>Merge &amp; Insert Rent Comp Data Analysis Output</w:t>
      </w:r>
    </w:p>
    <w:p w14:paraId="3FBAAEE2" w14:textId="77777777" w:rsidR="00B46DD4" w:rsidRDefault="00B46DD4" w:rsidP="005A24B3">
      <w:pPr>
        <w:widowControl w:val="0"/>
        <w:rPr>
          <w:rFonts w:cs="Arial"/>
          <w:szCs w:val="22"/>
        </w:rPr>
      </w:pPr>
    </w:p>
    <w:p w14:paraId="77D3E1CD" w14:textId="77777777" w:rsidR="00B46DD4" w:rsidRDefault="00B46DD4" w:rsidP="005A24B3">
      <w:pPr>
        <w:widowControl w:val="0"/>
        <w:rPr>
          <w:rFonts w:cs="Arial"/>
          <w:szCs w:val="22"/>
        </w:rPr>
      </w:pPr>
    </w:p>
    <w:p w14:paraId="168A5D2D" w14:textId="77777777" w:rsidR="005A24B3" w:rsidRPr="007D705F" w:rsidRDefault="005A24B3" w:rsidP="005A24B3">
      <w:pPr>
        <w:keepNext/>
        <w:keepLines/>
        <w:spacing w:before="260"/>
        <w:outlineLvl w:val="1"/>
        <w:rPr>
          <w:rFonts w:cs="Arial"/>
          <w:iCs/>
          <w:color w:val="1E4959"/>
          <w:sz w:val="28"/>
          <w:szCs w:val="22"/>
        </w:rPr>
      </w:pPr>
      <w:r w:rsidRPr="007D705F">
        <w:rPr>
          <w:rFonts w:cs="Arial"/>
          <w:iCs/>
          <w:color w:val="1E4959"/>
          <w:sz w:val="28"/>
          <w:szCs w:val="22"/>
        </w:rPr>
        <w:t>Additional Quantitative Analysis</w:t>
      </w:r>
    </w:p>
    <w:p w14:paraId="1AA26078" w14:textId="5C97BD7D" w:rsidR="009B7DEE" w:rsidRDefault="009B7DEE" w:rsidP="009B7DEE">
      <w:pPr>
        <w:pStyle w:val="Footer"/>
        <w:rPr>
          <w:rFonts w:cs="Arial"/>
          <w:kern w:val="20"/>
          <w:szCs w:val="22"/>
        </w:rPr>
      </w:pPr>
      <w:r w:rsidRPr="00D15756">
        <w:rPr>
          <w:rFonts w:cs="Arial"/>
          <w:kern w:val="20"/>
          <w:szCs w:val="22"/>
        </w:rPr>
        <w:t xml:space="preserve">As supplemental support, an adjustment grid for the comparable rents is provided as additional analysis following the </w:t>
      </w:r>
      <w:r w:rsidRPr="00496B38">
        <w:rPr>
          <w:rFonts w:cs="Arial"/>
          <w:kern w:val="20"/>
          <w:szCs w:val="22"/>
        </w:rPr>
        <w:t xml:space="preserve">summary chart. The comparables indicate an adjusted rents per square foot </w:t>
      </w:r>
      <w:r w:rsidRPr="00AD49AD">
        <w:rPr>
          <w:rFonts w:cs="Arial"/>
          <w:kern w:val="20"/>
          <w:szCs w:val="22"/>
        </w:rPr>
        <w:t xml:space="preserve">between </w:t>
      </w:r>
      <w:r w:rsidRPr="009B7DEE">
        <w:rPr>
          <w:rFonts w:cs="Arial"/>
          <w:kern w:val="20"/>
          <w:szCs w:val="22"/>
          <w:highlight w:val="yellow"/>
        </w:rPr>
        <w:t>$20.53 and $23.47</w:t>
      </w:r>
      <w:r w:rsidRPr="00AD49AD">
        <w:rPr>
          <w:rFonts w:cs="Arial"/>
          <w:kern w:val="20"/>
          <w:szCs w:val="22"/>
        </w:rPr>
        <w:t xml:space="preserve"> per SF NRA with an average rent of </w:t>
      </w:r>
      <w:r w:rsidRPr="009B7DEE">
        <w:rPr>
          <w:rFonts w:cs="Arial"/>
          <w:kern w:val="20"/>
          <w:szCs w:val="22"/>
          <w:highlight w:val="yellow"/>
        </w:rPr>
        <w:t>$22.01</w:t>
      </w:r>
      <w:r w:rsidRPr="00AD49AD">
        <w:rPr>
          <w:rFonts w:cs="Arial"/>
          <w:kern w:val="20"/>
          <w:szCs w:val="22"/>
        </w:rPr>
        <w:t xml:space="preserve"> per SF and median rent of </w:t>
      </w:r>
      <w:r w:rsidRPr="009B7DEE">
        <w:rPr>
          <w:rFonts w:cs="Arial"/>
          <w:kern w:val="20"/>
          <w:szCs w:val="22"/>
          <w:highlight w:val="yellow"/>
        </w:rPr>
        <w:t>$21.93</w:t>
      </w:r>
      <w:r w:rsidRPr="0026461B">
        <w:rPr>
          <w:rFonts w:cs="Arial"/>
          <w:kern w:val="20"/>
          <w:szCs w:val="22"/>
        </w:rPr>
        <w:t xml:space="preserve"> </w:t>
      </w:r>
      <w:r w:rsidRPr="00AD49AD">
        <w:rPr>
          <w:rFonts w:cs="Arial"/>
          <w:kern w:val="20"/>
          <w:szCs w:val="22"/>
        </w:rPr>
        <w:t>per SF.</w:t>
      </w:r>
      <w:r w:rsidRPr="00496B38">
        <w:rPr>
          <w:rFonts w:cs="Arial"/>
          <w:kern w:val="20"/>
          <w:szCs w:val="22"/>
        </w:rPr>
        <w:t xml:space="preserve"> Note that a market conditions adjustment of </w:t>
      </w:r>
      <w:r w:rsidRPr="00DE7A95">
        <w:rPr>
          <w:rFonts w:cs="Arial"/>
          <w:kern w:val="20"/>
          <w:szCs w:val="22"/>
          <w:highlight w:val="yellow"/>
        </w:rPr>
        <w:t>3.0%</w:t>
      </w:r>
      <w:r w:rsidRPr="00496B38">
        <w:rPr>
          <w:rFonts w:cs="Arial"/>
          <w:kern w:val="20"/>
          <w:szCs w:val="22"/>
        </w:rPr>
        <w:t xml:space="preserve"> per year was applied in this </w:t>
      </w:r>
      <w:sdt>
        <w:sdtPr>
          <w:rPr>
            <w:rFonts w:cs="Arial"/>
            <w:kern w:val="20"/>
            <w:szCs w:val="22"/>
            <w:highlight w:val="green"/>
          </w:rPr>
          <w:alias w:val="Inflation"/>
          <w:tag w:val="Inflation"/>
          <w:id w:val="472414936"/>
          <w:placeholder>
            <w:docPart w:val="EC41D492B0BB42748A3DE5478DAE615F"/>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Content>
          <w:r w:rsidR="00DE7A95">
            <w:rPr>
              <w:rFonts w:cs="Arial"/>
              <w:kern w:val="20"/>
              <w:szCs w:val="22"/>
              <w:highlight w:val="green"/>
            </w:rPr>
            <w:t>analysis</w:t>
          </w:r>
        </w:sdtContent>
      </w:sdt>
      <w:r w:rsidR="00DE7A95" w:rsidRPr="009A5B6F">
        <w:rPr>
          <w:rFonts w:cs="Arial"/>
          <w:kern w:val="20"/>
          <w:szCs w:val="22"/>
        </w:rPr>
        <w:t xml:space="preserve">. </w:t>
      </w:r>
      <w:r w:rsidRPr="00496B38">
        <w:rPr>
          <w:rFonts w:cs="Arial"/>
          <w:kern w:val="20"/>
          <w:szCs w:val="22"/>
        </w:rPr>
        <w:t xml:space="preserve">The adjusted </w:t>
      </w:r>
      <w:r>
        <w:rPr>
          <w:rFonts w:cs="Arial"/>
          <w:kern w:val="20"/>
          <w:szCs w:val="22"/>
        </w:rPr>
        <w:t>comparable rent</w:t>
      </w:r>
      <w:r w:rsidRPr="00496B38">
        <w:rPr>
          <w:rFonts w:cs="Arial"/>
          <w:kern w:val="20"/>
          <w:szCs w:val="22"/>
        </w:rPr>
        <w:t xml:space="preserve"> range provides additional support for the</w:t>
      </w:r>
      <w:r w:rsidRPr="00DC2E7A">
        <w:rPr>
          <w:rFonts w:cs="Arial"/>
          <w:kern w:val="20"/>
          <w:szCs w:val="22"/>
        </w:rPr>
        <w:t xml:space="preserve"> following final </w:t>
      </w:r>
      <w:r>
        <w:rPr>
          <w:rFonts w:cs="Arial"/>
          <w:kern w:val="20"/>
          <w:szCs w:val="22"/>
        </w:rPr>
        <w:t>market rent</w:t>
      </w:r>
      <w:r w:rsidRPr="00DC2E7A">
        <w:rPr>
          <w:rFonts w:cs="Arial"/>
          <w:kern w:val="20"/>
          <w:szCs w:val="22"/>
        </w:rPr>
        <w:t xml:space="preserve"> conclusion.</w:t>
      </w:r>
      <w:r>
        <w:rPr>
          <w:rFonts w:cs="Arial"/>
          <w:kern w:val="20"/>
          <w:szCs w:val="22"/>
        </w:rPr>
        <w:t xml:space="preserve"> </w:t>
      </w:r>
    </w:p>
    <w:p w14:paraId="128D6876" w14:textId="77777777" w:rsidR="005A24B3" w:rsidRPr="00430A18" w:rsidRDefault="005A24B3" w:rsidP="005A24B3">
      <w:pPr>
        <w:pStyle w:val="Heading20"/>
        <w:rPr>
          <w:rFonts w:asciiTheme="minorHAnsi" w:hAnsiTheme="minorHAnsi" w:cs="Arial"/>
          <w:b w:val="0"/>
          <w:color w:val="1E4959"/>
          <w:spacing w:val="0"/>
          <w:kern w:val="20"/>
          <w:sz w:val="24"/>
          <w:szCs w:val="20"/>
          <w:u w:val="single"/>
        </w:rPr>
      </w:pPr>
      <w:r w:rsidRPr="00430A18">
        <w:rPr>
          <w:rFonts w:asciiTheme="minorHAnsi" w:hAnsiTheme="minorHAnsi" w:cs="Arial"/>
          <w:b w:val="0"/>
          <w:color w:val="1E4959"/>
          <w:spacing w:val="0"/>
          <w:kern w:val="20"/>
          <w:sz w:val="24"/>
          <w:szCs w:val="20"/>
          <w:u w:val="single"/>
        </w:rPr>
        <w:t>Subject Leasing Activity</w:t>
      </w:r>
    </w:p>
    <w:p w14:paraId="256F10D8" w14:textId="3B7B3DDC" w:rsidR="00733C95" w:rsidRPr="007F2895" w:rsidRDefault="00733C95" w:rsidP="00733C95">
      <w:r w:rsidRPr="007F2895">
        <w:t xml:space="preserve">The subject </w:t>
      </w:r>
      <w:r w:rsidRPr="002A374A">
        <w:rPr>
          <w:highlight w:val="yellow"/>
        </w:rPr>
        <w:t>is 43.5% occupied by entities related to the owners, along with 9 tenants</w:t>
      </w:r>
      <w:r w:rsidRPr="007F2895">
        <w:t xml:space="preserve">. </w:t>
      </w:r>
      <w:r>
        <w:t>Counting the owner-occupied space, t</w:t>
      </w:r>
      <w:r w:rsidRPr="007F2895">
        <w:t xml:space="preserve">he leases </w:t>
      </w:r>
      <w:r>
        <w:t>average</w:t>
      </w:r>
      <w:r w:rsidRPr="007F2895">
        <w:t xml:space="preserve"> </w:t>
      </w:r>
      <w:r w:rsidRPr="002A374A">
        <w:rPr>
          <w:highlight w:val="yellow"/>
        </w:rPr>
        <w:t>$22.99 per SF</w:t>
      </w:r>
      <w:r w:rsidRPr="007F2895">
        <w:t>, full service.</w:t>
      </w:r>
      <w:r w:rsidRPr="00733C95">
        <w:rPr>
          <w:rFonts w:cs="Arial"/>
          <w:color w:val="000000"/>
          <w:szCs w:val="22"/>
          <w:highlight w:val="yellow"/>
        </w:rPr>
        <w:t xml:space="preserve"> </w:t>
      </w:r>
      <w:r w:rsidRPr="009B7DEE">
        <w:rPr>
          <w:rFonts w:cs="Arial"/>
          <w:color w:val="000000"/>
          <w:szCs w:val="22"/>
          <w:highlight w:val="yellow"/>
        </w:rPr>
        <w:t xml:space="preserve">A rent roll for the subject property is provided </w:t>
      </w:r>
      <w:r w:rsidR="002A374A">
        <w:rPr>
          <w:rFonts w:cs="Arial"/>
          <w:color w:val="000000"/>
          <w:szCs w:val="22"/>
        </w:rPr>
        <w:t>on preceding page.</w:t>
      </w:r>
    </w:p>
    <w:p w14:paraId="30E5E77E" w14:textId="77777777" w:rsidR="00733C95" w:rsidRPr="007F2895" w:rsidRDefault="00733C95" w:rsidP="00733C95"/>
    <w:p w14:paraId="7EEE8903" w14:textId="77777777" w:rsidR="00733C95" w:rsidRDefault="00733C95" w:rsidP="00733C95">
      <w:r w:rsidRPr="002A374A">
        <w:rPr>
          <w:highlight w:val="yellow"/>
        </w:rPr>
        <w:t xml:space="preserve">The most recent lease is to </w:t>
      </w:r>
      <w:r w:rsidRPr="002A374A">
        <w:rPr>
          <w:highlight w:val="yellow"/>
          <w:u w:val="single"/>
        </w:rPr>
        <w:t>TVFR</w:t>
      </w:r>
      <w:r w:rsidRPr="002A374A">
        <w:rPr>
          <w:highlight w:val="yellow"/>
        </w:rPr>
        <w:t xml:space="preserve"> who is leasing 2,930 SF on a 5-year term which will start in March 2020 at $26.00 per SF, which escalates 3% annually. This tenant received a $40 per SF TI allowance, but the space had never been occupied since the building was built and was in shell condition. The tenant has no extension options. The tenant also pays $400 per month for the right to construct a garage building for service vehicles on the site.</w:t>
      </w:r>
    </w:p>
    <w:p w14:paraId="2654A3A2" w14:textId="77777777" w:rsidR="00B46DD4" w:rsidRDefault="00B46DD4" w:rsidP="005A24B3"/>
    <w:p w14:paraId="11275D41" w14:textId="140B5B99" w:rsidR="00113B80" w:rsidRPr="00FF1F4B" w:rsidRDefault="00113B80" w:rsidP="00113B80">
      <w:pPr>
        <w:widowControl w:val="0"/>
        <w:tabs>
          <w:tab w:val="left" w:pos="3744"/>
        </w:tabs>
        <w:rPr>
          <w:rFonts w:cs="Segoe UI"/>
        </w:rPr>
      </w:pPr>
      <w:r>
        <w:t>Based on the preceding,</w:t>
      </w:r>
      <w:r w:rsidRPr="0061766B">
        <w:t xml:space="preserve"> the tenant</w:t>
      </w:r>
      <w:r w:rsidR="009B7DEE">
        <w:t>’</w:t>
      </w:r>
      <w:r w:rsidRPr="0061766B">
        <w:t xml:space="preserve">s contract rent is considered </w:t>
      </w:r>
      <w:sdt>
        <w:sdtPr>
          <w:rPr>
            <w:highlight w:val="green"/>
          </w:rPr>
          <w:alias w:val="Above or Below Mkt Rent"/>
          <w:tag w:val="Above or Below Mkt Rent"/>
          <w:id w:val="-1121612385"/>
          <w:placeholder>
            <w:docPart w:val="805F71AF157140C6A18F0979E79F7AB5"/>
          </w:placeholder>
          <w:dropDownList>
            <w:listItem w:value="Choose an item."/>
            <w:listItem w:displayText="above market" w:value="above market"/>
            <w:listItem w:displayText="below market" w:value="below market"/>
            <w:listItem w:displayText="at market" w:value="at market"/>
          </w:dropDownList>
        </w:sdtPr>
        <w:sdtEndPr/>
        <w:sdtContent>
          <w:r w:rsidR="0049779D">
            <w:rPr>
              <w:highlight w:val="green"/>
            </w:rPr>
            <w:t>below market</w:t>
          </w:r>
        </w:sdtContent>
      </w:sdt>
      <w:r w:rsidRPr="0061766B">
        <w:t xml:space="preserve"> with </w:t>
      </w:r>
      <w:sdt>
        <w:sdtPr>
          <w:rPr>
            <w:highlight w:val="green"/>
          </w:rPr>
          <w:alias w:val="LH Interest"/>
          <w:tag w:val="LH Interest"/>
          <w:id w:val="31089777"/>
          <w:placeholder>
            <w:docPart w:val="805F71AF157140C6A18F0979E79F7AB5"/>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sidR="0049779D">
            <w:rPr>
              <w:highlight w:val="green"/>
            </w:rPr>
            <w:t>a measurable positive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654882922"/>
          <w:placeholder>
            <w:docPart w:val="805F71AF157140C6A18F0979E79F7AB5"/>
          </w:placeholder>
          <w:dropDownList>
            <w:listItem w:value="Choose an item."/>
            <w:listItem w:displayText="equal to" w:value="equal to"/>
            <w:listItem w:displayText="greater than" w:value="greater than"/>
            <w:listItem w:displayText="less than" w:value="less than"/>
          </w:dropDownList>
        </w:sdtPr>
        <w:sdtEndPr/>
        <w:sdtContent>
          <w:r w:rsidR="0049779D">
            <w:rPr>
              <w:rFonts w:ascii="Calibri" w:hAnsi="Calibri" w:cs="Calibri"/>
              <w:szCs w:val="22"/>
              <w:highlight w:val="green"/>
            </w:rPr>
            <w:t>less than</w:t>
          </w:r>
        </w:sdtContent>
      </w:sdt>
      <w:r w:rsidRPr="0061766B">
        <w:rPr>
          <w:rFonts w:ascii="Calibri" w:hAnsi="Calibri" w:cs="Calibri"/>
          <w:szCs w:val="22"/>
        </w:rPr>
        <w:t xml:space="preserve"> the leased fee interest</w:t>
      </w:r>
      <w:r w:rsidRPr="00447014">
        <w:rPr>
          <w:rFonts w:ascii="Calibri" w:hAnsi="Calibri" w:cs="Calibri"/>
          <w:szCs w:val="22"/>
          <w:highlight w:val="yellow"/>
        </w:rPr>
        <w:t>. A valuation of the subject</w:t>
      </w:r>
      <w:r>
        <w:rPr>
          <w:rFonts w:ascii="Calibri" w:hAnsi="Calibri" w:cs="Calibri"/>
          <w:szCs w:val="22"/>
        </w:rPr>
        <w:t xml:space="preserve"> </w:t>
      </w:r>
      <w:sdt>
        <w:sdtPr>
          <w:rPr>
            <w:rFonts w:ascii="Calibri" w:hAnsi="Calibri" w:cs="Calibri"/>
            <w:szCs w:val="22"/>
            <w:highlight w:val="green"/>
          </w:rPr>
          <w:alias w:val="LH Interest"/>
          <w:tag w:val="LH Interest"/>
          <w:id w:val="-646278994"/>
          <w:placeholder>
            <w:docPart w:val="805F71AF157140C6A18F0979E79F7AB5"/>
          </w:placeholder>
          <w:dropDownList>
            <w:listItem w:value="Choose an item."/>
            <w:listItem w:displayText="positive" w:value="positive"/>
            <w:listItem w:displayText="negative" w:value="negative"/>
          </w:dropDownList>
        </w:sdtPr>
        <w:sdtEndPr/>
        <w:sdtContent>
          <w:r w:rsidR="0049779D">
            <w:rPr>
              <w:rFonts w:ascii="Calibri" w:hAnsi="Calibri" w:cs="Calibri"/>
              <w:szCs w:val="22"/>
              <w:highlight w:val="green"/>
            </w:rPr>
            <w:t>positive</w:t>
          </w:r>
        </w:sdtContent>
      </w:sdt>
      <w:r>
        <w:rPr>
          <w:rFonts w:ascii="Calibri" w:hAnsi="Calibri" w:cs="Calibri"/>
          <w:szCs w:val="22"/>
        </w:rPr>
        <w:t xml:space="preserve"> </w:t>
      </w:r>
      <w:r w:rsidRPr="00447014">
        <w:rPr>
          <w:rFonts w:ascii="Calibri" w:hAnsi="Calibri" w:cs="Calibri"/>
          <w:szCs w:val="22"/>
          <w:highlight w:val="yellow"/>
        </w:rPr>
        <w:t>leasehold interest is provided at the end of the Reconciliation section</w:t>
      </w:r>
      <w:r>
        <w:rPr>
          <w:rFonts w:ascii="Calibri" w:hAnsi="Calibri" w:cs="Calibri"/>
          <w:szCs w:val="22"/>
        </w:rPr>
        <w:t>.</w:t>
      </w:r>
    </w:p>
    <w:p w14:paraId="4362140B" w14:textId="77777777" w:rsidR="005A24B3" w:rsidRPr="002B71DD" w:rsidRDefault="005A24B3" w:rsidP="005A24B3">
      <w:pPr>
        <w:spacing w:before="240"/>
        <w:rPr>
          <w:rFonts w:cs="Arial"/>
          <w:color w:val="1E4959"/>
          <w:sz w:val="28"/>
          <w:szCs w:val="22"/>
        </w:rPr>
      </w:pPr>
      <w:bookmarkStart w:id="5" w:name="_Hlk41301074"/>
      <w:bookmarkEnd w:id="4"/>
      <w:r w:rsidRPr="002B71DD">
        <w:rPr>
          <w:rFonts w:cs="Arial"/>
          <w:color w:val="1E4959"/>
          <w:sz w:val="28"/>
          <w:szCs w:val="22"/>
        </w:rPr>
        <w:t>Market Rent Conclusion</w:t>
      </w:r>
    </w:p>
    <w:p w14:paraId="64E7BBB9" w14:textId="27560920" w:rsidR="009B7DEE" w:rsidRDefault="009B7DEE" w:rsidP="009B7DEE">
      <w:r w:rsidRPr="00CB4DB3">
        <w:t xml:space="preserve">Based on the preceding discussions, it is concluded that the market rent for the subject property is reasonably supported </w:t>
      </w:r>
      <w:r w:rsidRPr="00B20928">
        <w:rPr>
          <w:highlight w:val="yellow"/>
        </w:rPr>
        <w:t>near the lower end to mid-range</w:t>
      </w:r>
      <w:r>
        <w:t xml:space="preserve"> values indicated by</w:t>
      </w:r>
      <w:r w:rsidRPr="00CB4DB3">
        <w:t xml:space="preserve"> </w:t>
      </w:r>
      <w:r w:rsidRPr="009B7DEE">
        <w:rPr>
          <w:highlight w:val="yellow"/>
        </w:rPr>
        <w:t>Rent Comps 1, 2 and 3 ($19.83, $19.67, and $25.48 per SF</w:t>
      </w:r>
      <w:r w:rsidRPr="00CB4DB3">
        <w:t>)</w:t>
      </w:r>
      <w:r>
        <w:t>. A</w:t>
      </w:r>
      <w:r w:rsidRPr="000766C3">
        <w:rPr>
          <w:rFonts w:cs="Segoe UI"/>
        </w:rPr>
        <w:t xml:space="preserve">dditional secondary consideration given to the adjusted average and median rent indicators </w:t>
      </w:r>
      <w:r w:rsidRPr="009B7DEE">
        <w:rPr>
          <w:rFonts w:cs="Segoe UI"/>
          <w:highlight w:val="yellow"/>
        </w:rPr>
        <w:t>($22.01 and $21.93</w:t>
      </w:r>
      <w:r w:rsidRPr="000766C3">
        <w:rPr>
          <w:rFonts w:cs="Segoe UI"/>
        </w:rPr>
        <w:t xml:space="preserve"> per SF).</w:t>
      </w:r>
      <w:r>
        <w:rPr>
          <w:rFonts w:cs="Segoe UI"/>
        </w:rPr>
        <w:t xml:space="preserve"> </w:t>
      </w:r>
      <w:r>
        <w:t>Based on the preceding, we have</w:t>
      </w:r>
      <w:r w:rsidRPr="000766C3">
        <w:t xml:space="preserve"> </w:t>
      </w:r>
      <w:r w:rsidRPr="000766C3">
        <w:rPr>
          <w:b/>
        </w:rPr>
        <w:t xml:space="preserve">concluded </w:t>
      </w:r>
      <w:r>
        <w:rPr>
          <w:b/>
        </w:rPr>
        <w:t xml:space="preserve">to a </w:t>
      </w:r>
      <w:r w:rsidRPr="000766C3">
        <w:rPr>
          <w:b/>
        </w:rPr>
        <w:t>market rent</w:t>
      </w:r>
      <w:r w:rsidRPr="000766C3">
        <w:t xml:space="preserve"> </w:t>
      </w:r>
      <w:r>
        <w:t xml:space="preserve">for the subject property of </w:t>
      </w:r>
      <w:r w:rsidRPr="009B7DEE">
        <w:rPr>
          <w:b/>
          <w:highlight w:val="yellow"/>
        </w:rPr>
        <w:t>$______</w:t>
      </w:r>
      <w:r w:rsidRPr="000766C3">
        <w:rPr>
          <w:b/>
        </w:rPr>
        <w:t xml:space="preserve"> per SF NRA</w:t>
      </w:r>
      <w:r w:rsidRPr="000766C3">
        <w:t>.</w:t>
      </w:r>
      <w:r>
        <w:t xml:space="preserve"> </w:t>
      </w:r>
    </w:p>
    <w:bookmarkEnd w:id="5"/>
    <w:p w14:paraId="739CCBF0" w14:textId="77777777" w:rsidR="00733C95" w:rsidRPr="009B6E44" w:rsidRDefault="00733C95" w:rsidP="00733C95">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 xml:space="preserve">Potential Gross </w:t>
      </w:r>
      <w:r>
        <w:rPr>
          <w:rFonts w:asciiTheme="minorHAnsi" w:hAnsiTheme="minorHAnsi" w:cs="Arial"/>
          <w:b w:val="0"/>
          <w:color w:val="1E4959"/>
          <w:spacing w:val="0"/>
          <w:kern w:val="20"/>
          <w:sz w:val="28"/>
          <w:szCs w:val="22"/>
        </w:rPr>
        <w:t>Rent</w:t>
      </w:r>
    </w:p>
    <w:p w14:paraId="6148A60E" w14:textId="727465E6" w:rsidR="00733C95" w:rsidRDefault="00733C95" w:rsidP="00733C95">
      <w:pPr>
        <w:rPr>
          <w:rFonts w:cs="Arial"/>
          <w:szCs w:val="22"/>
        </w:rPr>
      </w:pPr>
      <w:r>
        <w:t xml:space="preserve">Overall, the preceding market conclusion equates to </w:t>
      </w:r>
      <w:r w:rsidRPr="00602BA2">
        <w:rPr>
          <w:b/>
        </w:rPr>
        <w:t>potential gross</w:t>
      </w:r>
      <w:r>
        <w:rPr>
          <w:b/>
        </w:rPr>
        <w:t xml:space="preserve"> rent </w:t>
      </w:r>
      <w:r w:rsidRPr="00602BA2">
        <w:t xml:space="preserve">for the subject property estimated at </w:t>
      </w:r>
      <w:r w:rsidRPr="00733C95">
        <w:rPr>
          <w:b/>
          <w:highlight w:val="yellow"/>
        </w:rPr>
        <w:t>$________</w:t>
      </w:r>
      <w:r w:rsidRPr="00733C95">
        <w:rPr>
          <w:highlight w:val="yellow"/>
        </w:rPr>
        <w:t xml:space="preserve"> ($_____</w:t>
      </w:r>
      <w:r w:rsidRPr="00024447">
        <w:t xml:space="preserve"> per SF</w:t>
      </w:r>
      <w:r>
        <w:t xml:space="preserve"> NRA)</w:t>
      </w:r>
      <w:r w:rsidRPr="002921E3">
        <w:rPr>
          <w:rFonts w:cs="Arial"/>
          <w:szCs w:val="22"/>
        </w:rPr>
        <w:t xml:space="preserve">. </w:t>
      </w:r>
    </w:p>
    <w:p w14:paraId="2A96CCAE" w14:textId="77777777" w:rsidR="00733C95" w:rsidRPr="000754FA" w:rsidRDefault="00733C95" w:rsidP="00733C95">
      <w:pPr>
        <w:pStyle w:val="Heading20"/>
        <w:rPr>
          <w:rFonts w:asciiTheme="minorHAnsi" w:hAnsiTheme="minorHAnsi" w:cs="Arial"/>
          <w:b w:val="0"/>
          <w:color w:val="1E4959"/>
          <w:spacing w:val="0"/>
          <w:kern w:val="20"/>
          <w:sz w:val="28"/>
          <w:szCs w:val="22"/>
        </w:rPr>
      </w:pPr>
      <w:r>
        <w:rPr>
          <w:rFonts w:asciiTheme="minorHAnsi" w:hAnsiTheme="minorHAnsi" w:cs="Arial"/>
          <w:b w:val="0"/>
          <w:color w:val="1E4959"/>
          <w:spacing w:val="0"/>
          <w:kern w:val="20"/>
          <w:sz w:val="28"/>
          <w:szCs w:val="22"/>
        </w:rPr>
        <w:lastRenderedPageBreak/>
        <w:t>Reimbursable Expenses</w:t>
      </w:r>
    </w:p>
    <w:p w14:paraId="763706F3" w14:textId="25085723" w:rsidR="00733C95" w:rsidRDefault="00733C95" w:rsidP="00733C95">
      <w:r>
        <w:t>Market standards indicate that the landlord passes through expenses over the base year for each tenant. This amount var</w:t>
      </w:r>
      <w:r w:rsidRPr="00B308F8">
        <w:t xml:space="preserve">ies by how recently the tenant has taken occupancy, and / </w:t>
      </w:r>
      <w:r w:rsidRPr="00777C3D">
        <w:t xml:space="preserve">or renegotiated their lease. </w:t>
      </w:r>
      <w:r>
        <w:t xml:space="preserve">The appraisers were provided with an </w:t>
      </w:r>
      <w:r w:rsidRPr="00733C95">
        <w:rPr>
          <w:highlight w:val="yellow"/>
        </w:rPr>
        <w:t>annualized 11 months of income</w:t>
      </w:r>
      <w:r>
        <w:t xml:space="preserve"> and expenses from the management company as this is as long as they have been managing the property. This report indicated that reimbursable income has been </w:t>
      </w:r>
      <w:r w:rsidRPr="00733C95">
        <w:rPr>
          <w:highlight w:val="yellow"/>
        </w:rPr>
        <w:t>$______,</w:t>
      </w:r>
      <w:r>
        <w:t xml:space="preserve"> annualized in </w:t>
      </w:r>
      <w:r w:rsidRPr="00733C95">
        <w:rPr>
          <w:highlight w:val="yellow"/>
        </w:rPr>
        <w:t>2020</w:t>
      </w:r>
      <w:r>
        <w:t xml:space="preserve">. Thus, a conservative stabilized amount of </w:t>
      </w:r>
      <w:r w:rsidRPr="00733C95">
        <w:rPr>
          <w:b/>
          <w:highlight w:val="yellow"/>
        </w:rPr>
        <w:t>$__________</w:t>
      </w:r>
      <w:r>
        <w:t>, annually for reimbursable expenses is concluded for this analysis</w:t>
      </w:r>
      <w:r w:rsidRPr="000B36DB">
        <w:t>.</w:t>
      </w:r>
      <w:r>
        <w:t xml:space="preserve"> </w:t>
      </w:r>
    </w:p>
    <w:p w14:paraId="38128D04" w14:textId="77777777" w:rsidR="00733C95" w:rsidRPr="009B6E44" w:rsidRDefault="00733C95" w:rsidP="00733C95">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 xml:space="preserve">Potential Gross </w:t>
      </w:r>
      <w:r>
        <w:rPr>
          <w:rFonts w:asciiTheme="minorHAnsi" w:hAnsiTheme="minorHAnsi" w:cs="Arial"/>
          <w:b w:val="0"/>
          <w:color w:val="1E4959"/>
          <w:spacing w:val="0"/>
          <w:kern w:val="20"/>
          <w:sz w:val="28"/>
          <w:szCs w:val="22"/>
        </w:rPr>
        <w:t>Income</w:t>
      </w:r>
    </w:p>
    <w:p w14:paraId="7D6A60A0" w14:textId="0196E841" w:rsidR="005A24B3" w:rsidRDefault="00733C95" w:rsidP="005A24B3">
      <w:pPr>
        <w:rPr>
          <w:rFonts w:cs="Arial"/>
          <w:szCs w:val="22"/>
        </w:rPr>
      </w:pPr>
      <w:r w:rsidRPr="00103988">
        <w:t>Adding together potential gross rental income with</w:t>
      </w:r>
      <w:r>
        <w:t xml:space="preserve"> the other income and the </w:t>
      </w:r>
      <w:r w:rsidRPr="00103988">
        <w:t>reimbursed expenses results in</w:t>
      </w:r>
      <w:r>
        <w:t xml:space="preserve"> </w:t>
      </w:r>
      <w:r w:rsidRPr="00602BA2">
        <w:rPr>
          <w:b/>
        </w:rPr>
        <w:t xml:space="preserve">potential gross income </w:t>
      </w:r>
      <w:r w:rsidRPr="00602BA2">
        <w:t xml:space="preserve">for the subject property estimated at </w:t>
      </w:r>
      <w:r w:rsidRPr="00733C95">
        <w:rPr>
          <w:b/>
          <w:highlight w:val="yellow"/>
        </w:rPr>
        <w:t>$________</w:t>
      </w:r>
      <w:r w:rsidRPr="00733C95">
        <w:rPr>
          <w:highlight w:val="yellow"/>
        </w:rPr>
        <w:t xml:space="preserve"> ($_____</w:t>
      </w:r>
      <w:r w:rsidRPr="00024447">
        <w:t xml:space="preserve"> per SF</w:t>
      </w:r>
      <w:r>
        <w:t xml:space="preserve"> NRA)</w:t>
      </w:r>
      <w:r>
        <w:rPr>
          <w:rFonts w:cs="Arial"/>
          <w:szCs w:val="22"/>
        </w:rPr>
        <w:t xml:space="preserve">, as </w:t>
      </w:r>
      <w:r w:rsidR="005A24B3" w:rsidRPr="000754FA">
        <w:rPr>
          <w:rFonts w:cs="Arial"/>
          <w:szCs w:val="22"/>
        </w:rPr>
        <w:t>indicated in the following stabilized income and expense statement for the subject property (at the end of this section).</w:t>
      </w:r>
    </w:p>
    <w:p w14:paraId="7509C5F2" w14:textId="77777777" w:rsidR="005A24B3" w:rsidRPr="009B6E44" w:rsidRDefault="005A24B3" w:rsidP="005A24B3">
      <w:pPr>
        <w:pStyle w:val="Heading20"/>
        <w:spacing w:before="24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Vacancy and Credit Loss</w:t>
      </w:r>
    </w:p>
    <w:p w14:paraId="12FBBD71" w14:textId="77777777" w:rsidR="005A24B3" w:rsidRDefault="005A24B3" w:rsidP="005A24B3">
      <w:pPr>
        <w:rPr>
          <w:rFonts w:cs="Arial"/>
          <w:szCs w:val="22"/>
        </w:rPr>
      </w:pPr>
      <w:bookmarkStart w:id="6" w:name="_Hlk41301968"/>
      <w:r w:rsidRPr="009B6E44">
        <w:rPr>
          <w:rFonts w:cs="Arial"/>
          <w:szCs w:val="22"/>
        </w:rPr>
        <w:t xml:space="preserve">This expense category accounts for the time period between tenants, as well as possible prolonged vacancies under slow market conditions.  The assignment will reflect the probable vacancy during the economic life of the property. </w:t>
      </w:r>
      <w:bookmarkEnd w:id="6"/>
    </w:p>
    <w:p w14:paraId="5E9F5A83" w14:textId="0EC7FF2D" w:rsidR="005A24B3" w:rsidRDefault="005A24B3" w:rsidP="005A24B3">
      <w:pPr>
        <w:rPr>
          <w:rFonts w:cs="Arial"/>
          <w:szCs w:val="22"/>
        </w:rPr>
      </w:pPr>
    </w:p>
    <w:p w14:paraId="0C0B9B7D" w14:textId="77777777" w:rsidR="00AC1C59" w:rsidRDefault="00AC1C59" w:rsidP="00AC1C59">
      <w:pPr>
        <w:rPr>
          <w:rFonts w:cs="Arial"/>
          <w:szCs w:val="22"/>
        </w:rPr>
      </w:pPr>
      <w:bookmarkStart w:id="7" w:name="_Hlk41301828"/>
      <w:r w:rsidRPr="00C655DD">
        <w:rPr>
          <w:rFonts w:cs="Arial"/>
          <w:szCs w:val="22"/>
          <w:highlight w:val="green"/>
        </w:rPr>
        <w:t xml:space="preserve">Copy this paragraph directly from </w:t>
      </w:r>
      <w:r w:rsidRPr="00FF34F3">
        <w:rPr>
          <w:rFonts w:cs="Arial"/>
          <w:szCs w:val="22"/>
          <w:highlight w:val="green"/>
        </w:rPr>
        <w:t>Market Analysis</w:t>
      </w:r>
    </w:p>
    <w:p w14:paraId="51EE253A" w14:textId="77777777" w:rsidR="00C61AA8" w:rsidRDefault="00C61AA8" w:rsidP="00C61AA8">
      <w:r w:rsidRPr="00C61AA8">
        <w:rPr>
          <w:highlight w:val="yellow"/>
        </w:rPr>
        <w:t xml:space="preserve">The appraiser used </w:t>
      </w:r>
      <w:r w:rsidRPr="00C61AA8">
        <w:rPr>
          <w:b/>
          <w:highlight w:val="yellow"/>
        </w:rPr>
        <w:t>CoStar</w:t>
      </w:r>
      <w:r w:rsidRPr="00C61AA8">
        <w:rPr>
          <w:highlight w:val="yellow"/>
        </w:rPr>
        <w:t xml:space="preserve"> to produce a search of the subject’s immediate to expanded </w:t>
      </w:r>
      <w:r w:rsidRPr="00C61AA8">
        <w:rPr>
          <w:highlight w:val="yellow"/>
          <w:u w:val="single"/>
        </w:rPr>
        <w:t>Beaverton / 217Corridor/ Tigard</w:t>
      </w:r>
      <w:r w:rsidRPr="00C61AA8">
        <w:rPr>
          <w:highlight w:val="yellow"/>
        </w:rPr>
        <w:t xml:space="preserve"> submarkets for </w:t>
      </w:r>
      <w:r w:rsidRPr="00C61AA8">
        <w:rPr>
          <w:b/>
          <w:highlight w:val="yellow"/>
        </w:rPr>
        <w:t>office properties</w:t>
      </w:r>
      <w:r w:rsidRPr="00C61AA8">
        <w:rPr>
          <w:highlight w:val="yellow"/>
        </w:rPr>
        <w:t xml:space="preserve">. As of March 2020, </w:t>
      </w:r>
      <w:r w:rsidRPr="00C61AA8">
        <w:rPr>
          <w:b/>
          <w:highlight w:val="yellow"/>
        </w:rPr>
        <w:t>Costar</w:t>
      </w:r>
      <w:r w:rsidRPr="00C61AA8">
        <w:rPr>
          <w:highlight w:val="yellow"/>
        </w:rPr>
        <w:t xml:space="preserve"> indicates current vacancy at 10.4% </w:t>
      </w:r>
      <w:r w:rsidRPr="00C61AA8">
        <w:rPr>
          <w:iCs/>
          <w:highlight w:val="yellow"/>
        </w:rPr>
        <w:t xml:space="preserve">(803,081 </w:t>
      </w:r>
      <w:r w:rsidRPr="00C61AA8">
        <w:rPr>
          <w:highlight w:val="yellow"/>
        </w:rPr>
        <w:t>SF out of 7,704,170 SF, 470 properties surveyed) with negative absorption of -45,141 SF over the past 12 months. This vacancy is also lower than the 5-year average of 11.9%, with only 33,704 SF delivered on average over the 5-year period. Currently, there is no new office under construction within the defined submarket area and no new space delivered over the past 12 months. The current average asking rate for office space in the immediate area is $22.44per SF (primarily quoted as full-service basis), which is above the 5-year average of $20.33 per SF.</w:t>
      </w:r>
    </w:p>
    <w:bookmarkEnd w:id="7"/>
    <w:p w14:paraId="5F653F00" w14:textId="77777777" w:rsidR="005A24B3" w:rsidRDefault="005A24B3" w:rsidP="005A24B3">
      <w:pPr>
        <w:rPr>
          <w:rFonts w:cs="Arial"/>
          <w:szCs w:val="22"/>
        </w:rPr>
      </w:pPr>
    </w:p>
    <w:p w14:paraId="4A2ED5CA" w14:textId="3DC68669" w:rsidR="005A24B3" w:rsidRPr="000754FA" w:rsidRDefault="005A24B3" w:rsidP="005A24B3">
      <w:pPr>
        <w:rPr>
          <w:rFonts w:cs="Arial"/>
          <w:szCs w:val="22"/>
        </w:rPr>
      </w:pPr>
      <w:r w:rsidRPr="000754FA">
        <w:rPr>
          <w:rFonts w:cs="Arial"/>
          <w:szCs w:val="22"/>
        </w:rPr>
        <w:t xml:space="preserve">Based on the subject's good </w:t>
      </w:r>
      <w:r w:rsidR="006D3641" w:rsidRPr="006D3641">
        <w:rPr>
          <w:rFonts w:cs="Arial"/>
          <w:szCs w:val="22"/>
          <w:highlight w:val="yellow"/>
        </w:rPr>
        <w:t>suburban</w:t>
      </w:r>
      <w:r w:rsidR="006D3641">
        <w:rPr>
          <w:rFonts w:cs="Arial"/>
          <w:szCs w:val="22"/>
        </w:rPr>
        <w:t xml:space="preserve"> </w:t>
      </w:r>
      <w:r w:rsidR="006D3641" w:rsidRPr="00C61AA8">
        <w:rPr>
          <w:rFonts w:cs="Arial"/>
          <w:szCs w:val="22"/>
          <w:highlight w:val="yellow"/>
        </w:rPr>
        <w:t>office</w:t>
      </w:r>
      <w:r w:rsidRPr="000754FA">
        <w:rPr>
          <w:rFonts w:cs="Arial"/>
          <w:szCs w:val="22"/>
        </w:rPr>
        <w:t xml:space="preserve"> location, as well as prevalent </w:t>
      </w:r>
      <w:r>
        <w:rPr>
          <w:rFonts w:cs="Arial"/>
          <w:szCs w:val="22"/>
        </w:rPr>
        <w:t xml:space="preserve">long-term </w:t>
      </w:r>
      <w:r w:rsidRPr="000754FA">
        <w:rPr>
          <w:rFonts w:cs="Arial"/>
          <w:szCs w:val="22"/>
        </w:rPr>
        <w:t xml:space="preserve">market expectations, a </w:t>
      </w:r>
      <w:r w:rsidRPr="000754FA">
        <w:rPr>
          <w:rFonts w:cs="Arial"/>
          <w:b/>
          <w:bCs/>
          <w:szCs w:val="22"/>
        </w:rPr>
        <w:t xml:space="preserve">stabilized vacancy and credit loss </w:t>
      </w:r>
      <w:r w:rsidRPr="000754FA">
        <w:rPr>
          <w:rFonts w:cs="Arial"/>
          <w:szCs w:val="22"/>
        </w:rPr>
        <w:t xml:space="preserve">of </w:t>
      </w:r>
      <w:r w:rsidRPr="00B46DD4">
        <w:rPr>
          <w:rFonts w:cs="Arial"/>
          <w:b/>
          <w:bCs/>
          <w:szCs w:val="22"/>
          <w:highlight w:val="yellow"/>
        </w:rPr>
        <w:t>5.0%</w:t>
      </w:r>
      <w:r w:rsidRPr="000754FA">
        <w:rPr>
          <w:rFonts w:cs="Arial"/>
          <w:b/>
          <w:bCs/>
          <w:szCs w:val="22"/>
        </w:rPr>
        <w:t xml:space="preserve"> </w:t>
      </w:r>
      <w:r w:rsidRPr="000754FA">
        <w:rPr>
          <w:rFonts w:cs="Arial"/>
          <w:szCs w:val="22"/>
        </w:rPr>
        <w:t xml:space="preserve">is considered applicable for the subject property. The concluded rate is equivalent to </w:t>
      </w:r>
      <w:r w:rsidRPr="00B46DD4">
        <w:rPr>
          <w:rFonts w:cs="Arial"/>
          <w:szCs w:val="22"/>
          <w:highlight w:val="yellow"/>
        </w:rPr>
        <w:t>6 months</w:t>
      </w:r>
      <w:r w:rsidRPr="000754FA">
        <w:rPr>
          <w:rFonts w:cs="Arial"/>
          <w:szCs w:val="22"/>
        </w:rPr>
        <w:t xml:space="preserve"> of rent loss every 10 years. </w:t>
      </w:r>
    </w:p>
    <w:p w14:paraId="01CC8AB7"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0E04ED">
        <w:rPr>
          <w:rFonts w:asciiTheme="minorHAnsi" w:hAnsiTheme="minorHAnsi" w:cs="Arial"/>
          <w:b w:val="0"/>
          <w:color w:val="1E4959"/>
          <w:spacing w:val="0"/>
          <w:kern w:val="20"/>
          <w:sz w:val="28"/>
          <w:szCs w:val="22"/>
        </w:rPr>
        <w:t>Effective Gross Income</w:t>
      </w:r>
    </w:p>
    <w:p w14:paraId="1EF24A47" w14:textId="59360377" w:rsidR="005A24B3" w:rsidRDefault="005A24B3" w:rsidP="005A24B3">
      <w:pPr>
        <w:widowControl w:val="0"/>
        <w:rPr>
          <w:rFonts w:cs="Arial"/>
          <w:szCs w:val="22"/>
        </w:rPr>
      </w:pPr>
      <w:r w:rsidRPr="00994D88">
        <w:rPr>
          <w:rFonts w:cs="Arial"/>
          <w:szCs w:val="22"/>
        </w:rPr>
        <w:t xml:space="preserve">Based on the preceding, </w:t>
      </w:r>
      <w:r w:rsidRPr="00994D88">
        <w:rPr>
          <w:rFonts w:cs="Arial"/>
          <w:b/>
          <w:szCs w:val="22"/>
        </w:rPr>
        <w:t>effective gross rental income</w:t>
      </w:r>
      <w:r w:rsidRPr="00994D88">
        <w:rPr>
          <w:rFonts w:cs="Arial"/>
          <w:szCs w:val="22"/>
        </w:rPr>
        <w:t xml:space="preserve"> for the subject property is estimated at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9B7DEE">
        <w:rPr>
          <w:rFonts w:cs="Arial"/>
          <w:szCs w:val="22"/>
          <w:highlight w:val="yellow"/>
        </w:rPr>
        <w:t>NR</w:t>
      </w:r>
      <w:r w:rsidR="00B46DD4" w:rsidRPr="00B46DD4">
        <w:rPr>
          <w:rFonts w:cs="Arial"/>
          <w:szCs w:val="22"/>
          <w:highlight w:val="yellow"/>
        </w:rPr>
        <w:t>A)</w:t>
      </w:r>
      <w:r w:rsidRPr="00994D88">
        <w:rPr>
          <w:rFonts w:cs="Arial"/>
          <w:szCs w:val="22"/>
        </w:rPr>
        <w:t>.</w:t>
      </w:r>
    </w:p>
    <w:p w14:paraId="50183752"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Projected Operating Expenses</w:t>
      </w:r>
    </w:p>
    <w:p w14:paraId="56F20948" w14:textId="5A6E68F3" w:rsidR="00F83EB0" w:rsidRDefault="00F83EB0" w:rsidP="00F83EB0">
      <w:r>
        <w:rPr>
          <w:color w:val="000000"/>
        </w:rPr>
        <w:t xml:space="preserve">The market rent conclusion has been based on </w:t>
      </w:r>
      <w:r>
        <w:t xml:space="preserve">full service basis, in which all operating expenses for the subject space would be paid for by the landlord. </w:t>
      </w:r>
      <w:r>
        <w:rPr>
          <w:color w:val="000000"/>
        </w:rPr>
        <w:t xml:space="preserve">To estimate expenses applicable to the subject property on a stabilized basis, local suppliers have been contacted, and comparable properties have been analyzed. In addition, </w:t>
      </w:r>
      <w:r w:rsidRPr="00F345C7">
        <w:rPr>
          <w:color w:val="000000"/>
        </w:rPr>
        <w:t xml:space="preserve">the </w:t>
      </w:r>
      <w:r>
        <w:rPr>
          <w:color w:val="000000"/>
        </w:rPr>
        <w:t>following</w:t>
      </w:r>
      <w:r w:rsidRPr="00F345C7">
        <w:rPr>
          <w:color w:val="000000"/>
        </w:rPr>
        <w:t xml:space="preserve"> chart</w:t>
      </w:r>
      <w:r>
        <w:rPr>
          <w:color w:val="000000"/>
        </w:rPr>
        <w:t xml:space="preserve"> shows the subject expenses for </w:t>
      </w:r>
      <w:r w:rsidRPr="00F83EB0">
        <w:rPr>
          <w:color w:val="000000"/>
          <w:highlight w:val="yellow"/>
        </w:rPr>
        <w:t>the first 11 months of 2019 annualized</w:t>
      </w:r>
      <w:r>
        <w:rPr>
          <w:color w:val="000000"/>
        </w:rPr>
        <w:t>.</w:t>
      </w:r>
      <w:r>
        <w:t xml:space="preserve"> The subject has a new management company as of </w:t>
      </w:r>
      <w:r w:rsidRPr="00F83EB0">
        <w:rPr>
          <w:highlight w:val="yellow"/>
        </w:rPr>
        <w:t>December 2019</w:t>
      </w:r>
      <w:r>
        <w:t xml:space="preserve"> and these were the only expenses available.</w:t>
      </w:r>
    </w:p>
    <w:p w14:paraId="1E5AF00A" w14:textId="77777777" w:rsidR="00F83EB0" w:rsidRDefault="00F83EB0" w:rsidP="00F83EB0">
      <w:pPr>
        <w:pStyle w:val="Footer"/>
        <w:tabs>
          <w:tab w:val="clear" w:pos="4320"/>
          <w:tab w:val="clear" w:pos="8640"/>
          <w:tab w:val="left" w:pos="3744"/>
        </w:tabs>
      </w:pPr>
    </w:p>
    <w:p w14:paraId="21B78427" w14:textId="77777777" w:rsidR="00F83EB0" w:rsidRDefault="00F83EB0" w:rsidP="00F83EB0">
      <w:pPr>
        <w:pStyle w:val="Footer"/>
        <w:tabs>
          <w:tab w:val="clear" w:pos="4320"/>
          <w:tab w:val="clear" w:pos="8640"/>
          <w:tab w:val="left" w:pos="3744"/>
        </w:tabs>
        <w:jc w:val="center"/>
      </w:pPr>
      <w:r w:rsidRPr="00036327">
        <w:rPr>
          <w:noProof/>
        </w:rPr>
        <w:lastRenderedPageBreak/>
        <w:drawing>
          <wp:inline distT="0" distB="0" distL="0" distR="0" wp14:anchorId="228ED1BC" wp14:editId="5C10D2FE">
            <wp:extent cx="3530379" cy="3842463"/>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537093" cy="3849770"/>
                    </a:xfrm>
                    <a:prstGeom prst="rect">
                      <a:avLst/>
                    </a:prstGeom>
                    <a:noFill/>
                    <a:ln>
                      <a:noFill/>
                    </a:ln>
                  </pic:spPr>
                </pic:pic>
              </a:graphicData>
            </a:graphic>
          </wp:inline>
        </w:drawing>
      </w:r>
    </w:p>
    <w:p w14:paraId="1855A1D0" w14:textId="77777777" w:rsidR="00F83EB0" w:rsidRDefault="00F83EB0" w:rsidP="00F83EB0">
      <w:pPr>
        <w:pStyle w:val="Footer"/>
        <w:tabs>
          <w:tab w:val="clear" w:pos="4320"/>
          <w:tab w:val="clear" w:pos="8640"/>
        </w:tabs>
      </w:pPr>
    </w:p>
    <w:p w14:paraId="282D73A4" w14:textId="707BBD6D" w:rsidR="00F83EB0" w:rsidRPr="007F2895" w:rsidRDefault="00F83EB0" w:rsidP="00F83EB0">
      <w:pPr>
        <w:widowControl w:val="0"/>
        <w:rPr>
          <w:szCs w:val="22"/>
        </w:rPr>
      </w:pPr>
      <w:r w:rsidRPr="00495797">
        <w:rPr>
          <w:color w:val="1E4959"/>
          <w:sz w:val="24"/>
          <w:u w:val="single"/>
        </w:rPr>
        <w:t>Real Estate Taxes</w:t>
      </w:r>
      <w:r w:rsidRPr="00E30D44">
        <w:rPr>
          <w:color w:val="1E4959"/>
          <w:sz w:val="24"/>
        </w:rPr>
        <w:t xml:space="preserve">: </w:t>
      </w:r>
      <w:r w:rsidRPr="00E30D44">
        <w:rPr>
          <w:szCs w:val="22"/>
        </w:rPr>
        <w:t xml:space="preserve"> The subject is currently responsible for real estate taxes of </w:t>
      </w:r>
      <w:r w:rsidRPr="009B6FBE">
        <w:rPr>
          <w:szCs w:val="22"/>
        </w:rPr>
        <w:t>$</w:t>
      </w:r>
      <w:r w:rsidRPr="00F83EB0">
        <w:rPr>
          <w:szCs w:val="22"/>
          <w:highlight w:val="yellow"/>
        </w:rPr>
        <w:t>92,793 for the 2019-2020</w:t>
      </w:r>
      <w:r w:rsidRPr="00E30D44">
        <w:rPr>
          <w:szCs w:val="22"/>
        </w:rPr>
        <w:t xml:space="preserve"> tax year, the current tax year for the subject property. </w:t>
      </w:r>
      <w:r>
        <w:rPr>
          <w:szCs w:val="22"/>
        </w:rPr>
        <w:t xml:space="preserve">As these taxes were just recently paid this tax amount plus 3%, less a 3% discount for on time payment will be used in this analysis, or </w:t>
      </w:r>
      <w:r w:rsidRPr="00F83EB0">
        <w:rPr>
          <w:b/>
          <w:szCs w:val="22"/>
          <w:highlight w:val="yellow"/>
        </w:rPr>
        <w:t>$_________</w:t>
      </w:r>
      <w:r w:rsidRPr="007F2895">
        <w:rPr>
          <w:szCs w:val="22"/>
        </w:rPr>
        <w:t>.</w:t>
      </w:r>
      <w:r>
        <w:rPr>
          <w:szCs w:val="22"/>
        </w:rPr>
        <w:t xml:space="preserve">  Note that the real property taxes were reported at </w:t>
      </w:r>
      <w:r w:rsidRPr="00F83EB0">
        <w:rPr>
          <w:szCs w:val="22"/>
          <w:highlight w:val="yellow"/>
        </w:rPr>
        <w:t>$104,821 for 2020</w:t>
      </w:r>
      <w:r>
        <w:rPr>
          <w:szCs w:val="22"/>
        </w:rPr>
        <w:t xml:space="preserve">, though it appears other taxes (such as personal property) may have been loaded into this figure.  Therefore, we will defer to the current real property taxes for purposes of this analysis. </w:t>
      </w:r>
    </w:p>
    <w:p w14:paraId="7A563BEE" w14:textId="77777777" w:rsidR="00F83EB0" w:rsidRPr="007F2895" w:rsidRDefault="00F83EB0" w:rsidP="00F83EB0">
      <w:pPr>
        <w:jc w:val="left"/>
        <w:rPr>
          <w:szCs w:val="22"/>
        </w:rPr>
      </w:pPr>
    </w:p>
    <w:p w14:paraId="6C7F7E48" w14:textId="75CC5989" w:rsidR="00F83EB0" w:rsidRPr="005116AD" w:rsidRDefault="00F83EB0" w:rsidP="00F83EB0">
      <w:pPr>
        <w:widowControl w:val="0"/>
        <w:tabs>
          <w:tab w:val="left" w:pos="288"/>
          <w:tab w:val="left" w:pos="576"/>
        </w:tabs>
        <w:rPr>
          <w:szCs w:val="22"/>
        </w:rPr>
      </w:pPr>
      <w:r w:rsidRPr="007F2895">
        <w:rPr>
          <w:color w:val="1E4959"/>
          <w:sz w:val="24"/>
          <w:u w:val="single"/>
        </w:rPr>
        <w:t>Insurance</w:t>
      </w:r>
      <w:r w:rsidRPr="007F2895">
        <w:rPr>
          <w:color w:val="1E4959"/>
          <w:sz w:val="24"/>
        </w:rPr>
        <w:t xml:space="preserve">: </w:t>
      </w:r>
      <w:r w:rsidRPr="007F2895">
        <w:rPr>
          <w:szCs w:val="22"/>
        </w:rPr>
        <w:t xml:space="preserve">Building insurance for similar properties in the </w:t>
      </w:r>
      <w:r w:rsidRPr="00AC6CE3">
        <w:rPr>
          <w:szCs w:val="22"/>
          <w:highlight w:val="yellow"/>
        </w:rPr>
        <w:t>Portland</w:t>
      </w:r>
      <w:r w:rsidRPr="007F2895">
        <w:rPr>
          <w:szCs w:val="22"/>
        </w:rPr>
        <w:t xml:space="preserve"> metropolitan area generally range </w:t>
      </w:r>
      <w:r w:rsidRPr="00036327">
        <w:rPr>
          <w:szCs w:val="22"/>
        </w:rPr>
        <w:t xml:space="preserve">from </w:t>
      </w:r>
      <w:r w:rsidRPr="00F83EB0">
        <w:rPr>
          <w:szCs w:val="22"/>
          <w:highlight w:val="yellow"/>
        </w:rPr>
        <w:t>$0.20 to $0.</w:t>
      </w:r>
      <w:r w:rsidRPr="00AC6CE3">
        <w:rPr>
          <w:szCs w:val="22"/>
          <w:highlight w:val="yellow"/>
        </w:rPr>
        <w:t xml:space="preserve">50 per </w:t>
      </w:r>
      <w:r w:rsidR="00AC6CE3" w:rsidRPr="00AC6CE3">
        <w:rPr>
          <w:szCs w:val="22"/>
          <w:highlight w:val="yellow"/>
        </w:rPr>
        <w:t>SF</w:t>
      </w:r>
      <w:r w:rsidRPr="00AC6CE3">
        <w:rPr>
          <w:szCs w:val="22"/>
          <w:highlight w:val="yellow"/>
        </w:rPr>
        <w:t>.</w:t>
      </w:r>
      <w:r w:rsidRPr="00036327">
        <w:rPr>
          <w:szCs w:val="22"/>
        </w:rPr>
        <w:t xml:space="preserve"> The </w:t>
      </w:r>
      <w:r w:rsidRPr="00F83EB0">
        <w:rPr>
          <w:szCs w:val="22"/>
          <w:highlight w:val="yellow"/>
        </w:rPr>
        <w:t>2020</w:t>
      </w:r>
      <w:r w:rsidRPr="00036327">
        <w:rPr>
          <w:szCs w:val="22"/>
        </w:rPr>
        <w:t xml:space="preserve"> amount was </w:t>
      </w:r>
      <w:r w:rsidRPr="00F83EB0">
        <w:rPr>
          <w:szCs w:val="22"/>
          <w:highlight w:val="yellow"/>
        </w:rPr>
        <w:t>$0.11</w:t>
      </w:r>
      <w:r>
        <w:rPr>
          <w:szCs w:val="22"/>
          <w:highlight w:val="yellow"/>
        </w:rPr>
        <w:t xml:space="preserve">7 per </w:t>
      </w:r>
      <w:r w:rsidRPr="00F83EB0">
        <w:rPr>
          <w:szCs w:val="22"/>
          <w:highlight w:val="yellow"/>
        </w:rPr>
        <w:t>SF</w:t>
      </w:r>
      <w:r w:rsidRPr="00036327">
        <w:rPr>
          <w:szCs w:val="22"/>
        </w:rPr>
        <w:t xml:space="preserve"> with no other expense provided</w:t>
      </w:r>
      <w:r>
        <w:rPr>
          <w:szCs w:val="22"/>
        </w:rPr>
        <w:t xml:space="preserve"> and appears unreasonably low for this property type</w:t>
      </w:r>
      <w:r w:rsidRPr="00036327">
        <w:rPr>
          <w:szCs w:val="22"/>
        </w:rPr>
        <w:t>. Therefore, a</w:t>
      </w:r>
      <w:r>
        <w:rPr>
          <w:szCs w:val="22"/>
        </w:rPr>
        <w:t xml:space="preserve">n </w:t>
      </w:r>
      <w:r w:rsidRPr="00036327">
        <w:rPr>
          <w:szCs w:val="22"/>
        </w:rPr>
        <w:t xml:space="preserve">expense </w:t>
      </w:r>
      <w:r>
        <w:rPr>
          <w:szCs w:val="22"/>
        </w:rPr>
        <w:t xml:space="preserve">at the lower end of the comparable range </w:t>
      </w:r>
      <w:r w:rsidRPr="00036327">
        <w:rPr>
          <w:szCs w:val="22"/>
        </w:rPr>
        <w:t xml:space="preserve">of </w:t>
      </w:r>
      <w:r w:rsidRPr="00F83EB0">
        <w:rPr>
          <w:b/>
          <w:szCs w:val="22"/>
          <w:highlight w:val="yellow"/>
        </w:rPr>
        <w:t>$0.20 per SF</w:t>
      </w:r>
      <w:r w:rsidRPr="00036327">
        <w:rPr>
          <w:szCs w:val="22"/>
        </w:rPr>
        <w:t xml:space="preserve"> has been applied.</w:t>
      </w:r>
    </w:p>
    <w:p w14:paraId="721C87AA" w14:textId="77777777" w:rsidR="00F83EB0" w:rsidRPr="005116AD" w:rsidRDefault="00F83EB0" w:rsidP="00F83EB0">
      <w:pPr>
        <w:widowControl w:val="0"/>
        <w:tabs>
          <w:tab w:val="left" w:pos="3744"/>
        </w:tabs>
        <w:rPr>
          <w:szCs w:val="22"/>
        </w:rPr>
      </w:pPr>
    </w:p>
    <w:p w14:paraId="4B8D7A2C" w14:textId="77777777" w:rsidR="00F83EB0" w:rsidRPr="005116AD" w:rsidRDefault="00F83EB0" w:rsidP="00F83EB0">
      <w:pPr>
        <w:tabs>
          <w:tab w:val="left" w:pos="288"/>
          <w:tab w:val="left" w:pos="576"/>
        </w:tabs>
        <w:rPr>
          <w:szCs w:val="22"/>
        </w:rPr>
      </w:pPr>
      <w:r>
        <w:rPr>
          <w:color w:val="1E4959"/>
          <w:sz w:val="24"/>
          <w:u w:val="single"/>
        </w:rPr>
        <w:t>Utilities</w:t>
      </w:r>
      <w:r w:rsidRPr="00E30D44">
        <w:rPr>
          <w:color w:val="1E4959"/>
          <w:sz w:val="24"/>
        </w:rPr>
        <w:t xml:space="preserve">: </w:t>
      </w:r>
      <w:r>
        <w:t xml:space="preserve">The subject’s historical expenses are </w:t>
      </w:r>
      <w:r w:rsidRPr="00F83EB0">
        <w:rPr>
          <w:highlight w:val="yellow"/>
        </w:rPr>
        <w:t>$2.45 per SF</w:t>
      </w:r>
      <w:r>
        <w:t xml:space="preserve">. </w:t>
      </w:r>
      <w:r w:rsidRPr="00304C37">
        <w:t xml:space="preserve">This expense typically ranges from </w:t>
      </w:r>
      <w:r w:rsidRPr="00F83EB0">
        <w:rPr>
          <w:highlight w:val="yellow"/>
        </w:rPr>
        <w:t>$1.50 to $2.50 per SF</w:t>
      </w:r>
      <w:r w:rsidRPr="00304C37">
        <w:t xml:space="preserve">. </w:t>
      </w:r>
      <w:r>
        <w:t xml:space="preserve">Placing primary emphasis on the high end of the subject's historical expenses, a utility expense of </w:t>
      </w:r>
      <w:r w:rsidRPr="00F83EB0">
        <w:rPr>
          <w:b/>
          <w:highlight w:val="yellow"/>
        </w:rPr>
        <w:t>$2.50</w:t>
      </w:r>
      <w:r w:rsidRPr="00F83EB0">
        <w:rPr>
          <w:highlight w:val="yellow"/>
        </w:rPr>
        <w:t> </w:t>
      </w:r>
      <w:r w:rsidRPr="00F83EB0">
        <w:rPr>
          <w:b/>
          <w:highlight w:val="yellow"/>
        </w:rPr>
        <w:t>per SF</w:t>
      </w:r>
      <w:r>
        <w:t xml:space="preserve"> is reasonable.</w:t>
      </w:r>
    </w:p>
    <w:p w14:paraId="0D94B5BE" w14:textId="77777777" w:rsidR="00F83EB0" w:rsidRPr="005116AD" w:rsidRDefault="00F83EB0" w:rsidP="00F83EB0">
      <w:pPr>
        <w:widowControl w:val="0"/>
        <w:tabs>
          <w:tab w:val="left" w:pos="3744"/>
        </w:tabs>
        <w:rPr>
          <w:szCs w:val="22"/>
        </w:rPr>
      </w:pPr>
    </w:p>
    <w:p w14:paraId="1D0CDFA4" w14:textId="2EA4A5B5" w:rsidR="00F83EB0" w:rsidRPr="005116AD" w:rsidRDefault="00F83EB0" w:rsidP="00F83EB0">
      <w:pPr>
        <w:tabs>
          <w:tab w:val="left" w:pos="288"/>
          <w:tab w:val="left" w:pos="576"/>
        </w:tabs>
        <w:rPr>
          <w:szCs w:val="22"/>
        </w:rPr>
      </w:pPr>
      <w:r w:rsidRPr="001B7AD2">
        <w:rPr>
          <w:color w:val="1E4959"/>
          <w:sz w:val="24"/>
          <w:u w:val="single"/>
        </w:rPr>
        <w:t>Grounds Maintenance / Security</w:t>
      </w:r>
      <w:r w:rsidRPr="001B7AD2">
        <w:rPr>
          <w:color w:val="1E4959"/>
          <w:sz w:val="24"/>
        </w:rPr>
        <w:t xml:space="preserve">: </w:t>
      </w:r>
      <w:r>
        <w:t xml:space="preserve">The subject’s historical expenses have been </w:t>
      </w:r>
      <w:r w:rsidRPr="00F83EB0">
        <w:rPr>
          <w:highlight w:val="yellow"/>
        </w:rPr>
        <w:t>$1.19 per SF for 2020</w:t>
      </w:r>
      <w:r>
        <w:t xml:space="preserve">. </w:t>
      </w:r>
      <w:r w:rsidRPr="001B7AD2">
        <w:t xml:space="preserve">This expense typically ranges from </w:t>
      </w:r>
      <w:r w:rsidRPr="00F83EB0">
        <w:rPr>
          <w:highlight w:val="yellow"/>
        </w:rPr>
        <w:t>$0.25 to $0.75 per SF</w:t>
      </w:r>
      <w:r w:rsidRPr="001B7AD2">
        <w:t xml:space="preserve">. </w:t>
      </w:r>
      <w:r>
        <w:t xml:space="preserve">However, the subject has a large yard area needing greater maintenance. Placing primary emphasis on the subject's historical expenses, a landscaping expense of </w:t>
      </w:r>
      <w:r w:rsidRPr="00F83EB0">
        <w:rPr>
          <w:b/>
          <w:highlight w:val="yellow"/>
        </w:rPr>
        <w:t>$1.20</w:t>
      </w:r>
      <w:r w:rsidRPr="00F83EB0">
        <w:rPr>
          <w:highlight w:val="yellow"/>
        </w:rPr>
        <w:t> </w:t>
      </w:r>
      <w:r w:rsidRPr="00F83EB0">
        <w:rPr>
          <w:b/>
          <w:highlight w:val="yellow"/>
        </w:rPr>
        <w:t>per SF</w:t>
      </w:r>
      <w:r>
        <w:t xml:space="preserve"> is reasonable.</w:t>
      </w:r>
    </w:p>
    <w:p w14:paraId="11EC511A" w14:textId="77777777" w:rsidR="00F83EB0" w:rsidRPr="005116AD" w:rsidRDefault="00F83EB0" w:rsidP="00F83EB0">
      <w:pPr>
        <w:widowControl w:val="0"/>
        <w:tabs>
          <w:tab w:val="left" w:pos="3744"/>
        </w:tabs>
        <w:rPr>
          <w:szCs w:val="22"/>
        </w:rPr>
      </w:pPr>
    </w:p>
    <w:p w14:paraId="31F0009A" w14:textId="58C58B16" w:rsidR="00F83EB0" w:rsidRPr="005116AD" w:rsidRDefault="00F83EB0" w:rsidP="00F83EB0">
      <w:pPr>
        <w:widowControl w:val="0"/>
        <w:tabs>
          <w:tab w:val="left" w:pos="288"/>
          <w:tab w:val="left" w:pos="576"/>
        </w:tabs>
        <w:rPr>
          <w:szCs w:val="22"/>
        </w:rPr>
      </w:pPr>
      <w:r>
        <w:rPr>
          <w:color w:val="1E4959"/>
          <w:sz w:val="24"/>
          <w:u w:val="single"/>
        </w:rPr>
        <w:t>Janitorial</w:t>
      </w:r>
      <w:r w:rsidRPr="00E30D44">
        <w:rPr>
          <w:color w:val="1E4959"/>
          <w:sz w:val="24"/>
        </w:rPr>
        <w:t xml:space="preserve">: </w:t>
      </w:r>
      <w:r w:rsidRPr="00EA27B2">
        <w:t xml:space="preserve">The subject’s historical expenses </w:t>
      </w:r>
      <w:r w:rsidRPr="00F83EB0">
        <w:rPr>
          <w:highlight w:val="yellow"/>
        </w:rPr>
        <w:t>are $1.41 per SF for 2020</w:t>
      </w:r>
      <w:r w:rsidRPr="00EA27B2">
        <w:t xml:space="preserve">. This expense typically ranges from </w:t>
      </w:r>
      <w:r w:rsidRPr="00F83EB0">
        <w:rPr>
          <w:highlight w:val="yellow"/>
        </w:rPr>
        <w:t>$0.75 to $1.50 per SF.</w:t>
      </w:r>
      <w:r w:rsidRPr="00EA27B2">
        <w:t xml:space="preserve"> Considering the subject’s </w:t>
      </w:r>
      <w:r>
        <w:t>historical expenses</w:t>
      </w:r>
      <w:r w:rsidRPr="00EA27B2">
        <w:t xml:space="preserve">, a stabilized expense of </w:t>
      </w:r>
      <w:r w:rsidRPr="00F83EB0">
        <w:rPr>
          <w:b/>
          <w:highlight w:val="yellow"/>
        </w:rPr>
        <w:t>$1.40 per SF</w:t>
      </w:r>
      <w:r w:rsidRPr="00EA27B2">
        <w:t xml:space="preserve">, </w:t>
      </w:r>
      <w:r w:rsidRPr="00EA27B2">
        <w:rPr>
          <w:bCs/>
        </w:rPr>
        <w:t>is deemed reasonable</w:t>
      </w:r>
      <w:r w:rsidRPr="005116AD">
        <w:rPr>
          <w:szCs w:val="22"/>
        </w:rPr>
        <w:t>.</w:t>
      </w:r>
    </w:p>
    <w:p w14:paraId="5F53E996" w14:textId="77777777" w:rsidR="00F83EB0" w:rsidRPr="005116AD" w:rsidRDefault="00F83EB0" w:rsidP="00F83EB0">
      <w:pPr>
        <w:widowControl w:val="0"/>
        <w:tabs>
          <w:tab w:val="left" w:pos="3744"/>
        </w:tabs>
        <w:rPr>
          <w:szCs w:val="22"/>
        </w:rPr>
      </w:pPr>
    </w:p>
    <w:p w14:paraId="313510EF" w14:textId="2CFF3339" w:rsidR="00F83EB0" w:rsidRPr="00CA7BAE" w:rsidRDefault="00F83EB0" w:rsidP="00F83EB0">
      <w:pPr>
        <w:widowControl w:val="0"/>
        <w:tabs>
          <w:tab w:val="left" w:pos="288"/>
          <w:tab w:val="left" w:pos="576"/>
        </w:tabs>
        <w:rPr>
          <w:szCs w:val="22"/>
        </w:rPr>
      </w:pPr>
      <w:r w:rsidRPr="00574AC0">
        <w:rPr>
          <w:color w:val="1E4959"/>
          <w:sz w:val="24"/>
          <w:u w:val="single"/>
        </w:rPr>
        <w:t>Repairs and Maintenance</w:t>
      </w:r>
      <w:r w:rsidRPr="005116AD">
        <w:rPr>
          <w:color w:val="1E4959"/>
          <w:sz w:val="24"/>
        </w:rPr>
        <w:t xml:space="preserve">: </w:t>
      </w:r>
      <w:r w:rsidRPr="00EA27B2">
        <w:t xml:space="preserve">The subject’s historical expenses </w:t>
      </w:r>
      <w:r>
        <w:t>are</w:t>
      </w:r>
      <w:r w:rsidRPr="00EA27B2">
        <w:t xml:space="preserve"> </w:t>
      </w:r>
      <w:r w:rsidRPr="00F83EB0">
        <w:rPr>
          <w:highlight w:val="yellow"/>
        </w:rPr>
        <w:t>$1.70 per SF for 20</w:t>
      </w:r>
      <w:r>
        <w:rPr>
          <w:highlight w:val="yellow"/>
        </w:rPr>
        <w:t>20</w:t>
      </w:r>
      <w:r w:rsidRPr="00EA27B2">
        <w:t xml:space="preserve">. This expense typically ranges from </w:t>
      </w:r>
      <w:r w:rsidRPr="00F83EB0">
        <w:rPr>
          <w:highlight w:val="yellow"/>
        </w:rPr>
        <w:t>$0.50 to $2.00 per SF</w:t>
      </w:r>
      <w:r w:rsidRPr="00EA27B2">
        <w:t xml:space="preserve">. Considering the subject’s age and </w:t>
      </w:r>
      <w:r>
        <w:t>good well-maintained</w:t>
      </w:r>
      <w:r w:rsidRPr="00EA27B2">
        <w:t xml:space="preserve"> condition, a stabilized maintenance and repair expense of </w:t>
      </w:r>
      <w:r w:rsidRPr="00F83EB0">
        <w:rPr>
          <w:b/>
          <w:highlight w:val="yellow"/>
        </w:rPr>
        <w:t>$1.70 per SF</w:t>
      </w:r>
      <w:r w:rsidRPr="00EA27B2">
        <w:t xml:space="preserve">, </w:t>
      </w:r>
      <w:r w:rsidRPr="00EA27B2">
        <w:rPr>
          <w:bCs/>
        </w:rPr>
        <w:t>is deemed reasonable</w:t>
      </w:r>
      <w:r w:rsidRPr="00CA7BAE">
        <w:rPr>
          <w:szCs w:val="22"/>
        </w:rPr>
        <w:t>.</w:t>
      </w:r>
      <w:r>
        <w:rPr>
          <w:szCs w:val="22"/>
        </w:rPr>
        <w:t xml:space="preserve"> </w:t>
      </w:r>
    </w:p>
    <w:p w14:paraId="748F5D2B" w14:textId="19C02595" w:rsidR="00F83EB0" w:rsidRPr="000754FA" w:rsidRDefault="00F83EB0" w:rsidP="00F83EB0">
      <w:pPr>
        <w:keepNext/>
        <w:numPr>
          <w:ilvl w:val="1"/>
          <w:numId w:val="0"/>
        </w:numPr>
        <w:spacing w:before="200" w:line="233" w:lineRule="auto"/>
        <w:outlineLvl w:val="2"/>
        <w:rPr>
          <w:rFonts w:cs="Arial"/>
          <w:szCs w:val="22"/>
        </w:rPr>
      </w:pPr>
      <w:r w:rsidRPr="000754FA">
        <w:rPr>
          <w:rFonts w:eastAsiaTheme="majorEastAsia" w:cs="Arial"/>
          <w:color w:val="1E4959"/>
          <w:sz w:val="24"/>
          <w:szCs w:val="22"/>
          <w:u w:val="single"/>
        </w:rPr>
        <w:t>Reserves for Replacement</w:t>
      </w:r>
      <w:r w:rsidRPr="00F83EB0">
        <w:rPr>
          <w:rFonts w:eastAsiaTheme="majorEastAsia" w:cs="Arial"/>
          <w:color w:val="1E4959"/>
          <w:sz w:val="24"/>
          <w:szCs w:val="22"/>
        </w:rPr>
        <w:t>:</w:t>
      </w:r>
      <w:r>
        <w:rPr>
          <w:rFonts w:cs="Arial"/>
          <w:szCs w:val="22"/>
        </w:rPr>
        <w:t xml:space="preserve">  </w:t>
      </w:r>
      <w:r w:rsidRPr="000754FA">
        <w:rPr>
          <w:rFonts w:cs="Arial"/>
          <w:szCs w:val="22"/>
        </w:rPr>
        <w:t xml:space="preserve">Reserves are not typical annual cash expenditures, but rather, the annualized cost of major expense items in the future, such as repair or replacement of the heating and air-conditioning system, landscaping, paving, and roof cover.  A reserve allowance must be established for the replacement of these components, which the owner may be responsible for replacing during the economic life of the building.  The probable future cost of replacing and repairing these items is converted into an annual figure.  The analysis estimates the amount of money which must be set aside on an annual basis in an interest-bearing account to have adequate funds to repair or replace the item at the end of its economic life.  This reflects typical investor behavior as it accounts for the cost which owners incur or the discount from the market's perspective for the deficiency. </w:t>
      </w:r>
    </w:p>
    <w:p w14:paraId="3AF63222" w14:textId="77777777" w:rsidR="00F83EB0" w:rsidRPr="000754FA" w:rsidRDefault="00F83EB0" w:rsidP="00F83EB0">
      <w:pPr>
        <w:rPr>
          <w:rFonts w:cs="Arial"/>
          <w:szCs w:val="22"/>
        </w:rPr>
      </w:pPr>
    </w:p>
    <w:p w14:paraId="11EE1167" w14:textId="77777777" w:rsidR="00F83EB0" w:rsidRPr="000754FA" w:rsidRDefault="00F83EB0" w:rsidP="00F83EB0">
      <w:pPr>
        <w:widowControl w:val="0"/>
        <w:rPr>
          <w:rFonts w:cs="Arial"/>
          <w:szCs w:val="22"/>
        </w:rPr>
      </w:pPr>
      <w:r w:rsidRPr="000754FA">
        <w:rPr>
          <w:rFonts w:cs="Arial"/>
          <w:szCs w:val="22"/>
        </w:rPr>
        <w:t xml:space="preserve">Analysis of the market indicates that investors are allocating a reserve equal to 1.0% to 3.0% of effective gross income depending on the property age, size, condition, quality of construction, and value. Considering the subject's </w:t>
      </w:r>
      <w:r w:rsidRPr="00F83EB0">
        <w:rPr>
          <w:rFonts w:cs="Arial"/>
          <w:szCs w:val="22"/>
          <w:highlight w:val="yellow"/>
        </w:rPr>
        <w:t>age and overall average condition</w:t>
      </w:r>
      <w:r w:rsidRPr="000754FA">
        <w:rPr>
          <w:rFonts w:cs="Arial"/>
          <w:szCs w:val="22"/>
        </w:rPr>
        <w:t xml:space="preserve">, an allocation of </w:t>
      </w:r>
      <w:r w:rsidRPr="00F83EB0">
        <w:rPr>
          <w:rFonts w:cs="Arial"/>
          <w:b/>
          <w:szCs w:val="22"/>
          <w:highlight w:val="yellow"/>
        </w:rPr>
        <w:t>2.0%</w:t>
      </w:r>
      <w:r w:rsidRPr="000754FA">
        <w:rPr>
          <w:rFonts w:cs="Arial"/>
          <w:b/>
          <w:szCs w:val="22"/>
        </w:rPr>
        <w:t xml:space="preserve"> of effective gross income</w:t>
      </w:r>
      <w:r w:rsidRPr="000754FA">
        <w:rPr>
          <w:rFonts w:cs="Arial"/>
          <w:szCs w:val="22"/>
        </w:rPr>
        <w:t xml:space="preserve"> is made for reserves for replacement items for the subject property.</w:t>
      </w:r>
    </w:p>
    <w:p w14:paraId="751E6818" w14:textId="77777777" w:rsidR="00F83EB0" w:rsidRPr="000754FA" w:rsidRDefault="00F83EB0" w:rsidP="00F83EB0">
      <w:pPr>
        <w:keepNext/>
        <w:numPr>
          <w:ilvl w:val="1"/>
          <w:numId w:val="0"/>
        </w:numPr>
        <w:spacing w:before="200" w:line="233" w:lineRule="auto"/>
        <w:outlineLvl w:val="2"/>
        <w:rPr>
          <w:rFonts w:eastAsiaTheme="majorEastAsia" w:cs="Arial"/>
          <w:bCs/>
          <w:color w:val="1E4959"/>
          <w:sz w:val="24"/>
          <w:szCs w:val="22"/>
          <w:u w:val="single"/>
        </w:rPr>
      </w:pPr>
      <w:r>
        <w:rPr>
          <w:rFonts w:eastAsiaTheme="majorEastAsia" w:cs="Arial"/>
          <w:color w:val="1E4959"/>
          <w:sz w:val="24"/>
          <w:szCs w:val="22"/>
          <w:u w:val="single"/>
        </w:rPr>
        <w:t xml:space="preserve">Administration / </w:t>
      </w:r>
      <w:r w:rsidRPr="000754FA">
        <w:rPr>
          <w:rFonts w:eastAsiaTheme="majorEastAsia" w:cs="Arial"/>
          <w:color w:val="1E4959"/>
          <w:sz w:val="24"/>
          <w:szCs w:val="22"/>
          <w:u w:val="single"/>
        </w:rPr>
        <w:t>Management</w:t>
      </w:r>
    </w:p>
    <w:p w14:paraId="2A8C4C18" w14:textId="77777777" w:rsidR="00F83EB0" w:rsidRPr="000754FA" w:rsidRDefault="00F83EB0" w:rsidP="00F83EB0">
      <w:pPr>
        <w:rPr>
          <w:rFonts w:cs="Arial"/>
          <w:szCs w:val="22"/>
        </w:rPr>
      </w:pPr>
      <w:r w:rsidRPr="000754FA">
        <w:rPr>
          <w:rFonts w:cs="Arial"/>
          <w:szCs w:val="22"/>
        </w:rPr>
        <w:t xml:space="preserve">A professional management fee is typically incurred to provide for periodic contact with the tenants, collection of rents, and supervision of required maintenance and replacement items.  Conversations with representatives of property management companies in the market area indicate a range for professional management for </w:t>
      </w:r>
      <w:r w:rsidRPr="00F83EB0">
        <w:rPr>
          <w:rFonts w:cs="Arial"/>
          <w:szCs w:val="22"/>
          <w:highlight w:val="yellow"/>
        </w:rPr>
        <w:t>office properties of 2.0% to 3.0%</w:t>
      </w:r>
      <w:r w:rsidRPr="000754FA">
        <w:rPr>
          <w:rFonts w:cs="Arial"/>
          <w:szCs w:val="22"/>
        </w:rPr>
        <w:t xml:space="preserve"> of effective gross income depending on the property's size, lease structure, and rent levels. </w:t>
      </w:r>
      <w:r>
        <w:rPr>
          <w:rFonts w:cs="Arial"/>
          <w:szCs w:val="22"/>
        </w:rPr>
        <w:t xml:space="preserve">The </w:t>
      </w:r>
      <w:r w:rsidRPr="00F83EB0">
        <w:rPr>
          <w:rFonts w:cs="Arial"/>
          <w:szCs w:val="22"/>
          <w:highlight w:val="yellow"/>
        </w:rPr>
        <w:t>subject owner has reported a management fee of 5.8%</w:t>
      </w:r>
      <w:r>
        <w:rPr>
          <w:rFonts w:cs="Arial"/>
          <w:szCs w:val="22"/>
        </w:rPr>
        <w:t xml:space="preserve"> which appears above market standard. </w:t>
      </w:r>
      <w:r w:rsidRPr="000754FA">
        <w:rPr>
          <w:rFonts w:cs="Arial"/>
          <w:szCs w:val="22"/>
        </w:rPr>
        <w:t xml:space="preserve">Considering the subject's </w:t>
      </w:r>
      <w:r w:rsidRPr="00F83EB0">
        <w:rPr>
          <w:rFonts w:cs="Arial"/>
          <w:szCs w:val="22"/>
          <w:highlight w:val="yellow"/>
        </w:rPr>
        <w:t>moderate size, quality, condition, multi-tenant occupancy</w:t>
      </w:r>
      <w:r>
        <w:rPr>
          <w:rFonts w:cs="Arial"/>
          <w:szCs w:val="22"/>
        </w:rPr>
        <w:t xml:space="preserve"> </w:t>
      </w:r>
      <w:r w:rsidRPr="000754FA">
        <w:rPr>
          <w:rFonts w:cs="Arial"/>
          <w:szCs w:val="22"/>
        </w:rPr>
        <w:t xml:space="preserve">and </w:t>
      </w:r>
      <w:r>
        <w:rPr>
          <w:rFonts w:cs="Arial"/>
          <w:szCs w:val="22"/>
        </w:rPr>
        <w:t>full-service</w:t>
      </w:r>
      <w:r w:rsidRPr="000754FA">
        <w:rPr>
          <w:rFonts w:cs="Arial"/>
          <w:szCs w:val="22"/>
        </w:rPr>
        <w:t xml:space="preserve"> lease structure, a management fee of </w:t>
      </w:r>
      <w:r w:rsidRPr="00F83EB0">
        <w:rPr>
          <w:rFonts w:cs="Arial"/>
          <w:b/>
          <w:szCs w:val="22"/>
          <w:highlight w:val="yellow"/>
        </w:rPr>
        <w:t>3.0%</w:t>
      </w:r>
      <w:r w:rsidRPr="000754FA">
        <w:rPr>
          <w:rFonts w:cs="Arial"/>
          <w:b/>
          <w:szCs w:val="22"/>
        </w:rPr>
        <w:t xml:space="preserve"> of effective gross income</w:t>
      </w:r>
      <w:r w:rsidRPr="000754FA">
        <w:rPr>
          <w:rFonts w:cs="Arial"/>
          <w:szCs w:val="22"/>
        </w:rPr>
        <w:t xml:space="preserve"> is considered</w:t>
      </w:r>
      <w:r>
        <w:rPr>
          <w:rFonts w:cs="Arial"/>
          <w:szCs w:val="22"/>
        </w:rPr>
        <w:t xml:space="preserve"> more</w:t>
      </w:r>
      <w:r w:rsidRPr="000754FA">
        <w:rPr>
          <w:rFonts w:cs="Arial"/>
          <w:szCs w:val="22"/>
        </w:rPr>
        <w:t xml:space="preserve"> reasonable for use in this analysis.</w:t>
      </w:r>
    </w:p>
    <w:p w14:paraId="634FF36F" w14:textId="77777777" w:rsidR="00F83EB0" w:rsidRPr="000754FA" w:rsidRDefault="00F83EB0" w:rsidP="00F83EB0">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Total Operating Expenses</w:t>
      </w:r>
    </w:p>
    <w:p w14:paraId="0D3AC471" w14:textId="323BEDDC" w:rsidR="00F83EB0" w:rsidRPr="007C23B6" w:rsidRDefault="00F83EB0" w:rsidP="00F83EB0">
      <w:pPr>
        <w:rPr>
          <w:rFonts w:cs="Segoe UI"/>
        </w:rPr>
      </w:pPr>
      <w:r w:rsidRPr="00036327">
        <w:rPr>
          <w:rFonts w:cs="Segoe UI"/>
        </w:rPr>
        <w:t xml:space="preserve">Based on the preceding, </w:t>
      </w:r>
      <w:r w:rsidRPr="00036327">
        <w:rPr>
          <w:rFonts w:cs="Segoe UI"/>
          <w:b/>
        </w:rPr>
        <w:t>total stabilized operating expenses</w:t>
      </w:r>
      <w:r w:rsidRPr="00036327">
        <w:rPr>
          <w:rFonts w:cs="Segoe UI"/>
        </w:rPr>
        <w:t xml:space="preserve"> for the subject property of </w:t>
      </w:r>
      <w:r w:rsidRPr="00F83EB0">
        <w:rPr>
          <w:rFonts w:cs="Segoe UI"/>
          <w:b/>
          <w:highlight w:val="yellow"/>
        </w:rPr>
        <w:t xml:space="preserve">$__________ </w:t>
      </w:r>
      <w:r w:rsidRPr="00F83EB0">
        <w:rPr>
          <w:rFonts w:cs="Segoe UI"/>
          <w:highlight w:val="yellow"/>
        </w:rPr>
        <w:t>($______ per SF NRA; ____.__% of EGI)</w:t>
      </w:r>
      <w:r w:rsidRPr="00036327">
        <w:rPr>
          <w:rFonts w:cs="Segoe UI"/>
        </w:rPr>
        <w:t xml:space="preserve"> were considered reasonably supported in this analysis. </w:t>
      </w:r>
    </w:p>
    <w:p w14:paraId="095B3316"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F1687C">
        <w:rPr>
          <w:rFonts w:asciiTheme="minorHAnsi" w:hAnsiTheme="minorHAnsi" w:cs="Arial"/>
          <w:b w:val="0"/>
          <w:color w:val="1E4959"/>
          <w:spacing w:val="0"/>
          <w:kern w:val="20"/>
          <w:sz w:val="28"/>
          <w:szCs w:val="22"/>
        </w:rPr>
        <w:t>Net Operating Income</w:t>
      </w:r>
    </w:p>
    <w:p w14:paraId="0AC390E3" w14:textId="17CDB91A" w:rsidR="005A24B3" w:rsidRPr="000754FA" w:rsidRDefault="005A24B3" w:rsidP="005A24B3">
      <w:pPr>
        <w:rPr>
          <w:rFonts w:cs="Arial"/>
          <w:szCs w:val="22"/>
        </w:rPr>
      </w:pPr>
      <w:r w:rsidRPr="000754FA">
        <w:rPr>
          <w:rFonts w:cs="Arial"/>
          <w:szCs w:val="22"/>
        </w:rPr>
        <w:t xml:space="preserve">Deducting projected annual operating expenses from the annual effective gross income results in a projected </w:t>
      </w:r>
      <w:r w:rsidRPr="000754FA">
        <w:rPr>
          <w:rFonts w:cs="Arial"/>
          <w:b/>
          <w:szCs w:val="22"/>
        </w:rPr>
        <w:t xml:space="preserve">net operating income </w:t>
      </w:r>
      <w:r w:rsidRPr="000754FA">
        <w:rPr>
          <w:rFonts w:cs="Arial"/>
          <w:szCs w:val="22"/>
        </w:rPr>
        <w:t xml:space="preserve">for the subject property of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6D3641">
        <w:rPr>
          <w:rFonts w:cs="Arial"/>
          <w:szCs w:val="22"/>
          <w:highlight w:val="yellow"/>
        </w:rPr>
        <w:t>NR</w:t>
      </w:r>
      <w:r w:rsidR="00B46DD4" w:rsidRPr="00B46DD4">
        <w:rPr>
          <w:rFonts w:cs="Arial"/>
          <w:szCs w:val="22"/>
          <w:highlight w:val="yellow"/>
        </w:rPr>
        <w:t>A)</w:t>
      </w:r>
      <w:r w:rsidR="00B46DD4">
        <w:rPr>
          <w:rFonts w:cs="Arial"/>
          <w:szCs w:val="22"/>
        </w:rPr>
        <w:t xml:space="preserve"> </w:t>
      </w:r>
      <w:r w:rsidRPr="000754FA">
        <w:rPr>
          <w:rFonts w:cs="Arial"/>
          <w:szCs w:val="22"/>
        </w:rPr>
        <w:t xml:space="preserve">as is summarized on a following page. It is at this time that net income can be capitalized into a value estimate. </w:t>
      </w:r>
    </w:p>
    <w:p w14:paraId="0B9A094B"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2F6337E5"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0C642822" w14:textId="77777777" w:rsidR="005A24B3" w:rsidRPr="000754FA" w:rsidRDefault="005A24B3" w:rsidP="005A24B3">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79644EF4" w14:textId="77777777" w:rsidR="005A24B3" w:rsidRPr="000754FA" w:rsidRDefault="005A24B3" w:rsidP="005A24B3">
      <w:pPr>
        <w:rPr>
          <w:rFonts w:cs="Arial"/>
          <w:szCs w:val="22"/>
        </w:rPr>
      </w:pPr>
    </w:p>
    <w:p w14:paraId="04EE9786" w14:textId="2D45C9C6" w:rsidR="00113B80" w:rsidRDefault="005A24B3" w:rsidP="00113B80">
      <w:pPr>
        <w:rPr>
          <w:rFonts w:cs="Arial"/>
          <w:szCs w:val="22"/>
        </w:rPr>
      </w:pPr>
      <w:r w:rsidRPr="000754FA">
        <w:rPr>
          <w:rFonts w:cs="Arial"/>
          <w:szCs w:val="22"/>
        </w:rPr>
        <w:t xml:space="preserve">The primary factors </w:t>
      </w:r>
      <w:r w:rsidRPr="00E955E2">
        <w:rPr>
          <w:rFonts w:cs="Arial"/>
          <w:szCs w:val="22"/>
        </w:rPr>
        <w:t xml:space="preserve">influencing capitalization rates are:  1) The quality and certainty of the net operating income stream; 2) risk factors; 3) physical and locational characteristics of the property; 4) the competitive market position of the property and 5) the potential for future appreciation. </w:t>
      </w:r>
      <w:bookmarkStart w:id="8" w:name="_Hlk41211202"/>
      <w:r w:rsidRPr="00E955E2">
        <w:rPr>
          <w:rFonts w:cs="Arial"/>
          <w:szCs w:val="22"/>
        </w:rPr>
        <w:t>The following chart summarizes the data used to estimate the market capitalization rate applicable to the subject property.</w:t>
      </w:r>
    </w:p>
    <w:p w14:paraId="5037A7A7" w14:textId="77777777" w:rsidR="00113B80" w:rsidRDefault="00113B80" w:rsidP="00113B80">
      <w:pPr>
        <w:rPr>
          <w:rFonts w:cs="Arial"/>
          <w:szCs w:val="22"/>
        </w:rPr>
      </w:pPr>
    </w:p>
    <w:p w14:paraId="02277F73" w14:textId="77777777" w:rsidR="00113B80" w:rsidRDefault="00113B80" w:rsidP="00113B80">
      <w:pPr>
        <w:rPr>
          <w:rFonts w:cs="Arial"/>
          <w:szCs w:val="22"/>
        </w:rPr>
      </w:pPr>
      <w:r w:rsidRPr="00E26156">
        <w:rPr>
          <w:rFonts w:cs="Arial"/>
          <w:szCs w:val="22"/>
          <w:highlight w:val="green"/>
        </w:rPr>
        <w:t>Merge cap rate comparables from CARDS and insert into here (example below)</w:t>
      </w:r>
    </w:p>
    <w:p w14:paraId="46362800" w14:textId="28039316" w:rsidR="006D3641" w:rsidRDefault="006D3641" w:rsidP="006D3641">
      <w:pPr>
        <w:rPr>
          <w:rFonts w:cs="Arial"/>
          <w:szCs w:val="22"/>
        </w:rPr>
      </w:pPr>
    </w:p>
    <w:p w14:paraId="2C2E7036" w14:textId="77777777" w:rsidR="00B8522D" w:rsidRDefault="00B8522D" w:rsidP="006D3641">
      <w:pPr>
        <w:rPr>
          <w:rFonts w:cs="Arial"/>
          <w:szCs w:val="22"/>
        </w:rPr>
      </w:pPr>
    </w:p>
    <w:tbl>
      <w:tblPr>
        <w:tblW w:w="0" w:type="auto"/>
        <w:tblLook w:val="01E0" w:firstRow="1" w:lastRow="1" w:firstColumn="1" w:lastColumn="1" w:noHBand="0" w:noVBand="0"/>
      </w:tblPr>
      <w:tblGrid>
        <w:gridCol w:w="817"/>
        <w:gridCol w:w="2333"/>
        <w:gridCol w:w="1054"/>
        <w:gridCol w:w="1391"/>
        <w:gridCol w:w="1176"/>
        <w:gridCol w:w="1681"/>
        <w:gridCol w:w="908"/>
      </w:tblGrid>
      <w:tr w:rsidR="006D3641" w:rsidRPr="00EE6F4E" w14:paraId="504DA6DC" w14:textId="77777777" w:rsidTr="001222E0">
        <w:tc>
          <w:tcPr>
            <w:tcW w:w="817" w:type="dxa"/>
            <w:tcBorders>
              <w:bottom w:val="single" w:sz="24" w:space="0" w:color="3FB44F"/>
            </w:tcBorders>
            <w:shd w:val="clear" w:color="auto" w:fill="1E4959"/>
            <w:vAlign w:val="bottom"/>
          </w:tcPr>
          <w:bookmarkEnd w:id="8"/>
          <w:p w14:paraId="26A974CC"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333" w:type="dxa"/>
            <w:tcBorders>
              <w:bottom w:val="single" w:sz="24" w:space="0" w:color="3FB44F"/>
            </w:tcBorders>
            <w:shd w:val="clear" w:color="auto" w:fill="1E4959"/>
            <w:vAlign w:val="bottom"/>
          </w:tcPr>
          <w:p w14:paraId="4DF2860F" w14:textId="77777777" w:rsidR="006D3641" w:rsidRPr="00674D31" w:rsidRDefault="006D3641" w:rsidP="001222E0">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1054" w:type="dxa"/>
            <w:tcBorders>
              <w:bottom w:val="single" w:sz="24" w:space="0" w:color="3FB44F"/>
            </w:tcBorders>
            <w:shd w:val="clear" w:color="auto" w:fill="1E4959"/>
            <w:vAlign w:val="bottom"/>
          </w:tcPr>
          <w:p w14:paraId="6C0DC005"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668C6019"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76" w:type="dxa"/>
            <w:tcBorders>
              <w:bottom w:val="single" w:sz="24" w:space="0" w:color="3FB44F"/>
            </w:tcBorders>
            <w:shd w:val="clear" w:color="auto" w:fill="1E4959"/>
            <w:vAlign w:val="bottom"/>
          </w:tcPr>
          <w:p w14:paraId="324F88A8" w14:textId="77777777" w:rsidR="006D364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303A6C40" w14:textId="77777777" w:rsidR="006D3641" w:rsidRPr="00674D3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681" w:type="dxa"/>
            <w:tcBorders>
              <w:bottom w:val="single" w:sz="24" w:space="0" w:color="3FB44F"/>
            </w:tcBorders>
            <w:shd w:val="clear" w:color="auto" w:fill="1E4959"/>
            <w:vAlign w:val="bottom"/>
          </w:tcPr>
          <w:p w14:paraId="4C579736"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08" w:type="dxa"/>
            <w:tcBorders>
              <w:bottom w:val="single" w:sz="24" w:space="0" w:color="3FB44F"/>
            </w:tcBorders>
            <w:shd w:val="clear" w:color="auto" w:fill="1E4959"/>
            <w:vAlign w:val="bottom"/>
          </w:tcPr>
          <w:p w14:paraId="5750C2CA"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6D3641" w:rsidRPr="008E30FA" w14:paraId="5E988780" w14:textId="77777777" w:rsidTr="001222E0">
        <w:tc>
          <w:tcPr>
            <w:tcW w:w="817" w:type="dxa"/>
            <w:tcBorders>
              <w:bottom w:val="single" w:sz="4" w:space="0" w:color="auto"/>
              <w:right w:val="single" w:sz="2" w:space="0" w:color="auto"/>
            </w:tcBorders>
            <w:shd w:val="clear" w:color="auto" w:fill="auto"/>
          </w:tcPr>
          <w:p w14:paraId="4E0719D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A</w:t>
            </w:r>
          </w:p>
        </w:tc>
        <w:tc>
          <w:tcPr>
            <w:tcW w:w="2333" w:type="dxa"/>
            <w:tcBorders>
              <w:left w:val="single" w:sz="2" w:space="0" w:color="auto"/>
              <w:bottom w:val="single" w:sz="4" w:space="0" w:color="auto"/>
              <w:right w:val="single" w:sz="2" w:space="0" w:color="auto"/>
            </w:tcBorders>
            <w:shd w:val="clear" w:color="auto" w:fill="auto"/>
          </w:tcPr>
          <w:p w14:paraId="017737BC"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Kids Incorporated Learning Center</w:t>
            </w:r>
            <w:r w:rsidRPr="008E30FA">
              <w:rPr>
                <w:rFonts w:ascii="Calibri" w:hAnsi="Calibri" w:cs="Arial"/>
                <w:sz w:val="20"/>
                <w:highlight w:val="yellow"/>
              </w:rPr>
              <w:br/>
              <w:t>18425 NW Walker Road</w:t>
            </w:r>
            <w:r w:rsidRPr="008E30FA">
              <w:rPr>
                <w:rFonts w:ascii="Calibri" w:hAnsi="Calibri" w:cs="Arial"/>
                <w:sz w:val="20"/>
                <w:highlight w:val="yellow"/>
              </w:rPr>
              <w:br/>
              <w:t>Beaverton, OR</w:t>
            </w:r>
          </w:p>
        </w:tc>
        <w:tc>
          <w:tcPr>
            <w:tcW w:w="1054" w:type="dxa"/>
            <w:tcBorders>
              <w:left w:val="single" w:sz="2" w:space="0" w:color="auto"/>
              <w:bottom w:val="single" w:sz="4" w:space="0" w:color="auto"/>
            </w:tcBorders>
            <w:shd w:val="clear" w:color="auto" w:fill="auto"/>
          </w:tcPr>
          <w:p w14:paraId="55A1C69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03/20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3A4D726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482A473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18FAB72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$1,385,370</w:t>
            </w:r>
          </w:p>
        </w:tc>
        <w:tc>
          <w:tcPr>
            <w:tcW w:w="908" w:type="dxa"/>
            <w:tcBorders>
              <w:left w:val="single" w:sz="2" w:space="0" w:color="auto"/>
              <w:bottom w:val="single" w:sz="4" w:space="0" w:color="auto"/>
            </w:tcBorders>
            <w:shd w:val="clear" w:color="auto" w:fill="auto"/>
          </w:tcPr>
          <w:p w14:paraId="65508F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7.05 %</w:t>
            </w:r>
          </w:p>
        </w:tc>
      </w:tr>
      <w:tr w:rsidR="006D3641" w:rsidRPr="008E30FA" w14:paraId="4597F664" w14:textId="77777777" w:rsidTr="001222E0">
        <w:tc>
          <w:tcPr>
            <w:tcW w:w="817" w:type="dxa"/>
            <w:tcBorders>
              <w:bottom w:val="single" w:sz="4" w:space="0" w:color="auto"/>
              <w:right w:val="single" w:sz="2" w:space="0" w:color="auto"/>
            </w:tcBorders>
            <w:shd w:val="clear" w:color="auto" w:fill="auto"/>
          </w:tcPr>
          <w:p w14:paraId="1C93137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B</w:t>
            </w:r>
          </w:p>
        </w:tc>
        <w:tc>
          <w:tcPr>
            <w:tcW w:w="2333" w:type="dxa"/>
            <w:tcBorders>
              <w:left w:val="single" w:sz="2" w:space="0" w:color="auto"/>
              <w:bottom w:val="single" w:sz="4" w:space="0" w:color="auto"/>
              <w:right w:val="single" w:sz="2" w:space="0" w:color="auto"/>
            </w:tcBorders>
            <w:shd w:val="clear" w:color="auto" w:fill="auto"/>
          </w:tcPr>
          <w:p w14:paraId="515F82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None</w:t>
            </w:r>
            <w:r w:rsidRPr="008E30FA">
              <w:rPr>
                <w:rFonts w:ascii="Calibri" w:hAnsi="Calibri" w:cs="Arial"/>
                <w:sz w:val="20"/>
                <w:highlight w:val="yellow"/>
              </w:rPr>
              <w:br/>
              <w:t>7304 N. Leavitt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580BCAF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577634B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1924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6CD0C87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5,000</w:t>
            </w:r>
          </w:p>
        </w:tc>
        <w:tc>
          <w:tcPr>
            <w:tcW w:w="1681" w:type="dxa"/>
            <w:tcBorders>
              <w:bottom w:val="single" w:sz="4" w:space="0" w:color="auto"/>
              <w:right w:val="single" w:sz="2" w:space="0" w:color="auto"/>
            </w:tcBorders>
            <w:shd w:val="clear" w:color="auto" w:fill="auto"/>
          </w:tcPr>
          <w:p w14:paraId="20A746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$1,150,000</w:t>
            </w:r>
          </w:p>
        </w:tc>
        <w:tc>
          <w:tcPr>
            <w:tcW w:w="908" w:type="dxa"/>
            <w:tcBorders>
              <w:left w:val="single" w:sz="2" w:space="0" w:color="auto"/>
              <w:bottom w:val="single" w:sz="4" w:space="0" w:color="auto"/>
            </w:tcBorders>
            <w:shd w:val="clear" w:color="auto" w:fill="auto"/>
          </w:tcPr>
          <w:p w14:paraId="4C431C0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5.88 %</w:t>
            </w:r>
          </w:p>
        </w:tc>
      </w:tr>
      <w:tr w:rsidR="006D3641" w:rsidRPr="008E30FA" w14:paraId="0A826639" w14:textId="77777777" w:rsidTr="001222E0">
        <w:tc>
          <w:tcPr>
            <w:tcW w:w="817" w:type="dxa"/>
            <w:tcBorders>
              <w:top w:val="single" w:sz="4" w:space="0" w:color="auto"/>
              <w:bottom w:val="single" w:sz="4" w:space="0" w:color="auto"/>
              <w:right w:val="single" w:sz="2" w:space="0" w:color="auto"/>
            </w:tcBorders>
            <w:shd w:val="clear" w:color="auto" w:fill="auto"/>
          </w:tcPr>
          <w:p w14:paraId="71D421B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C</w:t>
            </w:r>
          </w:p>
        </w:tc>
        <w:tc>
          <w:tcPr>
            <w:tcW w:w="2333" w:type="dxa"/>
            <w:tcBorders>
              <w:top w:val="single" w:sz="4" w:space="0" w:color="auto"/>
              <w:left w:val="single" w:sz="2" w:space="0" w:color="auto"/>
              <w:bottom w:val="single" w:sz="4" w:space="0" w:color="auto"/>
              <w:right w:val="single" w:sz="2" w:space="0" w:color="auto"/>
            </w:tcBorders>
            <w:shd w:val="clear" w:color="auto" w:fill="auto"/>
          </w:tcPr>
          <w:p w14:paraId="721F071B"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 xml:space="preserve">Guidepost Montessori </w:t>
            </w:r>
            <w:r w:rsidRPr="008E30FA">
              <w:rPr>
                <w:rFonts w:ascii="Calibri" w:hAnsi="Calibri" w:cs="Arial"/>
                <w:sz w:val="20"/>
                <w:highlight w:val="yellow"/>
              </w:rPr>
              <w:br/>
              <w:t>9945 SW Beaverton Hillsdale Highway</w:t>
            </w:r>
            <w:r w:rsidRPr="008E30FA">
              <w:rPr>
                <w:rFonts w:ascii="Calibri" w:hAnsi="Calibri" w:cs="Arial"/>
                <w:sz w:val="20"/>
                <w:highlight w:val="yellow"/>
              </w:rPr>
              <w:br/>
              <w:t>Beaverton, OR</w:t>
            </w:r>
          </w:p>
        </w:tc>
        <w:tc>
          <w:tcPr>
            <w:tcW w:w="1054" w:type="dxa"/>
            <w:tcBorders>
              <w:top w:val="single" w:sz="4" w:space="0" w:color="auto"/>
              <w:left w:val="single" w:sz="2" w:space="0" w:color="auto"/>
              <w:bottom w:val="single" w:sz="4" w:space="0" w:color="auto"/>
            </w:tcBorders>
            <w:shd w:val="clear" w:color="auto" w:fill="auto"/>
          </w:tcPr>
          <w:p w14:paraId="2B60808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r>
          </w:p>
        </w:tc>
        <w:tc>
          <w:tcPr>
            <w:tcW w:w="1391" w:type="dxa"/>
            <w:tcBorders>
              <w:top w:val="single" w:sz="4" w:space="0" w:color="auto"/>
              <w:bottom w:val="single" w:sz="4" w:space="0" w:color="auto"/>
            </w:tcBorders>
            <w:shd w:val="clear" w:color="auto" w:fill="auto"/>
          </w:tcPr>
          <w:p w14:paraId="302FC6A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2019</w:t>
            </w:r>
            <w:r w:rsidRPr="008E30FA">
              <w:rPr>
                <w:rFonts w:ascii="Calibri" w:hAnsi="Calibri" w:cs="Arial"/>
                <w:sz w:val="20"/>
                <w:highlight w:val="yellow"/>
              </w:rPr>
              <w:br/>
              <w:t xml:space="preserve"> </w:t>
            </w:r>
          </w:p>
        </w:tc>
        <w:tc>
          <w:tcPr>
            <w:tcW w:w="1176" w:type="dxa"/>
            <w:tcBorders>
              <w:top w:val="single" w:sz="4" w:space="0" w:color="auto"/>
              <w:bottom w:val="single" w:sz="4" w:space="0" w:color="auto"/>
            </w:tcBorders>
            <w:shd w:val="clear" w:color="auto" w:fill="auto"/>
          </w:tcPr>
          <w:p w14:paraId="33E41DE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6,074</w:t>
            </w:r>
          </w:p>
        </w:tc>
        <w:tc>
          <w:tcPr>
            <w:tcW w:w="1681" w:type="dxa"/>
            <w:tcBorders>
              <w:top w:val="single" w:sz="4" w:space="0" w:color="auto"/>
              <w:bottom w:val="single" w:sz="4" w:space="0" w:color="auto"/>
              <w:right w:val="single" w:sz="2" w:space="0" w:color="auto"/>
            </w:tcBorders>
            <w:shd w:val="clear" w:color="auto" w:fill="auto"/>
          </w:tcPr>
          <w:p w14:paraId="515BF3B8"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$3,761,000</w:t>
            </w:r>
          </w:p>
        </w:tc>
        <w:tc>
          <w:tcPr>
            <w:tcW w:w="908" w:type="dxa"/>
            <w:tcBorders>
              <w:top w:val="single" w:sz="4" w:space="0" w:color="auto"/>
              <w:left w:val="single" w:sz="2" w:space="0" w:color="auto"/>
              <w:bottom w:val="single" w:sz="4" w:space="0" w:color="auto"/>
            </w:tcBorders>
            <w:shd w:val="clear" w:color="auto" w:fill="auto"/>
          </w:tcPr>
          <w:p w14:paraId="4FA1BAA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5.56 %</w:t>
            </w:r>
          </w:p>
        </w:tc>
      </w:tr>
      <w:tr w:rsidR="006D3641" w:rsidRPr="008E30FA" w14:paraId="0C614157" w14:textId="77777777" w:rsidTr="001222E0">
        <w:tc>
          <w:tcPr>
            <w:tcW w:w="817" w:type="dxa"/>
            <w:tcBorders>
              <w:bottom w:val="single" w:sz="4" w:space="0" w:color="auto"/>
              <w:right w:val="single" w:sz="2" w:space="0" w:color="auto"/>
            </w:tcBorders>
            <w:shd w:val="clear" w:color="auto" w:fill="auto"/>
          </w:tcPr>
          <w:p w14:paraId="47984C1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D</w:t>
            </w:r>
          </w:p>
        </w:tc>
        <w:tc>
          <w:tcPr>
            <w:tcW w:w="2333" w:type="dxa"/>
            <w:tcBorders>
              <w:left w:val="single" w:sz="2" w:space="0" w:color="auto"/>
              <w:bottom w:val="single" w:sz="4" w:space="0" w:color="auto"/>
              <w:right w:val="single" w:sz="2" w:space="0" w:color="auto"/>
            </w:tcBorders>
            <w:shd w:val="clear" w:color="auto" w:fill="auto"/>
          </w:tcPr>
          <w:p w14:paraId="38AC98E0"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Key Bank</w:t>
            </w:r>
            <w:r w:rsidRPr="008E30FA">
              <w:rPr>
                <w:rFonts w:ascii="Calibri" w:hAnsi="Calibri" w:cs="Arial"/>
                <w:sz w:val="20"/>
                <w:highlight w:val="yellow"/>
              </w:rPr>
              <w:br/>
              <w:t>11665 SW Pacific Hwy.</w:t>
            </w:r>
            <w:r w:rsidRPr="008E30FA">
              <w:rPr>
                <w:rFonts w:ascii="Calibri" w:hAnsi="Calibri" w:cs="Arial"/>
                <w:sz w:val="20"/>
                <w:highlight w:val="yellow"/>
              </w:rPr>
              <w:br/>
              <w:t>Tigard, OR</w:t>
            </w:r>
          </w:p>
        </w:tc>
        <w:tc>
          <w:tcPr>
            <w:tcW w:w="1054" w:type="dxa"/>
            <w:tcBorders>
              <w:left w:val="single" w:sz="2" w:space="0" w:color="auto"/>
              <w:bottom w:val="single" w:sz="4" w:space="0" w:color="auto"/>
            </w:tcBorders>
            <w:shd w:val="clear" w:color="auto" w:fill="auto"/>
          </w:tcPr>
          <w:p w14:paraId="5071A6E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331C205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1976</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591092B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5,472</w:t>
            </w:r>
          </w:p>
        </w:tc>
        <w:tc>
          <w:tcPr>
            <w:tcW w:w="1681" w:type="dxa"/>
            <w:tcBorders>
              <w:bottom w:val="single" w:sz="4" w:space="0" w:color="auto"/>
              <w:right w:val="single" w:sz="2" w:space="0" w:color="auto"/>
            </w:tcBorders>
            <w:shd w:val="clear" w:color="auto" w:fill="auto"/>
          </w:tcPr>
          <w:p w14:paraId="6BD8BD9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$2,300,000</w:t>
            </w:r>
          </w:p>
        </w:tc>
        <w:tc>
          <w:tcPr>
            <w:tcW w:w="908" w:type="dxa"/>
            <w:tcBorders>
              <w:left w:val="single" w:sz="2" w:space="0" w:color="auto"/>
              <w:bottom w:val="single" w:sz="4" w:space="0" w:color="auto"/>
            </w:tcBorders>
            <w:shd w:val="clear" w:color="auto" w:fill="auto"/>
          </w:tcPr>
          <w:p w14:paraId="74EEE8A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4.57 %</w:t>
            </w:r>
          </w:p>
        </w:tc>
      </w:tr>
      <w:tr w:rsidR="006D3641" w:rsidRPr="008E30FA" w14:paraId="15514722" w14:textId="77777777" w:rsidTr="001222E0">
        <w:tc>
          <w:tcPr>
            <w:tcW w:w="817" w:type="dxa"/>
            <w:tcBorders>
              <w:bottom w:val="single" w:sz="4" w:space="0" w:color="auto"/>
              <w:right w:val="single" w:sz="2" w:space="0" w:color="auto"/>
            </w:tcBorders>
            <w:shd w:val="clear" w:color="auto" w:fill="auto"/>
          </w:tcPr>
          <w:p w14:paraId="0A14704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E</w:t>
            </w:r>
          </w:p>
        </w:tc>
        <w:tc>
          <w:tcPr>
            <w:tcW w:w="2333" w:type="dxa"/>
            <w:tcBorders>
              <w:left w:val="single" w:sz="2" w:space="0" w:color="auto"/>
              <w:bottom w:val="single" w:sz="4" w:space="0" w:color="auto"/>
              <w:right w:val="single" w:sz="2" w:space="0" w:color="auto"/>
            </w:tcBorders>
            <w:shd w:val="clear" w:color="auto" w:fill="auto"/>
          </w:tcPr>
          <w:p w14:paraId="4D2383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SE 135th Comm. Building</w:t>
            </w:r>
            <w:r w:rsidRPr="008E30FA">
              <w:rPr>
                <w:rFonts w:ascii="Calibri" w:hAnsi="Calibri" w:cs="Arial"/>
                <w:sz w:val="20"/>
                <w:highlight w:val="yellow"/>
              </w:rPr>
              <w:br/>
              <w:t>15679 SE 135th Avenue</w:t>
            </w:r>
            <w:r w:rsidRPr="008E30FA">
              <w:rPr>
                <w:rFonts w:ascii="Calibri" w:hAnsi="Calibri" w:cs="Arial"/>
                <w:sz w:val="20"/>
                <w:highlight w:val="yellow"/>
              </w:rPr>
              <w:br/>
              <w:t>Clackamas, OR</w:t>
            </w:r>
          </w:p>
        </w:tc>
        <w:tc>
          <w:tcPr>
            <w:tcW w:w="1054" w:type="dxa"/>
            <w:tcBorders>
              <w:left w:val="single" w:sz="2" w:space="0" w:color="auto"/>
              <w:bottom w:val="single" w:sz="4" w:space="0" w:color="auto"/>
            </w:tcBorders>
            <w:shd w:val="clear" w:color="auto" w:fill="auto"/>
          </w:tcPr>
          <w:p w14:paraId="666637FF"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7A7F220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2003</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7A49521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10,000</w:t>
            </w:r>
          </w:p>
        </w:tc>
        <w:tc>
          <w:tcPr>
            <w:tcW w:w="1681" w:type="dxa"/>
            <w:tcBorders>
              <w:bottom w:val="single" w:sz="4" w:space="0" w:color="auto"/>
              <w:right w:val="single" w:sz="2" w:space="0" w:color="auto"/>
            </w:tcBorders>
            <w:shd w:val="clear" w:color="auto" w:fill="auto"/>
          </w:tcPr>
          <w:p w14:paraId="69DE22D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$2,100,000</w:t>
            </w:r>
          </w:p>
        </w:tc>
        <w:tc>
          <w:tcPr>
            <w:tcW w:w="908" w:type="dxa"/>
            <w:tcBorders>
              <w:left w:val="single" w:sz="2" w:space="0" w:color="auto"/>
              <w:bottom w:val="single" w:sz="4" w:space="0" w:color="auto"/>
            </w:tcBorders>
            <w:shd w:val="clear" w:color="auto" w:fill="auto"/>
          </w:tcPr>
          <w:p w14:paraId="09EAF1F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6.23 %</w:t>
            </w:r>
          </w:p>
        </w:tc>
      </w:tr>
      <w:tr w:rsidR="006D3641" w:rsidRPr="008E30FA" w14:paraId="45E00447" w14:textId="77777777" w:rsidTr="001222E0">
        <w:tc>
          <w:tcPr>
            <w:tcW w:w="817" w:type="dxa"/>
            <w:tcBorders>
              <w:bottom w:val="single" w:sz="4" w:space="0" w:color="auto"/>
              <w:right w:val="single" w:sz="2" w:space="0" w:color="auto"/>
            </w:tcBorders>
            <w:shd w:val="clear" w:color="auto" w:fill="auto"/>
          </w:tcPr>
          <w:p w14:paraId="6A2291E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F</w:t>
            </w:r>
          </w:p>
        </w:tc>
        <w:tc>
          <w:tcPr>
            <w:tcW w:w="2333" w:type="dxa"/>
            <w:tcBorders>
              <w:left w:val="single" w:sz="2" w:space="0" w:color="auto"/>
              <w:bottom w:val="single" w:sz="4" w:space="0" w:color="auto"/>
              <w:right w:val="single" w:sz="2" w:space="0" w:color="auto"/>
            </w:tcBorders>
            <w:shd w:val="clear" w:color="auto" w:fill="auto"/>
          </w:tcPr>
          <w:p w14:paraId="4B435D39"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North Williams Chiropractic Clinic</w:t>
            </w:r>
            <w:r w:rsidRPr="008E30FA">
              <w:rPr>
                <w:rFonts w:ascii="Calibri" w:hAnsi="Calibri" w:cs="Arial"/>
                <w:sz w:val="20"/>
                <w:highlight w:val="yellow"/>
              </w:rPr>
              <w:br/>
              <w:t>3220 N. Williams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725C30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09/19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55BF20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1986</w:t>
            </w:r>
            <w:r w:rsidRPr="008E30FA">
              <w:rPr>
                <w:rFonts w:ascii="Calibri" w:hAnsi="Calibri" w:cs="Arial"/>
                <w:sz w:val="20"/>
                <w:highlight w:val="yellow"/>
              </w:rPr>
              <w:br/>
              <w:t xml:space="preserve"> (2012)</w:t>
            </w:r>
          </w:p>
        </w:tc>
        <w:tc>
          <w:tcPr>
            <w:tcW w:w="1176" w:type="dxa"/>
            <w:tcBorders>
              <w:bottom w:val="single" w:sz="4" w:space="0" w:color="auto"/>
            </w:tcBorders>
            <w:shd w:val="clear" w:color="auto" w:fill="auto"/>
          </w:tcPr>
          <w:p w14:paraId="2049379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4,436</w:t>
            </w:r>
          </w:p>
        </w:tc>
        <w:tc>
          <w:tcPr>
            <w:tcW w:w="1681" w:type="dxa"/>
            <w:tcBorders>
              <w:bottom w:val="single" w:sz="4" w:space="0" w:color="auto"/>
              <w:right w:val="single" w:sz="2" w:space="0" w:color="auto"/>
            </w:tcBorders>
            <w:shd w:val="clear" w:color="auto" w:fill="auto"/>
          </w:tcPr>
          <w:p w14:paraId="33E5C73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$2,250,000</w:t>
            </w:r>
          </w:p>
        </w:tc>
        <w:tc>
          <w:tcPr>
            <w:tcW w:w="908" w:type="dxa"/>
            <w:tcBorders>
              <w:left w:val="single" w:sz="2" w:space="0" w:color="auto"/>
              <w:bottom w:val="single" w:sz="4" w:space="0" w:color="auto"/>
            </w:tcBorders>
            <w:shd w:val="clear" w:color="auto" w:fill="auto"/>
          </w:tcPr>
          <w:p w14:paraId="11174C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5.73 %</w:t>
            </w:r>
          </w:p>
        </w:tc>
      </w:tr>
      <w:tr w:rsidR="006D3641" w:rsidRPr="008E30FA" w14:paraId="656CC78A" w14:textId="77777777" w:rsidTr="001222E0">
        <w:tc>
          <w:tcPr>
            <w:tcW w:w="817" w:type="dxa"/>
            <w:tcBorders>
              <w:bottom w:val="single" w:sz="4" w:space="0" w:color="auto"/>
              <w:right w:val="single" w:sz="2" w:space="0" w:color="auto"/>
            </w:tcBorders>
            <w:shd w:val="clear" w:color="auto" w:fill="auto"/>
          </w:tcPr>
          <w:p w14:paraId="3E10EFD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G</w:t>
            </w:r>
          </w:p>
        </w:tc>
        <w:tc>
          <w:tcPr>
            <w:tcW w:w="2333" w:type="dxa"/>
            <w:tcBorders>
              <w:left w:val="single" w:sz="2" w:space="0" w:color="auto"/>
              <w:bottom w:val="single" w:sz="4" w:space="0" w:color="auto"/>
              <w:right w:val="single" w:sz="2" w:space="0" w:color="auto"/>
            </w:tcBorders>
            <w:shd w:val="clear" w:color="auto" w:fill="auto"/>
          </w:tcPr>
          <w:p w14:paraId="2ACDA8A1"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Plaza 125 Office Condo</w:t>
            </w:r>
            <w:r w:rsidRPr="008E30FA">
              <w:rPr>
                <w:rFonts w:ascii="Calibri" w:hAnsi="Calibri" w:cs="Arial"/>
                <w:sz w:val="20"/>
                <w:highlight w:val="yellow"/>
              </w:rPr>
              <w:br/>
              <w:t>12630 SE Stark Street</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2ECAF1B2"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3AA6FEE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1980</w:t>
            </w:r>
            <w:r w:rsidRPr="008E30FA">
              <w:rPr>
                <w:rFonts w:ascii="Calibri" w:hAnsi="Calibri" w:cs="Arial"/>
                <w:sz w:val="20"/>
                <w:highlight w:val="yellow"/>
              </w:rPr>
              <w:br/>
              <w:t xml:space="preserve"> (2005)</w:t>
            </w:r>
          </w:p>
        </w:tc>
        <w:tc>
          <w:tcPr>
            <w:tcW w:w="1176" w:type="dxa"/>
            <w:tcBorders>
              <w:bottom w:val="single" w:sz="4" w:space="0" w:color="auto"/>
            </w:tcBorders>
            <w:shd w:val="clear" w:color="auto" w:fill="auto"/>
          </w:tcPr>
          <w:p w14:paraId="338D911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59045A3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$1,450,000</w:t>
            </w:r>
          </w:p>
        </w:tc>
        <w:tc>
          <w:tcPr>
            <w:tcW w:w="908" w:type="dxa"/>
            <w:tcBorders>
              <w:left w:val="single" w:sz="2" w:space="0" w:color="auto"/>
              <w:bottom w:val="single" w:sz="4" w:space="0" w:color="auto"/>
            </w:tcBorders>
            <w:shd w:val="clear" w:color="auto" w:fill="auto"/>
          </w:tcPr>
          <w:p w14:paraId="17063D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6.77 %</w:t>
            </w:r>
          </w:p>
        </w:tc>
      </w:tr>
      <w:tr w:rsidR="006D3641" w:rsidRPr="008E30FA" w14:paraId="45603E75" w14:textId="77777777" w:rsidTr="001222E0">
        <w:tc>
          <w:tcPr>
            <w:tcW w:w="817" w:type="dxa"/>
            <w:tcBorders>
              <w:bottom w:val="single" w:sz="4" w:space="0" w:color="auto"/>
              <w:right w:val="single" w:sz="2" w:space="0" w:color="auto"/>
            </w:tcBorders>
            <w:shd w:val="clear" w:color="auto" w:fill="auto"/>
          </w:tcPr>
          <w:p w14:paraId="192FE02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H</w:t>
            </w:r>
          </w:p>
        </w:tc>
        <w:tc>
          <w:tcPr>
            <w:tcW w:w="2333" w:type="dxa"/>
            <w:tcBorders>
              <w:left w:val="single" w:sz="2" w:space="0" w:color="auto"/>
              <w:bottom w:val="single" w:sz="4" w:space="0" w:color="auto"/>
              <w:right w:val="single" w:sz="2" w:space="0" w:color="auto"/>
            </w:tcBorders>
            <w:shd w:val="clear" w:color="auto" w:fill="auto"/>
          </w:tcPr>
          <w:p w14:paraId="5CB7555E"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Sunset Crossing</w:t>
            </w:r>
            <w:r w:rsidRPr="008E30FA">
              <w:rPr>
                <w:rFonts w:ascii="Calibri" w:hAnsi="Calibri" w:cs="Arial"/>
                <w:sz w:val="20"/>
                <w:highlight w:val="yellow"/>
              </w:rPr>
              <w:br/>
              <w:t>16679 Boones Ferry Road</w:t>
            </w:r>
            <w:r w:rsidRPr="008E30FA">
              <w:rPr>
                <w:rFonts w:ascii="Calibri" w:hAnsi="Calibri" w:cs="Arial"/>
                <w:sz w:val="20"/>
                <w:highlight w:val="yellow"/>
              </w:rPr>
              <w:br/>
              <w:t>Lake Oswego, OR</w:t>
            </w:r>
          </w:p>
        </w:tc>
        <w:tc>
          <w:tcPr>
            <w:tcW w:w="1054" w:type="dxa"/>
            <w:tcBorders>
              <w:left w:val="single" w:sz="2" w:space="0" w:color="auto"/>
              <w:bottom w:val="single" w:sz="4" w:space="0" w:color="auto"/>
            </w:tcBorders>
            <w:shd w:val="clear" w:color="auto" w:fill="auto"/>
          </w:tcPr>
          <w:p w14:paraId="0052D42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04A1062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2005</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3075CBE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8,743</w:t>
            </w:r>
          </w:p>
        </w:tc>
        <w:tc>
          <w:tcPr>
            <w:tcW w:w="1681" w:type="dxa"/>
            <w:tcBorders>
              <w:bottom w:val="single" w:sz="4" w:space="0" w:color="auto"/>
              <w:right w:val="single" w:sz="2" w:space="0" w:color="auto"/>
            </w:tcBorders>
            <w:shd w:val="clear" w:color="auto" w:fill="auto"/>
          </w:tcPr>
          <w:p w14:paraId="321D2F6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$4,260,000</w:t>
            </w:r>
          </w:p>
        </w:tc>
        <w:tc>
          <w:tcPr>
            <w:tcW w:w="908" w:type="dxa"/>
            <w:tcBorders>
              <w:left w:val="single" w:sz="2" w:space="0" w:color="auto"/>
              <w:bottom w:val="single" w:sz="4" w:space="0" w:color="auto"/>
            </w:tcBorders>
            <w:shd w:val="clear" w:color="auto" w:fill="auto"/>
          </w:tcPr>
          <w:p w14:paraId="24B16AF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5.08 %</w:t>
            </w:r>
          </w:p>
        </w:tc>
      </w:tr>
    </w:tbl>
    <w:p w14:paraId="1848F8B8" w14:textId="77777777" w:rsidR="006D3641" w:rsidRDefault="006D3641" w:rsidP="006D3641">
      <w:pPr>
        <w:widowControl w:val="0"/>
        <w:spacing w:before="120"/>
        <w:rPr>
          <w:rFonts w:cs="Segoe UI"/>
        </w:rPr>
      </w:pPr>
    </w:p>
    <w:p w14:paraId="6B5BE324" w14:textId="77777777" w:rsidR="006D3641" w:rsidRPr="000754FA" w:rsidRDefault="006D3641" w:rsidP="006D3641">
      <w:pPr>
        <w:keepNext/>
        <w:numPr>
          <w:ilvl w:val="1"/>
          <w:numId w:val="0"/>
        </w:numPr>
        <w:spacing w:before="200" w:line="233" w:lineRule="auto"/>
        <w:outlineLvl w:val="2"/>
        <w:rPr>
          <w:rFonts w:eastAsiaTheme="majorEastAsia" w:cs="Arial"/>
          <w:bCs/>
          <w:iCs/>
          <w:color w:val="1E4959"/>
          <w:sz w:val="24"/>
          <w:szCs w:val="22"/>
          <w:u w:val="single"/>
        </w:rPr>
      </w:pPr>
      <w:r w:rsidRPr="000754FA">
        <w:rPr>
          <w:rFonts w:eastAsiaTheme="majorEastAsia" w:cs="Arial"/>
          <w:iCs/>
          <w:color w:val="1E4959"/>
          <w:sz w:val="24"/>
          <w:szCs w:val="22"/>
          <w:u w:val="single"/>
        </w:rPr>
        <w:t>Cap Rate Conclusion</w:t>
      </w:r>
    </w:p>
    <w:p w14:paraId="5579A802" w14:textId="7F477945" w:rsidR="005A24B3" w:rsidRPr="001433D6" w:rsidRDefault="005A24B3" w:rsidP="005A24B3">
      <w:pPr>
        <w:rPr>
          <w:rFonts w:cs="Arial"/>
          <w:szCs w:val="22"/>
        </w:rPr>
      </w:pPr>
      <w:r w:rsidRPr="006E4B39">
        <w:rPr>
          <w:rFonts w:cs="Arial"/>
          <w:szCs w:val="22"/>
        </w:rPr>
        <w:t xml:space="preserve">The surveyed improved sales data indicate a range of capitalization rates from </w:t>
      </w:r>
      <w:r w:rsidR="00B46DD4">
        <w:rPr>
          <w:rFonts w:cs="Arial"/>
          <w:szCs w:val="22"/>
          <w:highlight w:val="yellow"/>
        </w:rPr>
        <w:t>______</w:t>
      </w:r>
      <w:r w:rsidRPr="00B46DD4">
        <w:rPr>
          <w:rFonts w:cs="Arial"/>
          <w:szCs w:val="22"/>
          <w:highlight w:val="yellow"/>
        </w:rPr>
        <w:t xml:space="preserve">% to </w:t>
      </w:r>
      <w:r w:rsidR="00B46DD4">
        <w:rPr>
          <w:rFonts w:cs="Arial"/>
          <w:szCs w:val="22"/>
          <w:highlight w:val="yellow"/>
        </w:rPr>
        <w:t>______</w:t>
      </w:r>
      <w:r w:rsidRPr="00B46DD4">
        <w:rPr>
          <w:rFonts w:cs="Arial"/>
          <w:szCs w:val="22"/>
          <w:highlight w:val="yellow"/>
        </w:rPr>
        <w:t>%</w:t>
      </w:r>
      <w:r>
        <w:rPr>
          <w:rFonts w:cs="Arial"/>
          <w:szCs w:val="22"/>
        </w:rPr>
        <w:t xml:space="preserve"> </w:t>
      </w:r>
      <w:r w:rsidRPr="00B46DD4">
        <w:rPr>
          <w:rFonts w:cs="Arial"/>
          <w:szCs w:val="22"/>
          <w:highlight w:val="yellow"/>
        </w:rPr>
        <w:t xml:space="preserve">(average = </w:t>
      </w:r>
      <w:r w:rsidR="00B46DD4" w:rsidRPr="00B46DD4">
        <w:rPr>
          <w:rFonts w:cs="Arial"/>
          <w:szCs w:val="22"/>
          <w:highlight w:val="yellow"/>
        </w:rPr>
        <w:t>______</w:t>
      </w:r>
      <w:r w:rsidRPr="00B46DD4">
        <w:rPr>
          <w:rFonts w:cs="Arial"/>
          <w:szCs w:val="22"/>
          <w:highlight w:val="yellow"/>
        </w:rPr>
        <w:t>%).</w:t>
      </w:r>
      <w:r>
        <w:rPr>
          <w:rFonts w:cs="Arial"/>
          <w:szCs w:val="22"/>
        </w:rPr>
        <w:t xml:space="preserve">  Considering the subject’s </w:t>
      </w:r>
      <w:r w:rsidRPr="00BC65DD">
        <w:rPr>
          <w:rFonts w:cs="Arial"/>
          <w:szCs w:val="22"/>
          <w:highlight w:val="yellow"/>
        </w:rPr>
        <w:t>average condition with some recent updating and average exposure location on a secondary commercial corridor</w:t>
      </w:r>
      <w:r>
        <w:rPr>
          <w:rFonts w:cs="Arial"/>
          <w:szCs w:val="22"/>
        </w:rPr>
        <w:t xml:space="preserve">, </w:t>
      </w:r>
      <w:r w:rsidRPr="00BC65DD">
        <w:rPr>
          <w:rFonts w:cs="Arial"/>
          <w:szCs w:val="22"/>
          <w:highlight w:val="yellow"/>
        </w:rPr>
        <w:t>mid-range</w:t>
      </w:r>
      <w:r>
        <w:rPr>
          <w:rFonts w:cs="Arial"/>
          <w:szCs w:val="22"/>
        </w:rPr>
        <w:t xml:space="preserve"> </w:t>
      </w:r>
      <w:r w:rsidRPr="001433D6">
        <w:rPr>
          <w:rFonts w:cs="Arial"/>
          <w:szCs w:val="22"/>
        </w:rPr>
        <w:t xml:space="preserve">indicator is considered supportable.  </w:t>
      </w:r>
    </w:p>
    <w:p w14:paraId="372F4ABD" w14:textId="77777777" w:rsidR="005A24B3" w:rsidRPr="001433D6" w:rsidRDefault="005A24B3" w:rsidP="005A24B3">
      <w:pPr>
        <w:rPr>
          <w:rFonts w:cs="Arial"/>
          <w:szCs w:val="22"/>
        </w:rPr>
      </w:pPr>
    </w:p>
    <w:p w14:paraId="2C5311B9" w14:textId="40379E95" w:rsidR="005A24B3" w:rsidRDefault="005A24B3" w:rsidP="005A24B3">
      <w:pPr>
        <w:rPr>
          <w:rFonts w:cs="Arial"/>
          <w:szCs w:val="22"/>
        </w:rPr>
      </w:pPr>
      <w:r w:rsidRPr="001433D6">
        <w:rPr>
          <w:rFonts w:cs="Arial"/>
          <w:szCs w:val="22"/>
        </w:rPr>
        <w:lastRenderedPageBreak/>
        <w:t xml:space="preserve">Based on the preceding, a </w:t>
      </w:r>
      <w:r w:rsidRPr="00B46DD4">
        <w:rPr>
          <w:rFonts w:cs="Arial"/>
          <w:szCs w:val="22"/>
          <w:highlight w:val="yellow"/>
        </w:rPr>
        <w:t>mid-range</w:t>
      </w:r>
      <w:r w:rsidRPr="001433D6">
        <w:rPr>
          <w:rFonts w:cs="Arial"/>
          <w:szCs w:val="22"/>
        </w:rPr>
        <w:t xml:space="preserve"> </w:t>
      </w:r>
      <w:r w:rsidRPr="001433D6">
        <w:rPr>
          <w:rFonts w:cs="Arial"/>
          <w:b/>
          <w:szCs w:val="22"/>
        </w:rPr>
        <w:t>direct capitalization rate</w:t>
      </w:r>
      <w:r w:rsidRPr="001433D6">
        <w:rPr>
          <w:rFonts w:cs="Arial"/>
          <w:szCs w:val="22"/>
        </w:rPr>
        <w:t xml:space="preserve"> of </w:t>
      </w:r>
      <w:r w:rsidR="00B46DD4" w:rsidRPr="00B46DD4">
        <w:rPr>
          <w:rFonts w:cs="Arial"/>
          <w:b/>
          <w:szCs w:val="22"/>
          <w:highlight w:val="yellow"/>
        </w:rPr>
        <w:t>_______</w:t>
      </w:r>
      <w:r w:rsidRPr="00B46DD4">
        <w:rPr>
          <w:rFonts w:cs="Arial"/>
          <w:b/>
          <w:szCs w:val="22"/>
          <w:highlight w:val="yellow"/>
        </w:rPr>
        <w:t>%</w:t>
      </w:r>
      <w:r w:rsidRPr="001433D6">
        <w:rPr>
          <w:rFonts w:cs="Arial"/>
          <w:b/>
          <w:szCs w:val="22"/>
        </w:rPr>
        <w:t xml:space="preserve"> </w:t>
      </w:r>
      <w:r w:rsidRPr="001433D6">
        <w:rPr>
          <w:rFonts w:cs="Arial"/>
          <w:szCs w:val="22"/>
        </w:rPr>
        <w:t>is considered reasonable for the subject property on a stabilized basis.</w:t>
      </w:r>
    </w:p>
    <w:p w14:paraId="09DBB09D" w14:textId="77777777" w:rsidR="005A24B3" w:rsidRPr="00B671CF" w:rsidRDefault="005A24B3" w:rsidP="005A24B3">
      <w:pPr>
        <w:keepNext/>
        <w:keepLines/>
        <w:spacing w:before="260"/>
        <w:outlineLvl w:val="1"/>
        <w:rPr>
          <w:rFonts w:cs="Arial"/>
          <w:iCs/>
          <w:color w:val="1E4959"/>
          <w:sz w:val="28"/>
          <w:szCs w:val="22"/>
        </w:rPr>
      </w:pPr>
      <w:r w:rsidRPr="001433D6">
        <w:rPr>
          <w:rFonts w:cs="Arial"/>
          <w:iCs/>
          <w:color w:val="1E4959"/>
          <w:sz w:val="28"/>
          <w:szCs w:val="22"/>
        </w:rPr>
        <w:t>Concluded Market Value Via The</w:t>
      </w:r>
      <w:r w:rsidRPr="004B08E2">
        <w:rPr>
          <w:rFonts w:cs="Arial"/>
          <w:iCs/>
          <w:color w:val="1E4959"/>
          <w:sz w:val="28"/>
          <w:szCs w:val="22"/>
        </w:rPr>
        <w:t xml:space="preserve"> Income Capitalization</w:t>
      </w:r>
      <w:r w:rsidRPr="00B671CF">
        <w:rPr>
          <w:rFonts w:cs="Arial"/>
          <w:iCs/>
          <w:color w:val="1E4959"/>
          <w:sz w:val="28"/>
          <w:szCs w:val="22"/>
        </w:rPr>
        <w:t xml:space="preserve"> Approach </w:t>
      </w:r>
    </w:p>
    <w:p w14:paraId="64F31623" w14:textId="77777777" w:rsidR="00DE7A95" w:rsidRPr="000754FA" w:rsidRDefault="00DE7A95" w:rsidP="00DE7A95">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4AE71FE4F0AB493186A10760AD2ED602"/>
          </w:placeholder>
          <w:dropDownList>
            <w:listItem w:value="Choose an item."/>
            <w:listItem w:displayText="stabilized" w:value="stabilized"/>
            <w:listItem w:displayText="prospective stabilized" w:value="prospective stabilized"/>
          </w:dropDownList>
        </w:sdt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F5809446DFB347078625DB1EE163C89C"/>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Pr>
              <w:rFonts w:cs="Arial"/>
              <w:szCs w:val="22"/>
              <w:highlight w:val="green"/>
            </w:rPr>
            <w:t>rounded to the nearest $5,000</w:t>
          </w:r>
        </w:sdtContent>
      </w:sdt>
      <w:r>
        <w:rPr>
          <w:rFonts w:cs="Arial"/>
          <w:szCs w:val="22"/>
        </w:rPr>
        <w:t>)</w:t>
      </w:r>
      <w:r w:rsidRPr="0005433A">
        <w:rPr>
          <w:rFonts w:cs="Arial"/>
          <w:szCs w:val="22"/>
        </w:rPr>
        <w:t>:</w:t>
      </w:r>
    </w:p>
    <w:p w14:paraId="1871FCD2" w14:textId="77777777" w:rsidR="005A24B3" w:rsidRPr="000754FA" w:rsidRDefault="005A24B3" w:rsidP="005A24B3">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5A24B3" w:rsidRPr="000754FA" w14:paraId="30B3B963" w14:textId="77777777" w:rsidTr="001222E0">
        <w:trPr>
          <w:jc w:val="center"/>
        </w:trPr>
        <w:tc>
          <w:tcPr>
            <w:tcW w:w="5314" w:type="dxa"/>
            <w:tcBorders>
              <w:bottom w:val="single" w:sz="24" w:space="0" w:color="3FB44F"/>
            </w:tcBorders>
            <w:shd w:val="clear" w:color="auto" w:fill="1E4959"/>
          </w:tcPr>
          <w:p w14:paraId="67FCD210" w14:textId="77777777" w:rsidR="005A24B3" w:rsidRPr="000754FA" w:rsidRDefault="005A24B3" w:rsidP="001222E0">
            <w:pPr>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69139E7B" w14:textId="77777777" w:rsidR="005A24B3" w:rsidRPr="000754FA" w:rsidRDefault="005A24B3" w:rsidP="001222E0">
            <w:pPr>
              <w:tabs>
                <w:tab w:val="left" w:pos="0"/>
                <w:tab w:val="left" w:pos="259"/>
                <w:tab w:val="left" w:pos="518"/>
              </w:tabs>
              <w:spacing w:line="273" w:lineRule="exact"/>
              <w:jc w:val="right"/>
              <w:rPr>
                <w:rFonts w:cs="Arial"/>
                <w:szCs w:val="22"/>
              </w:rPr>
            </w:pPr>
          </w:p>
        </w:tc>
      </w:tr>
      <w:tr w:rsidR="005A24B3" w:rsidRPr="000754FA" w14:paraId="131D7058" w14:textId="77777777" w:rsidTr="001222E0">
        <w:trPr>
          <w:jc w:val="center"/>
        </w:trPr>
        <w:tc>
          <w:tcPr>
            <w:tcW w:w="5314" w:type="dxa"/>
            <w:tcBorders>
              <w:top w:val="single" w:sz="24" w:space="0" w:color="3FB44F"/>
              <w:bottom w:val="double" w:sz="6" w:space="0" w:color="auto"/>
              <w:right w:val="single" w:sz="6" w:space="0" w:color="auto"/>
            </w:tcBorders>
          </w:tcPr>
          <w:p w14:paraId="79DBE999" w14:textId="77777777" w:rsidR="005A24B3" w:rsidRPr="009D6578" w:rsidRDefault="005A24B3" w:rsidP="001222E0">
            <w:pPr>
              <w:tabs>
                <w:tab w:val="left" w:pos="0"/>
                <w:tab w:val="left" w:pos="259"/>
                <w:tab w:val="left" w:pos="518"/>
              </w:tabs>
              <w:spacing w:before="120"/>
              <w:jc w:val="left"/>
              <w:rPr>
                <w:rFonts w:cs="Arial"/>
                <w:b/>
                <w:szCs w:val="22"/>
              </w:rPr>
            </w:pPr>
            <w:r w:rsidRPr="009D6578">
              <w:rPr>
                <w:rFonts w:cs="Arial"/>
                <w:b/>
                <w:szCs w:val="22"/>
              </w:rPr>
              <w:t xml:space="preserve">Concluded Market Value Via the </w:t>
            </w:r>
          </w:p>
          <w:p w14:paraId="049D7C3C" w14:textId="77777777" w:rsidR="005A24B3" w:rsidRPr="009D6578" w:rsidRDefault="005A24B3" w:rsidP="001222E0">
            <w:pPr>
              <w:tabs>
                <w:tab w:val="left" w:pos="0"/>
                <w:tab w:val="left" w:pos="259"/>
                <w:tab w:val="left" w:pos="518"/>
              </w:tabs>
              <w:spacing w:after="58"/>
              <w:jc w:val="left"/>
              <w:rPr>
                <w:rFonts w:cs="Arial"/>
                <w:b/>
                <w:szCs w:val="22"/>
              </w:rPr>
            </w:pPr>
            <w:r w:rsidRPr="009D6578">
              <w:rPr>
                <w:rFonts w:cs="Arial"/>
                <w:b/>
                <w:szCs w:val="22"/>
              </w:rPr>
              <w:t>Income Capitalization Approach:</w:t>
            </w:r>
          </w:p>
        </w:tc>
        <w:tc>
          <w:tcPr>
            <w:tcW w:w="1976" w:type="dxa"/>
            <w:tcBorders>
              <w:top w:val="single" w:sz="24" w:space="0" w:color="3FB44F"/>
              <w:left w:val="nil"/>
              <w:bottom w:val="double" w:sz="6" w:space="0" w:color="auto"/>
            </w:tcBorders>
          </w:tcPr>
          <w:p w14:paraId="28B3C1C5" w14:textId="77777777" w:rsidR="005A24B3" w:rsidRPr="000754FA" w:rsidRDefault="005A24B3" w:rsidP="001222E0">
            <w:pPr>
              <w:tabs>
                <w:tab w:val="left" w:pos="0"/>
                <w:tab w:val="left" w:pos="259"/>
                <w:tab w:val="left" w:pos="518"/>
              </w:tabs>
              <w:spacing w:before="120" w:after="58" w:line="400" w:lineRule="exact"/>
              <w:jc w:val="center"/>
              <w:rPr>
                <w:rFonts w:cs="Arial"/>
                <w:b/>
                <w:szCs w:val="22"/>
              </w:rPr>
            </w:pPr>
            <w:r w:rsidRPr="008A1229">
              <w:rPr>
                <w:rFonts w:cs="Arial"/>
                <w:b/>
                <w:szCs w:val="22"/>
                <w:highlight w:val="yellow"/>
              </w:rPr>
              <w:t>$</w:t>
            </w:r>
            <w:r w:rsidR="00B46DD4" w:rsidRPr="008A1229">
              <w:rPr>
                <w:rFonts w:cs="Arial"/>
                <w:b/>
                <w:szCs w:val="22"/>
                <w:highlight w:val="yellow"/>
              </w:rPr>
              <w:t>____________</w:t>
            </w:r>
          </w:p>
        </w:tc>
      </w:tr>
    </w:tbl>
    <w:p w14:paraId="6B6BA846" w14:textId="77777777" w:rsidR="005A24B3" w:rsidRDefault="005A24B3" w:rsidP="005A24B3">
      <w:pPr>
        <w:pStyle w:val="Style1"/>
        <w:widowControl/>
        <w:tabs>
          <w:tab w:val="clear" w:pos="4680"/>
        </w:tabs>
        <w:rPr>
          <w:rFonts w:cs="Arial"/>
          <w:kern w:val="20"/>
          <w:szCs w:val="22"/>
        </w:rPr>
      </w:pPr>
    </w:p>
    <w:p w14:paraId="1C236A23" w14:textId="77777777" w:rsidR="005A24B3" w:rsidRDefault="005A24B3" w:rsidP="005A24B3">
      <w:pPr>
        <w:widowControl w:val="0"/>
        <w:spacing w:after="120"/>
        <w:rPr>
          <w:rFonts w:cs="Arial"/>
          <w:szCs w:val="22"/>
        </w:rPr>
      </w:pPr>
      <w:r w:rsidRPr="00DF65C6">
        <w:rPr>
          <w:rFonts w:cs="Arial"/>
          <w:szCs w:val="22"/>
        </w:rPr>
        <w:t>Our analysis of the subject property via the Income Capitalization Approach is presented on the following page.</w:t>
      </w:r>
    </w:p>
    <w:p w14:paraId="15AB78FD" w14:textId="77777777" w:rsidR="005A24B3" w:rsidRDefault="005A24B3" w:rsidP="005A24B3">
      <w:pPr>
        <w:widowControl w:val="0"/>
        <w:spacing w:after="120"/>
        <w:rPr>
          <w:rFonts w:cs="Arial"/>
          <w:szCs w:val="22"/>
        </w:rPr>
        <w:sectPr w:rsidR="005A24B3" w:rsidSect="00BC65DD">
          <w:pgSz w:w="12240" w:h="15840"/>
          <w:pgMar w:top="1440" w:right="1440" w:bottom="720" w:left="1440" w:header="720" w:footer="720" w:gutter="0"/>
          <w:cols w:space="720"/>
          <w:docGrid w:linePitch="360"/>
        </w:sectPr>
      </w:pPr>
    </w:p>
    <w:p w14:paraId="6E4D4531" w14:textId="73AC8F90" w:rsidR="005A24B3" w:rsidRDefault="006D3641" w:rsidP="005A24B3">
      <w:pPr>
        <w:widowControl w:val="0"/>
        <w:spacing w:after="120"/>
        <w:ind w:left="-720"/>
        <w:rPr>
          <w:rFonts w:cs="Arial"/>
          <w:szCs w:val="22"/>
        </w:rPr>
      </w:pPr>
      <w:r w:rsidRPr="006D3641">
        <w:rPr>
          <w:noProof/>
        </w:rPr>
        <w:lastRenderedPageBreak/>
        <w:drawing>
          <wp:inline distT="0" distB="0" distL="0" distR="0" wp14:anchorId="350BA9E3" wp14:editId="3CC878CE">
            <wp:extent cx="6756572" cy="44805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0844" cy="4483393"/>
                    </a:xfrm>
                    <a:prstGeom prst="rect">
                      <a:avLst/>
                    </a:prstGeom>
                    <a:noFill/>
                    <a:ln>
                      <a:noFill/>
                    </a:ln>
                  </pic:spPr>
                </pic:pic>
              </a:graphicData>
            </a:graphic>
          </wp:inline>
        </w:drawing>
      </w:r>
      <w:r w:rsidR="005A24B3" w:rsidRPr="004C46AD">
        <w:t xml:space="preserve"> </w:t>
      </w:r>
      <w:r w:rsidR="005A24B3" w:rsidRPr="00117877">
        <w:t xml:space="preserve"> </w:t>
      </w:r>
      <w:r w:rsidR="005A24B3" w:rsidRPr="002278EA">
        <w:t xml:space="preserve"> </w:t>
      </w:r>
      <w:r w:rsidR="005A24B3" w:rsidRPr="00483A54">
        <w:t xml:space="preserve"> </w:t>
      </w:r>
    </w:p>
    <w:p w14:paraId="25646D5A" w14:textId="77777777" w:rsidR="005A24B3" w:rsidRPr="000754FA" w:rsidRDefault="005A24B3" w:rsidP="005A24B3">
      <w:pPr>
        <w:rPr>
          <w:rFonts w:eastAsia="Calibri" w:cs="Arial"/>
          <w:color w:val="000000"/>
          <w:szCs w:val="22"/>
        </w:rPr>
        <w:sectPr w:rsidR="005A24B3" w:rsidRPr="000754FA" w:rsidSect="001222E0">
          <w:pgSz w:w="12240" w:h="15840"/>
          <w:pgMar w:top="1440" w:right="1440" w:bottom="720" w:left="1440" w:header="720" w:footer="720" w:gutter="0"/>
          <w:cols w:space="720"/>
          <w:vAlign w:val="center"/>
          <w:docGrid w:linePitch="360"/>
        </w:sectPr>
      </w:pPr>
    </w:p>
    <w:p w14:paraId="18C3D59D" w14:textId="77777777" w:rsidR="00DA4B42" w:rsidRDefault="00DA4B42"/>
    <w:sectPr w:rsidR="00DA4B42" w:rsidSect="00BC65DD">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E74DA" w14:textId="77777777" w:rsidR="00A45B5D" w:rsidRDefault="00A45B5D">
      <w:r>
        <w:separator/>
      </w:r>
    </w:p>
  </w:endnote>
  <w:endnote w:type="continuationSeparator" w:id="0">
    <w:p w14:paraId="35E69415" w14:textId="77777777" w:rsidR="00A45B5D" w:rsidRDefault="00A45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41132A5C"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DE7A95">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635D31">
      <w:rPr>
        <w:rFonts w:cs="Segoe UI"/>
        <w:bCs/>
        <w:iCs/>
        <w:kern w:val="0"/>
        <w:sz w:val="20"/>
        <w:szCs w:val="18"/>
      </w:rPr>
      <w:t>| ${</w:t>
    </w:r>
    <w:proofErr w:type="spellStart"/>
    <w:r w:rsidRPr="00635D31">
      <w:rPr>
        <w:rFonts w:cs="Segoe UI"/>
        <w:bCs/>
        <w:iCs/>
        <w:kern w:val="0"/>
        <w:sz w:val="20"/>
        <w:szCs w:val="18"/>
      </w:rPr>
      <w:t>reportname</w:t>
    </w:r>
    <w:proofErr w:type="spellEnd"/>
    <w:r w:rsidRPr="00635D31">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5A091" w14:textId="77777777" w:rsidR="00A45B5D" w:rsidRDefault="00A45B5D">
      <w:r>
        <w:separator/>
      </w:r>
    </w:p>
  </w:footnote>
  <w:footnote w:type="continuationSeparator" w:id="0">
    <w:p w14:paraId="4FFE8782" w14:textId="77777777" w:rsidR="00A45B5D" w:rsidRDefault="00A45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1222E0" w:rsidRPr="006C283F" w14:paraId="76A4237B" w14:textId="77777777" w:rsidTr="001222E0">
      <w:trPr>
        <w:trHeight w:val="800"/>
      </w:trPr>
      <w:tc>
        <w:tcPr>
          <w:tcW w:w="5124" w:type="dxa"/>
        </w:tcPr>
        <w:p w14:paraId="2E8A0E2D" w14:textId="77777777" w:rsidR="001222E0" w:rsidRDefault="008A1229" w:rsidP="001222E0">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635D31">
            <w:rPr>
              <w:rFonts w:asciiTheme="minorHAnsi" w:hAnsiTheme="minorHAnsi"/>
              <w:noProof/>
              <w:color w:val="auto"/>
              <w:sz w:val="20"/>
            </w:rPr>
            <w:t>${cappropname}</w:t>
          </w:r>
        </w:p>
        <w:p w14:paraId="41FBDEEE" w14:textId="77777777" w:rsidR="001222E0" w:rsidRPr="00883365" w:rsidRDefault="008A1229" w:rsidP="001222E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1222E0" w:rsidRPr="007F6649" w:rsidRDefault="001222E0" w:rsidP="001222E0">
    <w:pPr>
      <w:pStyle w:val="ValbridgeHeader"/>
      <w:tabs>
        <w:tab w:val="left" w:pos="2235"/>
        <w:tab w:val="right" w:pos="9360"/>
      </w:tabs>
      <w:jc w:val="left"/>
      <w:rPr>
        <w:rFonts w:asciiTheme="minorHAnsi" w:hAnsiTheme="minorHAnsi"/>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D7CF2"/>
    <w:rsid w:val="00113B80"/>
    <w:rsid w:val="001222E0"/>
    <w:rsid w:val="001525E2"/>
    <w:rsid w:val="0018247D"/>
    <w:rsid w:val="0019553E"/>
    <w:rsid w:val="00196B82"/>
    <w:rsid w:val="00272AB2"/>
    <w:rsid w:val="002A374A"/>
    <w:rsid w:val="002F078A"/>
    <w:rsid w:val="003753FC"/>
    <w:rsid w:val="003A017C"/>
    <w:rsid w:val="003F3BC2"/>
    <w:rsid w:val="00494F04"/>
    <w:rsid w:val="0049779D"/>
    <w:rsid w:val="004A5414"/>
    <w:rsid w:val="00526492"/>
    <w:rsid w:val="00542813"/>
    <w:rsid w:val="00575538"/>
    <w:rsid w:val="005A24B3"/>
    <w:rsid w:val="005A43AB"/>
    <w:rsid w:val="005C03F7"/>
    <w:rsid w:val="005F2808"/>
    <w:rsid w:val="005F5E32"/>
    <w:rsid w:val="00613AE8"/>
    <w:rsid w:val="006222AC"/>
    <w:rsid w:val="00635D31"/>
    <w:rsid w:val="00643A5F"/>
    <w:rsid w:val="006804FD"/>
    <w:rsid w:val="006876B9"/>
    <w:rsid w:val="006D3641"/>
    <w:rsid w:val="00724CD2"/>
    <w:rsid w:val="00733C95"/>
    <w:rsid w:val="00790A52"/>
    <w:rsid w:val="007E2DF2"/>
    <w:rsid w:val="007F6649"/>
    <w:rsid w:val="00857CCE"/>
    <w:rsid w:val="008A1229"/>
    <w:rsid w:val="008E30FA"/>
    <w:rsid w:val="00956734"/>
    <w:rsid w:val="009B7DEE"/>
    <w:rsid w:val="009D7FB5"/>
    <w:rsid w:val="00A02EB5"/>
    <w:rsid w:val="00A12545"/>
    <w:rsid w:val="00A45B5D"/>
    <w:rsid w:val="00AC1C59"/>
    <w:rsid w:val="00AC6CE3"/>
    <w:rsid w:val="00AE2BC4"/>
    <w:rsid w:val="00B20928"/>
    <w:rsid w:val="00B46DD4"/>
    <w:rsid w:val="00B53BEA"/>
    <w:rsid w:val="00B54F38"/>
    <w:rsid w:val="00B651F9"/>
    <w:rsid w:val="00B661A8"/>
    <w:rsid w:val="00B8522D"/>
    <w:rsid w:val="00BC65DD"/>
    <w:rsid w:val="00C35322"/>
    <w:rsid w:val="00C61AA8"/>
    <w:rsid w:val="00D25EEC"/>
    <w:rsid w:val="00D35CEB"/>
    <w:rsid w:val="00D77CDA"/>
    <w:rsid w:val="00DA4B42"/>
    <w:rsid w:val="00DC4CAF"/>
    <w:rsid w:val="00DE7A95"/>
    <w:rsid w:val="00EB0B1F"/>
    <w:rsid w:val="00F829F9"/>
    <w:rsid w:val="00F83EB0"/>
    <w:rsid w:val="00F9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4C596844-00DF-485C-B779-EF19BE0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paragraph" w:styleId="BalloonText">
    <w:name w:val="Balloon Text"/>
    <w:basedOn w:val="Normal"/>
    <w:link w:val="BalloonTextChar"/>
    <w:uiPriority w:val="99"/>
    <w:semiHidden/>
    <w:unhideWhenUsed/>
    <w:rsid w:val="00AC1C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C59"/>
    <w:rPr>
      <w:rFonts w:ascii="Segoe UI" w:eastAsia="Times New Roman"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5F71AF157140C6A18F0979E79F7AB5"/>
        <w:category>
          <w:name w:val="General"/>
          <w:gallery w:val="placeholder"/>
        </w:category>
        <w:types>
          <w:type w:val="bbPlcHdr"/>
        </w:types>
        <w:behaviors>
          <w:behavior w:val="content"/>
        </w:behaviors>
        <w:guid w:val="{DAC2140F-7A28-44BC-8EBA-DEE1D4CFFABD}"/>
      </w:docPartPr>
      <w:docPartBody>
        <w:p w:rsidR="00AB10CC" w:rsidRDefault="00DE18FE" w:rsidP="00DE18FE">
          <w:pPr>
            <w:pStyle w:val="805F71AF157140C6A18F0979E79F7AB5"/>
          </w:pPr>
          <w:r w:rsidRPr="00BC2797">
            <w:rPr>
              <w:rStyle w:val="PlaceholderText"/>
            </w:rPr>
            <w:t>Choose an item.</w:t>
          </w:r>
        </w:p>
      </w:docPartBody>
    </w:docPart>
    <w:docPart>
      <w:docPartPr>
        <w:name w:val="B1B932A1DA1A448CABD7D10D696D0F9D"/>
        <w:category>
          <w:name w:val="General"/>
          <w:gallery w:val="placeholder"/>
        </w:category>
        <w:types>
          <w:type w:val="bbPlcHdr"/>
        </w:types>
        <w:behaviors>
          <w:behavior w:val="content"/>
        </w:behaviors>
        <w:guid w:val="{910C68CB-00A5-40FA-94A4-60E428DCAB9D}"/>
      </w:docPartPr>
      <w:docPartBody>
        <w:p w:rsidR="00C8756D" w:rsidRDefault="00AB10CC" w:rsidP="00AB10CC">
          <w:pPr>
            <w:pStyle w:val="B1B932A1DA1A448CABD7D10D696D0F9D"/>
          </w:pPr>
          <w:r w:rsidRPr="00BC2797">
            <w:rPr>
              <w:rStyle w:val="PlaceholderText"/>
            </w:rPr>
            <w:t>Choose an item.</w:t>
          </w:r>
        </w:p>
      </w:docPartBody>
    </w:docPart>
    <w:docPart>
      <w:docPartPr>
        <w:name w:val="4047ED7E4B244A8A81EFB8D83765E435"/>
        <w:category>
          <w:name w:val="General"/>
          <w:gallery w:val="placeholder"/>
        </w:category>
        <w:types>
          <w:type w:val="bbPlcHdr"/>
        </w:types>
        <w:behaviors>
          <w:behavior w:val="content"/>
        </w:behaviors>
        <w:guid w:val="{D01A1297-41F1-449A-8980-205309DE41E9}"/>
      </w:docPartPr>
      <w:docPartBody>
        <w:p w:rsidR="00BF40FB" w:rsidRDefault="00C52CED" w:rsidP="00C52CED">
          <w:pPr>
            <w:pStyle w:val="4047ED7E4B244A8A81EFB8D83765E435"/>
          </w:pPr>
          <w:r w:rsidRPr="00D817AB">
            <w:rPr>
              <w:rStyle w:val="PlaceholderText"/>
            </w:rPr>
            <w:t>Choose an item.</w:t>
          </w:r>
        </w:p>
      </w:docPartBody>
    </w:docPart>
    <w:docPart>
      <w:docPartPr>
        <w:name w:val="2E53C3FF4E664E04B53484C8C17FE75F"/>
        <w:category>
          <w:name w:val="General"/>
          <w:gallery w:val="placeholder"/>
        </w:category>
        <w:types>
          <w:type w:val="bbPlcHdr"/>
        </w:types>
        <w:behaviors>
          <w:behavior w:val="content"/>
        </w:behaviors>
        <w:guid w:val="{E3B550D7-FA4C-48B9-9F5B-267B00771A74}"/>
      </w:docPartPr>
      <w:docPartBody>
        <w:p w:rsidR="00BF40FB" w:rsidRDefault="00C52CED" w:rsidP="00C52CED">
          <w:pPr>
            <w:pStyle w:val="2E53C3FF4E664E04B53484C8C17FE75F"/>
          </w:pPr>
          <w:r w:rsidRPr="00D817AB">
            <w:rPr>
              <w:rStyle w:val="PlaceholderText"/>
            </w:rPr>
            <w:t>Choose an item.</w:t>
          </w:r>
        </w:p>
      </w:docPartBody>
    </w:docPart>
    <w:docPart>
      <w:docPartPr>
        <w:name w:val="EC41D492B0BB42748A3DE5478DAE615F"/>
        <w:category>
          <w:name w:val="General"/>
          <w:gallery w:val="placeholder"/>
        </w:category>
        <w:types>
          <w:type w:val="bbPlcHdr"/>
        </w:types>
        <w:behaviors>
          <w:behavior w:val="content"/>
        </w:behaviors>
        <w:guid w:val="{D66BFC96-E948-44CC-B47C-92973CBFEAB3}"/>
      </w:docPartPr>
      <w:docPartBody>
        <w:p w:rsidR="00000000" w:rsidRDefault="008F2359" w:rsidP="008F2359">
          <w:pPr>
            <w:pStyle w:val="EC41D492B0BB42748A3DE5478DAE615F"/>
          </w:pPr>
          <w:r w:rsidRPr="003B43C3">
            <w:rPr>
              <w:rStyle w:val="PlaceholderText"/>
            </w:rPr>
            <w:t>Choose an item.</w:t>
          </w:r>
        </w:p>
      </w:docPartBody>
    </w:docPart>
    <w:docPart>
      <w:docPartPr>
        <w:name w:val="4AE71FE4F0AB493186A10760AD2ED602"/>
        <w:category>
          <w:name w:val="General"/>
          <w:gallery w:val="placeholder"/>
        </w:category>
        <w:types>
          <w:type w:val="bbPlcHdr"/>
        </w:types>
        <w:behaviors>
          <w:behavior w:val="content"/>
        </w:behaviors>
        <w:guid w:val="{4939608F-42BA-4F35-9C67-B03155897D2C}"/>
      </w:docPartPr>
      <w:docPartBody>
        <w:p w:rsidR="00000000" w:rsidRDefault="008F2359" w:rsidP="008F2359">
          <w:pPr>
            <w:pStyle w:val="4AE71FE4F0AB493186A10760AD2ED602"/>
          </w:pPr>
          <w:r w:rsidRPr="003B43C3">
            <w:rPr>
              <w:rStyle w:val="PlaceholderText"/>
            </w:rPr>
            <w:t>Choose an item.</w:t>
          </w:r>
        </w:p>
      </w:docPartBody>
    </w:docPart>
    <w:docPart>
      <w:docPartPr>
        <w:name w:val="F5809446DFB347078625DB1EE163C89C"/>
        <w:category>
          <w:name w:val="General"/>
          <w:gallery w:val="placeholder"/>
        </w:category>
        <w:types>
          <w:type w:val="bbPlcHdr"/>
        </w:types>
        <w:behaviors>
          <w:behavior w:val="content"/>
        </w:behaviors>
        <w:guid w:val="{4E73781F-066C-4E17-876E-09C4618F8A39}"/>
      </w:docPartPr>
      <w:docPartBody>
        <w:p w:rsidR="00000000" w:rsidRDefault="008F2359" w:rsidP="008F2359">
          <w:pPr>
            <w:pStyle w:val="F5809446DFB347078625DB1EE163C89C"/>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FE"/>
    <w:rsid w:val="00163990"/>
    <w:rsid w:val="0047033D"/>
    <w:rsid w:val="00534775"/>
    <w:rsid w:val="0061375B"/>
    <w:rsid w:val="0072616C"/>
    <w:rsid w:val="007A237E"/>
    <w:rsid w:val="008F2359"/>
    <w:rsid w:val="009272C1"/>
    <w:rsid w:val="00AB10CC"/>
    <w:rsid w:val="00BF40FB"/>
    <w:rsid w:val="00C52CED"/>
    <w:rsid w:val="00C85FCA"/>
    <w:rsid w:val="00C8756D"/>
    <w:rsid w:val="00DD76F9"/>
    <w:rsid w:val="00DE18FE"/>
    <w:rsid w:val="00E56A81"/>
    <w:rsid w:val="00E65C85"/>
    <w:rsid w:val="00EA5119"/>
    <w:rsid w:val="00F47CB4"/>
    <w:rsid w:val="00F503AE"/>
    <w:rsid w:val="00FC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359"/>
    <w:rPr>
      <w:color w:val="808080"/>
    </w:rPr>
  </w:style>
  <w:style w:type="paragraph" w:customStyle="1" w:styleId="BF09337001E748D6B24A4E81904F3D71">
    <w:name w:val="BF09337001E748D6B24A4E81904F3D71"/>
    <w:rsid w:val="00DE18FE"/>
  </w:style>
  <w:style w:type="paragraph" w:customStyle="1" w:styleId="805F71AF157140C6A18F0979E79F7AB5">
    <w:name w:val="805F71AF157140C6A18F0979E79F7AB5"/>
    <w:rsid w:val="00DE18FE"/>
  </w:style>
  <w:style w:type="paragraph" w:customStyle="1" w:styleId="B1B932A1DA1A448CABD7D10D696D0F9D">
    <w:name w:val="B1B932A1DA1A448CABD7D10D696D0F9D"/>
    <w:rsid w:val="00AB10CC"/>
  </w:style>
  <w:style w:type="paragraph" w:customStyle="1" w:styleId="1B74ED0ADCF84A1BB99F376FEAEDF39F">
    <w:name w:val="1B74ED0ADCF84A1BB99F376FEAEDF39F"/>
  </w:style>
  <w:style w:type="paragraph" w:customStyle="1" w:styleId="803D6D511DB44FBE80EBBDB80B1538C1">
    <w:name w:val="803D6D511DB44FBE80EBBDB80B1538C1"/>
    <w:rsid w:val="00C52CED"/>
  </w:style>
  <w:style w:type="paragraph" w:customStyle="1" w:styleId="8023FA6A44D04570907694E094394548">
    <w:name w:val="8023FA6A44D04570907694E094394548"/>
    <w:rsid w:val="00C52CED"/>
  </w:style>
  <w:style w:type="paragraph" w:customStyle="1" w:styleId="2A8B99E166E444C1BCC3E0C43B016065">
    <w:name w:val="2A8B99E166E444C1BCC3E0C43B016065"/>
    <w:rsid w:val="00C52CED"/>
  </w:style>
  <w:style w:type="paragraph" w:customStyle="1" w:styleId="4047ED7E4B244A8A81EFB8D83765E435">
    <w:name w:val="4047ED7E4B244A8A81EFB8D83765E435"/>
    <w:rsid w:val="00C52CED"/>
  </w:style>
  <w:style w:type="paragraph" w:customStyle="1" w:styleId="2E53C3FF4E664E04B53484C8C17FE75F">
    <w:name w:val="2E53C3FF4E664E04B53484C8C17FE75F"/>
    <w:rsid w:val="00C52CED"/>
  </w:style>
  <w:style w:type="paragraph" w:customStyle="1" w:styleId="4EBE85F19B2C408FBD1811D72A52EEF7">
    <w:name w:val="4EBE85F19B2C408FBD1811D72A52EEF7"/>
    <w:rsid w:val="00C52CED"/>
  </w:style>
  <w:style w:type="paragraph" w:customStyle="1" w:styleId="9AF62FD669C644048C5EB0B33B43FEC0">
    <w:name w:val="9AF62FD669C644048C5EB0B33B43FEC0"/>
    <w:rsid w:val="00C52CED"/>
  </w:style>
  <w:style w:type="paragraph" w:customStyle="1" w:styleId="EC41D492B0BB42748A3DE5478DAE615F">
    <w:name w:val="EC41D492B0BB42748A3DE5478DAE615F"/>
    <w:rsid w:val="008F2359"/>
  </w:style>
  <w:style w:type="paragraph" w:customStyle="1" w:styleId="4AE71FE4F0AB493186A10760AD2ED602">
    <w:name w:val="4AE71FE4F0AB493186A10760AD2ED602"/>
    <w:rsid w:val="008F2359"/>
  </w:style>
  <w:style w:type="paragraph" w:customStyle="1" w:styleId="F5809446DFB347078625DB1EE163C89C">
    <w:name w:val="F5809446DFB347078625DB1EE163C89C"/>
    <w:rsid w:val="008F23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D38FBA-19E0-4DCA-B79B-1A1BCBDA5EC2}">
  <ds:schemaRefs>
    <ds:schemaRef ds:uri="http://schemas.microsoft.com/sharepoint/v3/contenttype/forms"/>
  </ds:schemaRefs>
</ds:datastoreItem>
</file>

<file path=customXml/itemProps2.xml><?xml version="1.0" encoding="utf-8"?>
<ds:datastoreItem xmlns:ds="http://schemas.openxmlformats.org/officeDocument/2006/customXml" ds:itemID="{59C4570F-0FF0-4714-A536-A99EEB7DB1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C76AA0-A690-4F55-B43D-BCDD32C24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4</cp:revision>
  <dcterms:created xsi:type="dcterms:W3CDTF">2020-05-26T17:08:00Z</dcterms:created>
  <dcterms:modified xsi:type="dcterms:W3CDTF">2020-05-27T13:54:00Z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