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5CC29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01A424FC" w:rsidR="005A24B3" w:rsidRPr="009C27D1"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w:t>
      </w:r>
      <w:r w:rsidR="005C03F7">
        <w:rPr>
          <w:rFonts w:cs="Arial"/>
          <w:szCs w:val="22"/>
        </w:rPr>
        <w:t>an annual</w:t>
      </w:r>
      <w:r w:rsidR="005C03F7" w:rsidRPr="00087E8D">
        <w:rPr>
          <w:rFonts w:cs="Arial"/>
          <w:szCs w:val="22"/>
        </w:rPr>
        <w:t xml:space="preserve"> </w:t>
      </w:r>
      <w:r w:rsidR="005C03F7" w:rsidRPr="009C27D1">
        <w:rPr>
          <w:rFonts w:cs="Arial"/>
          <w:szCs w:val="22"/>
        </w:rPr>
        <w:t>dollar</w:t>
      </w:r>
      <w:r w:rsidRPr="009C27D1">
        <w:rPr>
          <w:rFonts w:cs="Arial"/>
          <w:szCs w:val="22"/>
        </w:rPr>
        <w:t xml:space="preserve"> per square foot rental, which is then applied to the </w:t>
      </w:r>
      <w:r w:rsidR="00F829F9" w:rsidRPr="009C27D1">
        <w:rPr>
          <w:rFonts w:cs="Arial"/>
          <w:szCs w:val="22"/>
        </w:rPr>
        <w:t xml:space="preserve">net rentable area (NRA) </w:t>
      </w:r>
      <w:r w:rsidRPr="009C27D1">
        <w:rPr>
          <w:rFonts w:cs="Arial"/>
          <w:szCs w:val="22"/>
        </w:rPr>
        <w:t xml:space="preserve">of the property. </w:t>
      </w:r>
    </w:p>
    <w:p w14:paraId="6A036A32" w14:textId="77777777" w:rsidR="00AC09A1" w:rsidRPr="000754FA" w:rsidRDefault="00AC09A1" w:rsidP="00AC09A1">
      <w:pPr>
        <w:rPr>
          <w:rFonts w:cs="Arial"/>
          <w:szCs w:val="22"/>
        </w:rPr>
      </w:pPr>
    </w:p>
    <w:p w14:paraId="200DF042" w14:textId="6EC64353" w:rsidR="00AC09A1" w:rsidRPr="002759FB" w:rsidRDefault="00AC09A1" w:rsidP="00AC09A1">
      <w:pPr>
        <w:rPr>
          <w:rFonts w:cs="Arial"/>
          <w:szCs w:val="22"/>
        </w:rPr>
      </w:pPr>
      <w:bookmarkStart w:id="3" w:name="_Hlk7333277"/>
      <w:r w:rsidRPr="002759FB">
        <w:rPr>
          <w:rFonts w:cs="Arial"/>
          <w:szCs w:val="22"/>
        </w:rPr>
        <w:t xml:space="preserve">A review of current subject market trends indicates that typical </w:t>
      </w:r>
      <w:r>
        <w:rPr>
          <w:rFonts w:cs="Arial"/>
          <w:szCs w:val="22"/>
        </w:rPr>
        <w:t xml:space="preserve">Class C, multi-tenant office </w:t>
      </w:r>
      <w:r w:rsidRPr="002759FB">
        <w:rPr>
          <w:rFonts w:cs="Arial"/>
          <w:szCs w:val="22"/>
        </w:rPr>
        <w:t xml:space="preserve">tenant leases in the subject market area are written on a </w:t>
      </w:r>
      <w:r w:rsidRPr="002759FB">
        <w:rPr>
          <w:rFonts w:cs="Arial"/>
          <w:b/>
          <w:szCs w:val="22"/>
        </w:rPr>
        <w:t xml:space="preserve">modified gross </w:t>
      </w:r>
      <w:r w:rsidRPr="002759FB">
        <w:rPr>
          <w:rFonts w:cs="Arial"/>
          <w:szCs w:val="22"/>
        </w:rPr>
        <w:t xml:space="preserve">rental basis. </w:t>
      </w:r>
      <w:r>
        <w:rPr>
          <w:rFonts w:cs="Arial"/>
          <w:szCs w:val="22"/>
        </w:rPr>
        <w:t>While there may be some variability between properties (and landlords) in how the specific expense terms are applied or negotiated, modified gross</w:t>
      </w:r>
      <w:r w:rsidRPr="002759FB">
        <w:rPr>
          <w:rFonts w:cs="Arial"/>
          <w:szCs w:val="22"/>
        </w:rPr>
        <w:t xml:space="preserve"> tenant rents </w:t>
      </w:r>
      <w:r>
        <w:rPr>
          <w:rFonts w:cs="Arial"/>
          <w:szCs w:val="22"/>
        </w:rPr>
        <w:t xml:space="preserve">at the subject project typically include all operating expenses, </w:t>
      </w:r>
      <w:r w:rsidRPr="00900D6E">
        <w:rPr>
          <w:rFonts w:cs="Arial"/>
          <w:szCs w:val="22"/>
          <w:highlight w:val="yellow"/>
        </w:rPr>
        <w:t xml:space="preserve">except that </w:t>
      </w:r>
      <w:sdt>
        <w:sdtPr>
          <w:rPr>
            <w:highlight w:val="green"/>
          </w:rPr>
          <w:alias w:val="Tenant Paid Expenses"/>
          <w:tag w:val="Tenant Paid Expenses"/>
          <w:id w:val="-2049839088"/>
          <w:placeholder>
            <w:docPart w:val="47F3CE9C89B248B5BF7402A8B07EA3FB"/>
          </w:placeholder>
          <w:dropDownList>
            <w:listItem w:value="Choose an item."/>
            <w:listItem w:displayText="interior electrical utilities and janitorial" w:value="interior electrical utilities and janitorial"/>
            <w:listItem w:displayText="interior electrical utilities" w:value="interior electrical utilities"/>
            <w:listItem w:displayText="interior electrical &amp; gas utilities" w:value="interior electrical &amp; gas utilities"/>
            <w:listItem w:displayText="janitorial" w:value="janitorial"/>
          </w:dropDownList>
        </w:sdtPr>
        <w:sdtEndPr/>
        <w:sdtContent>
          <w:r w:rsidR="00371BEB">
            <w:rPr>
              <w:highlight w:val="green"/>
            </w:rPr>
            <w:t>interior electrical utilities and janitorial</w:t>
          </w:r>
        </w:sdtContent>
      </w:sdt>
      <w:r w:rsidR="00371BEB" w:rsidRPr="00900D6E">
        <w:rPr>
          <w:rFonts w:cs="Arial"/>
          <w:szCs w:val="22"/>
          <w:highlight w:val="yellow"/>
        </w:rPr>
        <w:t xml:space="preserve"> </w:t>
      </w:r>
      <w:r w:rsidRPr="00900D6E">
        <w:rPr>
          <w:rFonts w:cs="Arial"/>
          <w:szCs w:val="22"/>
          <w:highlight w:val="yellow"/>
        </w:rPr>
        <w:t>is paid directly by the tenants</w:t>
      </w:r>
      <w:r>
        <w:rPr>
          <w:rFonts w:cs="Arial"/>
          <w:szCs w:val="22"/>
        </w:rPr>
        <w:t xml:space="preserve">. Otherwise, </w:t>
      </w:r>
      <w:r w:rsidRPr="00900D6E">
        <w:rPr>
          <w:rFonts w:cs="Arial"/>
          <w:szCs w:val="22"/>
          <w:highlight w:val="yellow"/>
        </w:rPr>
        <w:t>property taxes, insurance, landscape maintenance, general repairs, and trash removal are included in the subject base rent</w:t>
      </w:r>
      <w:r>
        <w:rPr>
          <w:rFonts w:cs="Arial"/>
          <w:szCs w:val="22"/>
        </w:rPr>
        <w:t xml:space="preserve">  </w:t>
      </w:r>
      <w:r w:rsidRPr="002759FB">
        <w:rPr>
          <w:rFonts w:cs="Arial"/>
          <w:szCs w:val="22"/>
        </w:rPr>
        <w:t xml:space="preserve">Hence, we have anticipated that all future rent for the subject would be payable on this basis. </w:t>
      </w:r>
    </w:p>
    <w:bookmarkEnd w:id="3"/>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9C27D1">
        <w:rPr>
          <w:rFonts w:asciiTheme="minorHAnsi" w:hAnsiTheme="minorHAnsi" w:cs="Arial"/>
          <w:b w:val="0"/>
          <w:color w:val="1E4959"/>
          <w:spacing w:val="0"/>
          <w:kern w:val="20"/>
          <w:sz w:val="28"/>
          <w:szCs w:val="22"/>
        </w:rPr>
        <w:t>Comparable Rent Analysis</w:t>
      </w:r>
    </w:p>
    <w:p w14:paraId="3D171A67" w14:textId="3FFCD686" w:rsidR="000D7CF2" w:rsidRDefault="000D7CF2" w:rsidP="000D7CF2">
      <w:pPr>
        <w:widowControl w:val="0"/>
        <w:rPr>
          <w:rFonts w:cs="Arial"/>
          <w:szCs w:val="22"/>
        </w:rPr>
      </w:pPr>
      <w:r w:rsidRPr="00B323A6">
        <w:rPr>
          <w:rFonts w:cs="Arial"/>
          <w:szCs w:val="22"/>
        </w:rPr>
        <w:t>In order to estimate the current market rent for the subject</w:t>
      </w:r>
      <w:r w:rsidR="00733C95">
        <w:rPr>
          <w:rFonts w:cs="Arial"/>
          <w:szCs w:val="22"/>
        </w:rPr>
        <w:t xml:space="preserve"> office </w:t>
      </w:r>
      <w:r w:rsidRPr="00B323A6">
        <w:rPr>
          <w:rFonts w:cs="Arial"/>
          <w:szCs w:val="22"/>
        </w:rPr>
        <w:t xml:space="preserve">property, we conducted a survey of reasonably comparable tenant leases </w:t>
      </w:r>
      <w:r w:rsidRPr="00BA4BC4">
        <w:rPr>
          <w:rFonts w:cs="Arial"/>
          <w:szCs w:val="22"/>
        </w:rPr>
        <w:t xml:space="preserve">of </w:t>
      </w:r>
      <w:r w:rsidR="00733C95">
        <w:rPr>
          <w:rFonts w:cs="Arial"/>
          <w:szCs w:val="22"/>
        </w:rPr>
        <w:t xml:space="preserve">office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25F7E79C" w14:textId="190D00B5" w:rsidR="005A24B3" w:rsidRDefault="0019553E"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9B4ECE">
        <w:rPr>
          <w:noProof/>
        </w:rPr>
        <w:lastRenderedPageBreak/>
        <w:drawing>
          <wp:inline distT="0" distB="0" distL="0" distR="0" wp14:anchorId="366CEF35" wp14:editId="49192A27">
            <wp:extent cx="6773938" cy="7459980"/>
            <wp:effectExtent l="0" t="0" r="825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780881" cy="7467627"/>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F5587A">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AC09A1">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3BBC7F76" w14:textId="77777777" w:rsidR="002A374A" w:rsidRDefault="002A374A" w:rsidP="005A24B3">
      <w:pPr>
        <w:rPr>
          <w:rFonts w:ascii="Calibri" w:hAnsi="Calibri" w:cs="Segoe UI"/>
        </w:rPr>
        <w:sectPr w:rsidR="002A374A" w:rsidSect="001222E0">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6D0FDDED" w14:textId="5E1DFE17" w:rsidR="009B7DEE" w:rsidRPr="00756BD2" w:rsidRDefault="009B7DEE" w:rsidP="009B7DEE">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Office or Medical-Dental"/>
          <w:tag w:val="Office or Medical-Dental"/>
          <w:id w:val="362564282"/>
          <w:placeholder>
            <w:docPart w:val="4047ED7E4B244A8A81EFB8D83765E435"/>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A46E01">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w:t>
      </w:r>
      <w:r w:rsidR="00900D6E" w:rsidRPr="00611817">
        <w:rPr>
          <w:rFonts w:cs="Arial"/>
          <w:szCs w:val="22"/>
          <w:u w:val="single"/>
        </w:rPr>
        <w:t xml:space="preserve">adjusted annual modified gross </w:t>
      </w:r>
      <w:r w:rsidR="00900D6E">
        <w:rPr>
          <w:rFonts w:cs="Arial"/>
          <w:szCs w:val="22"/>
          <w:u w:val="single"/>
        </w:rPr>
        <w:t>rent</w:t>
      </w:r>
      <w:r w:rsidR="00900D6E" w:rsidRPr="00611817">
        <w:rPr>
          <w:rFonts w:cs="Arial"/>
          <w:szCs w:val="22"/>
          <w:u w:val="single"/>
        </w:rPr>
        <w:t>s</w:t>
      </w:r>
      <w:r w:rsidR="00900D6E" w:rsidRPr="00967B66">
        <w:rPr>
          <w:rFonts w:cs="Arial"/>
          <w:szCs w:val="22"/>
        </w:rPr>
        <w:t xml:space="preserve"> </w:t>
      </w:r>
      <w:r w:rsidRPr="00967B66">
        <w:rPr>
          <w:rFonts w:cs="Arial"/>
          <w:szCs w:val="22"/>
        </w:rPr>
        <w:t xml:space="preserve">ranging from </w:t>
      </w:r>
      <w:r w:rsidRPr="009B7DEE">
        <w:rPr>
          <w:rFonts w:cs="Arial"/>
          <w:szCs w:val="22"/>
          <w:highlight w:val="yellow"/>
        </w:rPr>
        <w:t>$17.21 to $27.55</w:t>
      </w:r>
      <w:r w:rsidRPr="00967B66">
        <w:rPr>
          <w:rFonts w:cs="Arial"/>
          <w:szCs w:val="22"/>
        </w:rPr>
        <w:t xml:space="preserve"> per SF NRA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Office or Medical-Dental"/>
          <w:tag w:val="Office or Medical-Dental"/>
          <w:id w:val="-564489150"/>
          <w:placeholder>
            <w:docPart w:val="2E53C3FF4E664E04B53484C8C17FE75F"/>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C61AA8">
        <w:rPr>
          <w:rFonts w:cs="Arial"/>
          <w:szCs w:val="22"/>
          <w:highlight w:val="yellow"/>
        </w:rPr>
        <w:t xml:space="preserve"> 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235F97C4"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NRA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400475">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C12A359535FA4C07BDEF41A1EC16F067"/>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400475">
            <w:rPr>
              <w:rFonts w:cs="Arial"/>
              <w:kern w:val="20"/>
              <w:szCs w:val="22"/>
              <w:highlight w:val="green"/>
            </w:rPr>
            <w:t>analysis</w:t>
          </w:r>
        </w:sdtContent>
      </w:sdt>
      <w:r w:rsidR="00400475"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0A34FB42" w14:textId="77777777" w:rsidR="00900D6E" w:rsidRDefault="00900D6E" w:rsidP="00900D6E">
      <w:pPr>
        <w:rPr>
          <w:szCs w:val="22"/>
        </w:rPr>
      </w:pPr>
      <w:r w:rsidRPr="00900D6E">
        <w:rPr>
          <w:szCs w:val="22"/>
          <w:highlight w:val="yellow"/>
        </w:rPr>
        <w:t>According to rent roll information provided by the owner (see Addenda), the subject is currently occupied by (3) office tenants. Two of the tenants, Sports &amp; Spine Clinic and Living Wholehearted, each occupy multiple office suites while the third tenant, Cooney Cooney &amp; Madigan occupies one suite on the second floor. One space (Suite 202 – 689 SF NRA) is currently vacant. The lease for Sports and Spine Clinic (Suites 101 and 103 – 2,296 SF NRA); will terminate in May 2020.  The two suite leases for Living Wholehearted (1,016 SF NRA) extend through April 2023, while the lease to Cooney Cooney &amp; Madigan (1,305 SF NRA) extend through March 2024. After closing, the buyer intends to partially owner-occupy the building on two levels (Suites 101, 103 and 202 – NRA = 2,985 SF NRA) with a related party business – Capital Hill Mortgage. Provided following page is our reconstructed Tenant Rent Roll, with copies of the lease agreements for the two remaining tenants provided in the Addenda of this report.</w:t>
      </w:r>
    </w:p>
    <w:p w14:paraId="2D97B78B" w14:textId="77777777" w:rsidR="00900D6E" w:rsidRPr="00A21E1E" w:rsidRDefault="00900D6E" w:rsidP="00900D6E">
      <w:pPr>
        <w:rPr>
          <w:szCs w:val="22"/>
        </w:rPr>
      </w:pPr>
    </w:p>
    <w:p w14:paraId="30691B8D" w14:textId="77777777" w:rsidR="00900D6E" w:rsidRDefault="00900D6E" w:rsidP="00900D6E">
      <w:pPr>
        <w:ind w:left="-720"/>
        <w:rPr>
          <w:szCs w:val="22"/>
        </w:rPr>
      </w:pPr>
      <w:r w:rsidRPr="00CC3256">
        <w:rPr>
          <w:noProof/>
        </w:rPr>
        <w:lastRenderedPageBreak/>
        <w:drawing>
          <wp:inline distT="0" distB="0" distL="0" distR="0" wp14:anchorId="612F28B5" wp14:editId="69399C31">
            <wp:extent cx="6857499" cy="4565072"/>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6248" cy="4570896"/>
                    </a:xfrm>
                    <a:prstGeom prst="rect">
                      <a:avLst/>
                    </a:prstGeom>
                    <a:noFill/>
                    <a:ln>
                      <a:noFill/>
                    </a:ln>
                  </pic:spPr>
                </pic:pic>
              </a:graphicData>
            </a:graphic>
          </wp:inline>
        </w:drawing>
      </w:r>
    </w:p>
    <w:p w14:paraId="4B52B1B6" w14:textId="77777777" w:rsidR="00900D6E" w:rsidRDefault="00900D6E" w:rsidP="00900D6E">
      <w:pPr>
        <w:rPr>
          <w:szCs w:val="22"/>
        </w:rPr>
      </w:pPr>
    </w:p>
    <w:p w14:paraId="3E786384" w14:textId="77777777" w:rsidR="00900D6E" w:rsidRDefault="00900D6E" w:rsidP="00900D6E">
      <w:pPr>
        <w:rPr>
          <w:szCs w:val="22"/>
        </w:rPr>
      </w:pPr>
      <w:r>
        <w:rPr>
          <w:szCs w:val="22"/>
        </w:rPr>
        <w:t>After the closing of the pending sale, there will be only (2) third party tenants occupying space within the subject building, and these are detailed as follows:</w:t>
      </w:r>
    </w:p>
    <w:p w14:paraId="2B8E94F9" w14:textId="77777777" w:rsidR="00900D6E" w:rsidRDefault="00900D6E" w:rsidP="00900D6E">
      <w:pPr>
        <w:rPr>
          <w:szCs w:val="22"/>
        </w:rPr>
      </w:pPr>
    </w:p>
    <w:p w14:paraId="17F5DC04" w14:textId="77777777" w:rsidR="00900D6E" w:rsidRDefault="00900D6E" w:rsidP="00900D6E">
      <w:pPr>
        <w:rPr>
          <w:szCs w:val="22"/>
        </w:rPr>
      </w:pPr>
      <w:r w:rsidRPr="00E30D3D">
        <w:rPr>
          <w:szCs w:val="22"/>
          <w:u w:val="single"/>
        </w:rPr>
        <w:t>Living Wholehearted</w:t>
      </w:r>
      <w:r>
        <w:rPr>
          <w:szCs w:val="22"/>
        </w:rPr>
        <w:t xml:space="preserve"> occupies Suites 102 and 203 (1,016 SF), plus Suite 204 (486 SF) on two separate 5-year leases which began July 2018. The current contract rates for each of these leases over the next 12-month period is $20.22 per SF and $19.98 per SF NRA.  Both are considered reasonably close to market with very little measurable leasehold interest applicable in this analysis.</w:t>
      </w:r>
    </w:p>
    <w:p w14:paraId="4E064AD6" w14:textId="77777777" w:rsidR="00900D6E" w:rsidRDefault="00900D6E" w:rsidP="00900D6E">
      <w:pPr>
        <w:rPr>
          <w:szCs w:val="22"/>
        </w:rPr>
      </w:pPr>
    </w:p>
    <w:p w14:paraId="6271D539" w14:textId="77777777" w:rsidR="00900D6E" w:rsidRDefault="00900D6E" w:rsidP="00900D6E">
      <w:pPr>
        <w:rPr>
          <w:szCs w:val="22"/>
        </w:rPr>
      </w:pPr>
      <w:r w:rsidRPr="00E30D3D">
        <w:rPr>
          <w:szCs w:val="22"/>
          <w:u w:val="single"/>
        </w:rPr>
        <w:t>Cooney Cooney &amp; Madigan</w:t>
      </w:r>
      <w:r>
        <w:rPr>
          <w:szCs w:val="22"/>
        </w:rPr>
        <w:t xml:space="preserve"> occupies Suite 201 (1,305 SF), is in the midst of a 5-year lease which began April 2019. The current contract rates for each of these leases over the next 12-month period is $18.97 per SF NRA.  This rate is considered slightly below market, and based on our internal calculations, amounts to roughly a $2,600 positive leasehold interest, which is insignificant and would not have a material impact on the final valuation conclusion.</w:t>
      </w:r>
    </w:p>
    <w:p w14:paraId="440DD19C" w14:textId="77777777" w:rsidR="00900D6E" w:rsidRDefault="00900D6E" w:rsidP="00900D6E">
      <w:pPr>
        <w:suppressAutoHyphens/>
      </w:pPr>
    </w:p>
    <w:p w14:paraId="7EBE297D" w14:textId="77777777" w:rsidR="00900D6E" w:rsidRDefault="00113B80" w:rsidP="00113B80">
      <w:pPr>
        <w:widowControl w:val="0"/>
        <w:tabs>
          <w:tab w:val="left" w:pos="3744"/>
        </w:tabs>
        <w:rPr>
          <w:rFonts w:ascii="Calibri" w:hAnsi="Calibri" w:cs="Calibri"/>
          <w:szCs w:val="22"/>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900D6E">
            <w:rPr>
              <w:highlight w:val="green"/>
            </w:rPr>
            <w:t>at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900D6E">
            <w:rPr>
              <w:highlight w:val="green"/>
            </w:rPr>
            <w:t>no measurable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900D6E">
            <w:rPr>
              <w:rFonts w:ascii="Calibri" w:hAnsi="Calibri" w:cs="Calibri"/>
              <w:szCs w:val="22"/>
              <w:highlight w:val="green"/>
            </w:rPr>
            <w:t>equal to</w:t>
          </w:r>
        </w:sdtContent>
      </w:sdt>
      <w:r w:rsidRPr="0061766B">
        <w:rPr>
          <w:rFonts w:ascii="Calibri" w:hAnsi="Calibri" w:cs="Calibri"/>
          <w:szCs w:val="22"/>
        </w:rPr>
        <w:t xml:space="preserve"> the leased fee interest</w:t>
      </w:r>
      <w:r w:rsidRPr="00900D6E">
        <w:rPr>
          <w:rFonts w:ascii="Calibri" w:hAnsi="Calibri" w:cs="Calibri"/>
          <w:szCs w:val="22"/>
        </w:rPr>
        <w:t xml:space="preserve">. </w:t>
      </w:r>
    </w:p>
    <w:p w14:paraId="296AFF82" w14:textId="77777777" w:rsidR="00900D6E" w:rsidRDefault="00900D6E" w:rsidP="00113B80">
      <w:pPr>
        <w:widowControl w:val="0"/>
        <w:tabs>
          <w:tab w:val="left" w:pos="3744"/>
        </w:tabs>
        <w:rPr>
          <w:rFonts w:ascii="Calibri" w:hAnsi="Calibri" w:cs="Calibri"/>
          <w:szCs w:val="22"/>
        </w:rPr>
      </w:pPr>
    </w:p>
    <w:p w14:paraId="11275D41" w14:textId="08D8EEB4" w:rsidR="00113B80" w:rsidRDefault="00113B80" w:rsidP="00113B80">
      <w:pPr>
        <w:widowControl w:val="0"/>
        <w:tabs>
          <w:tab w:val="left" w:pos="3744"/>
        </w:tabs>
        <w:rPr>
          <w:rFonts w:ascii="Calibri" w:hAnsi="Calibri" w:cs="Calibri"/>
          <w:szCs w:val="22"/>
        </w:rPr>
      </w:pPr>
      <w:r w:rsidRPr="00447014">
        <w:rPr>
          <w:rFonts w:ascii="Calibri" w:hAnsi="Calibri" w:cs="Calibri"/>
          <w:szCs w:val="22"/>
          <w:highlight w:val="yellow"/>
        </w:rPr>
        <w:t>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054A2604" w14:textId="77777777" w:rsidR="00900D6E" w:rsidRPr="00FF1F4B" w:rsidRDefault="00900D6E" w:rsidP="00113B80">
      <w:pPr>
        <w:widowControl w:val="0"/>
        <w:tabs>
          <w:tab w:val="left" w:pos="3744"/>
        </w:tabs>
        <w:rPr>
          <w:rFonts w:cs="Segoe UI"/>
        </w:rPr>
      </w:pP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lastRenderedPageBreak/>
        <w:t>Market Rent Conclusion</w:t>
      </w:r>
    </w:p>
    <w:p w14:paraId="64E7BBB9" w14:textId="27560920" w:rsidR="009B7DEE" w:rsidRDefault="009B7DEE" w:rsidP="009B7DEE">
      <w:r w:rsidRPr="00CB4DB3">
        <w:t xml:space="preserve">Based on the preceding discussions, it is concluded that the market rent for the subject property is reasonably supported </w:t>
      </w:r>
      <w:r w:rsidRPr="00B20928">
        <w:rPr>
          <w:highlight w:val="yellow"/>
        </w:rPr>
        <w:t>near the 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NRA</w:t>
      </w:r>
      <w:r w:rsidRPr="000766C3">
        <w:t>.</w:t>
      </w:r>
      <w:r>
        <w:t xml:space="preserve"> </w:t>
      </w:r>
    </w:p>
    <w:p w14:paraId="739CCBF0" w14:textId="77777777" w:rsidR="00733C95" w:rsidRPr="009B6E44" w:rsidRDefault="00733C95" w:rsidP="00733C95">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Rent</w:t>
      </w:r>
    </w:p>
    <w:p w14:paraId="6148A60E" w14:textId="727465E6" w:rsidR="00733C95" w:rsidRDefault="00733C95" w:rsidP="00733C95">
      <w:pPr>
        <w:rPr>
          <w:rFonts w:cs="Arial"/>
          <w:szCs w:val="22"/>
        </w:rPr>
      </w:pPr>
      <w:r>
        <w:t xml:space="preserve">Overall, the preceding market conclusion equates to </w:t>
      </w:r>
      <w:r w:rsidRPr="00602BA2">
        <w:rPr>
          <w:b/>
        </w:rPr>
        <w:t>potential gross</w:t>
      </w:r>
      <w:r>
        <w:rPr>
          <w:b/>
        </w:rPr>
        <w:t xml:space="preserve"> rent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NRA)</w:t>
      </w:r>
      <w:r w:rsidRPr="002921E3">
        <w:rPr>
          <w:rFonts w:cs="Arial"/>
          <w:szCs w:val="22"/>
        </w:rPr>
        <w:t xml:space="preserve">. </w:t>
      </w:r>
    </w:p>
    <w:p w14:paraId="2A96CCAE" w14:textId="77777777" w:rsidR="00733C95" w:rsidRPr="000754FA" w:rsidRDefault="00733C95" w:rsidP="00733C95">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Reimbursable Expenses</w:t>
      </w:r>
    </w:p>
    <w:p w14:paraId="763706F3" w14:textId="25085723" w:rsidR="00733C95" w:rsidRDefault="00733C95" w:rsidP="00733C95">
      <w:r>
        <w:t>Market standards indicate that the landlord passes through expenses over the base year for each tenant. This amount var</w:t>
      </w:r>
      <w:r w:rsidRPr="00B308F8">
        <w:t xml:space="preserve">ies by how recently the tenant has taken occupancy, and / </w:t>
      </w:r>
      <w:r w:rsidRPr="00777C3D">
        <w:t xml:space="preserve">or renegotiated their lease. </w:t>
      </w:r>
      <w:r>
        <w:t xml:space="preserve">The appraisers were provided with an </w:t>
      </w:r>
      <w:r w:rsidRPr="00733C95">
        <w:rPr>
          <w:highlight w:val="yellow"/>
        </w:rPr>
        <w:t>annualized 11 months of income</w:t>
      </w:r>
      <w:r>
        <w:t xml:space="preserve"> and expenses from the management company as this is as long as they have been managing the property. This report indicated that reimbursable income has been </w:t>
      </w:r>
      <w:r w:rsidRPr="00733C95">
        <w:rPr>
          <w:highlight w:val="yellow"/>
        </w:rPr>
        <w:t>$______,</w:t>
      </w:r>
      <w:r>
        <w:t xml:space="preserve"> annualized in </w:t>
      </w:r>
      <w:r w:rsidRPr="00733C95">
        <w:rPr>
          <w:highlight w:val="yellow"/>
        </w:rPr>
        <w:t>2020</w:t>
      </w:r>
      <w:r>
        <w:t xml:space="preserve">. Thus, a conservative stabilized amount of </w:t>
      </w:r>
      <w:r w:rsidRPr="00733C95">
        <w:rPr>
          <w:b/>
          <w:highlight w:val="yellow"/>
        </w:rPr>
        <w:t>$__________</w:t>
      </w:r>
      <w:r>
        <w:t>, annually for reimbursable expenses is concluded for this analysis</w:t>
      </w:r>
      <w:r w:rsidRPr="000B36DB">
        <w:t>.</w:t>
      </w:r>
      <w:r>
        <w:t xml:space="preserve"> </w:t>
      </w:r>
    </w:p>
    <w:p w14:paraId="38128D04" w14:textId="77777777" w:rsidR="00733C95" w:rsidRPr="009B6E44" w:rsidRDefault="00733C95" w:rsidP="00733C95">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Income</w:t>
      </w:r>
    </w:p>
    <w:p w14:paraId="7D6A60A0" w14:textId="0196E841" w:rsidR="005A24B3" w:rsidRDefault="00733C95" w:rsidP="005A24B3">
      <w:pPr>
        <w:rPr>
          <w:rFonts w:cs="Arial"/>
          <w:szCs w:val="22"/>
        </w:rPr>
      </w:pPr>
      <w:r w:rsidRPr="00103988">
        <w:t>Adding together potential gross rental income with</w:t>
      </w:r>
      <w:r>
        <w:t xml:space="preserve"> the other income and the </w:t>
      </w:r>
      <w:r w:rsidRPr="00103988">
        <w:t>reimbursed expenses results in</w:t>
      </w:r>
      <w:r>
        <w:t xml:space="preserve"> </w:t>
      </w:r>
      <w:r w:rsidRPr="00602BA2">
        <w:rPr>
          <w:b/>
        </w:rPr>
        <w:t xml:space="preserve">potential gross income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NRA)</w:t>
      </w:r>
      <w:r>
        <w:rPr>
          <w:rFonts w:cs="Arial"/>
          <w:szCs w:val="22"/>
        </w:rPr>
        <w:t xml:space="preserve">, as </w:t>
      </w:r>
      <w:r w:rsidR="005A24B3" w:rsidRPr="000754FA">
        <w:rPr>
          <w:rFonts w:cs="Arial"/>
          <w:szCs w:val="22"/>
        </w:rPr>
        <w:t>indicated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30EB8486" w14:textId="77777777" w:rsidR="00E32D7D" w:rsidRDefault="00E32D7D" w:rsidP="00E32D7D">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1EE253A" w14:textId="77777777" w:rsidR="00C61AA8" w:rsidRDefault="00C61AA8" w:rsidP="00C61AA8">
      <w:r w:rsidRPr="00C61AA8">
        <w:rPr>
          <w:highlight w:val="yellow"/>
        </w:rPr>
        <w:t xml:space="preserve">The appraiser used </w:t>
      </w:r>
      <w:r w:rsidRPr="00C61AA8">
        <w:rPr>
          <w:b/>
          <w:highlight w:val="yellow"/>
        </w:rPr>
        <w:t>CoStar</w:t>
      </w:r>
      <w:r w:rsidRPr="00C61AA8">
        <w:rPr>
          <w:highlight w:val="yellow"/>
        </w:rPr>
        <w:t xml:space="preserve"> to produce a search of the subject’s immediate to expanded </w:t>
      </w:r>
      <w:r w:rsidRPr="00C61AA8">
        <w:rPr>
          <w:highlight w:val="yellow"/>
          <w:u w:val="single"/>
        </w:rPr>
        <w:t>Beaverton / 217Corridor/ Tigard</w:t>
      </w:r>
      <w:r w:rsidRPr="00C61AA8">
        <w:rPr>
          <w:highlight w:val="yellow"/>
        </w:rPr>
        <w:t xml:space="preserve"> submarkets for </w:t>
      </w:r>
      <w:r w:rsidRPr="00C61AA8">
        <w:rPr>
          <w:b/>
          <w:highlight w:val="yellow"/>
        </w:rPr>
        <w:t>office properties</w:t>
      </w:r>
      <w:r w:rsidRPr="00C61AA8">
        <w:rPr>
          <w:highlight w:val="yellow"/>
        </w:rPr>
        <w:t xml:space="preserve">. As of March 2020, </w:t>
      </w:r>
      <w:r w:rsidRPr="00C61AA8">
        <w:rPr>
          <w:b/>
          <w:highlight w:val="yellow"/>
        </w:rPr>
        <w:t>Costar</w:t>
      </w:r>
      <w:r w:rsidRPr="00C61AA8">
        <w:rPr>
          <w:highlight w:val="yellow"/>
        </w:rPr>
        <w:t xml:space="preserve"> indicates current vacancy at 10.4% </w:t>
      </w:r>
      <w:r w:rsidRPr="00C61AA8">
        <w:rPr>
          <w:iCs/>
          <w:highlight w:val="yellow"/>
        </w:rPr>
        <w:t xml:space="preserve">(803,081 </w:t>
      </w:r>
      <w:r w:rsidRPr="00C61AA8">
        <w:rPr>
          <w:highlight w:val="yellow"/>
        </w:rPr>
        <w:t>SF out of 7,704,170 SF, 470 properties surveyed) with negative absorption of -45,141 SF over the past 12 months. This vacancy is also lower than the 5-year average of 11.9%, with only 33,704 SF delivered on average over the 5-year period. Currently, there is no new office under construction within the defined submarket area and no new space delivered over the past 12 months. The current average asking rate for office space in the immediate area is $22.44per SF (primarily quoted as full-service basis), which is above the 5-year average of $20.33 per SF.</w:t>
      </w:r>
    </w:p>
    <w:p w14:paraId="5F653F00" w14:textId="77777777" w:rsidR="005A24B3" w:rsidRDefault="005A24B3" w:rsidP="005A24B3">
      <w:pPr>
        <w:rPr>
          <w:rFonts w:cs="Arial"/>
          <w:szCs w:val="22"/>
        </w:rPr>
      </w:pPr>
    </w:p>
    <w:p w14:paraId="4A2ED5CA" w14:textId="3DC68669"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6D3641" w:rsidRPr="00C61AA8">
        <w:rPr>
          <w:rFonts w:cs="Arial"/>
          <w:szCs w:val="22"/>
          <w:highlight w:val="yellow"/>
        </w:rPr>
        <w:t>office</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593603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9B7DEE">
        <w:rPr>
          <w:rFonts w:cs="Arial"/>
          <w:szCs w:val="22"/>
          <w:highlight w:val="yellow"/>
        </w:rPr>
        <w:t>NR</w:t>
      </w:r>
      <w:r w:rsidR="00B46DD4" w:rsidRPr="00B46DD4">
        <w:rPr>
          <w:rFonts w:cs="Arial"/>
          <w:szCs w:val="22"/>
          <w:highlight w:val="yellow"/>
        </w:rPr>
        <w:t>A)</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Projected Operating Expenses</w:t>
      </w:r>
    </w:p>
    <w:p w14:paraId="23C9AD7F" w14:textId="3A05C51D" w:rsidR="00900D6E" w:rsidRDefault="00900D6E" w:rsidP="00900D6E">
      <w:r>
        <w:rPr>
          <w:color w:val="000000"/>
        </w:rPr>
        <w:t xml:space="preserve">The market rent conclusion has been based on </w:t>
      </w:r>
      <w:r>
        <w:t>modified gross basis (</w:t>
      </w:r>
      <w:r w:rsidRPr="00900D6E">
        <w:rPr>
          <w:highlight w:val="yellow"/>
        </w:rPr>
        <w:t xml:space="preserve">tenants only pay their own </w:t>
      </w:r>
      <w:sdt>
        <w:sdtPr>
          <w:rPr>
            <w:highlight w:val="green"/>
          </w:rPr>
          <w:alias w:val="Tenant Paid Expenses"/>
          <w:tag w:val="Tenant Paid Expenses"/>
          <w:id w:val="-1175489496"/>
          <w:placeholder>
            <w:docPart w:val="6693AB4C8947490E9C0CD8E4DA774C2C"/>
          </w:placeholder>
          <w:dropDownList>
            <w:listItem w:value="Choose an item."/>
            <w:listItem w:displayText="interior electrical utilities and janitorial" w:value="interior electrical utilities and janitorial"/>
            <w:listItem w:displayText="interior electrical utilities" w:value="interior electrical utilities"/>
            <w:listItem w:displayText="interior electrical &amp; gas utilities" w:value="interior electrical &amp; gas utilities"/>
            <w:listItem w:displayText="janitorial" w:value="janitorial"/>
          </w:dropDownList>
        </w:sdtPr>
        <w:sdtEndPr/>
        <w:sdtContent>
          <w:r w:rsidR="00424D4E">
            <w:rPr>
              <w:highlight w:val="green"/>
            </w:rPr>
            <w:t>interior electrical utilities and janitorial</w:t>
          </w:r>
        </w:sdtContent>
      </w:sdt>
      <w:r>
        <w:t xml:space="preserve">), with all other operating expenses for the subject space would be paid for by the landlord. </w:t>
      </w:r>
      <w:r>
        <w:rPr>
          <w:color w:val="000000"/>
        </w:rPr>
        <w:t xml:space="preserve">To estimate expenses applicable to the subject property on a stabilized basis, local suppliers have been contacted, and comparable properties have been analyzed. </w:t>
      </w:r>
      <w:r w:rsidRPr="00900D6E">
        <w:rPr>
          <w:color w:val="000000"/>
          <w:highlight w:val="yellow"/>
        </w:rPr>
        <w:t>Please note that no historical income / expenses were provided for review by the appraiser</w:t>
      </w:r>
      <w:r w:rsidRPr="00900D6E">
        <w:rPr>
          <w:highlight w:val="yellow"/>
        </w:rPr>
        <w:t>, though operating expense projection for the subject were provided within the listing broker’s pro forma / marketing flyer in the Addenda of this report</w:t>
      </w:r>
      <w:r>
        <w:t>.</w:t>
      </w:r>
    </w:p>
    <w:p w14:paraId="0B119451" w14:textId="77777777" w:rsidR="00900D6E" w:rsidRDefault="00900D6E" w:rsidP="00900D6E">
      <w:pPr>
        <w:pStyle w:val="Footer"/>
        <w:tabs>
          <w:tab w:val="clear" w:pos="4320"/>
          <w:tab w:val="clear" w:pos="8640"/>
        </w:tabs>
      </w:pPr>
    </w:p>
    <w:p w14:paraId="3C739D3A" w14:textId="1CA5CA55" w:rsidR="00900D6E" w:rsidRPr="007F2895" w:rsidRDefault="00900D6E" w:rsidP="00900D6E">
      <w:pPr>
        <w:widowControl w:val="0"/>
        <w:rPr>
          <w:szCs w:val="22"/>
        </w:rPr>
      </w:pPr>
      <w:r w:rsidRPr="00495797">
        <w:rPr>
          <w:color w:val="1E4959"/>
          <w:sz w:val="24"/>
          <w:u w:val="single"/>
        </w:rPr>
        <w:t>Real Estate Taxes</w:t>
      </w:r>
      <w:r w:rsidRPr="00E30D44">
        <w:rPr>
          <w:color w:val="1E4959"/>
          <w:sz w:val="24"/>
        </w:rPr>
        <w:t xml:space="preserve">: </w:t>
      </w:r>
      <w:r w:rsidRPr="00E30D44">
        <w:rPr>
          <w:szCs w:val="22"/>
        </w:rPr>
        <w:t xml:space="preserve"> The subject is currently responsible for real estate taxes of </w:t>
      </w:r>
      <w:r w:rsidRPr="00371BEB">
        <w:rPr>
          <w:szCs w:val="22"/>
          <w:highlight w:val="yellow"/>
        </w:rPr>
        <w:t>$10,594</w:t>
      </w:r>
      <w:r w:rsidRPr="00E30D44">
        <w:rPr>
          <w:szCs w:val="22"/>
        </w:rPr>
        <w:t xml:space="preserve"> for the </w:t>
      </w:r>
      <w:r w:rsidRPr="00371BEB">
        <w:rPr>
          <w:szCs w:val="22"/>
          <w:highlight w:val="yellow"/>
        </w:rPr>
        <w:t>2019-2020</w:t>
      </w:r>
      <w:r w:rsidRPr="00E30D44">
        <w:rPr>
          <w:szCs w:val="22"/>
        </w:rPr>
        <w:t xml:space="preserve"> tax year, the current tax year for the subject property. </w:t>
      </w:r>
      <w:r>
        <w:rPr>
          <w:szCs w:val="22"/>
        </w:rPr>
        <w:t xml:space="preserve">As these taxes were just recently paid this tax amount plus 3%, less a 3% discount for on time payment will be used in this analysis, or </w:t>
      </w:r>
      <w:r w:rsidRPr="00371BEB">
        <w:rPr>
          <w:b/>
          <w:szCs w:val="22"/>
          <w:highlight w:val="yellow"/>
        </w:rPr>
        <w:t>$</w:t>
      </w:r>
      <w:r w:rsidR="00371BEB" w:rsidRPr="00371BEB">
        <w:rPr>
          <w:b/>
          <w:szCs w:val="22"/>
          <w:highlight w:val="yellow"/>
        </w:rPr>
        <w:t>________</w:t>
      </w:r>
      <w:r w:rsidRPr="00371BEB">
        <w:rPr>
          <w:szCs w:val="22"/>
          <w:highlight w:val="yellow"/>
        </w:rPr>
        <w:t>.</w:t>
      </w:r>
    </w:p>
    <w:p w14:paraId="3A637D95" w14:textId="77777777" w:rsidR="00900D6E" w:rsidRPr="007F2895" w:rsidRDefault="00900D6E" w:rsidP="00900D6E">
      <w:pPr>
        <w:jc w:val="left"/>
        <w:rPr>
          <w:szCs w:val="22"/>
        </w:rPr>
      </w:pPr>
    </w:p>
    <w:p w14:paraId="15D589DC" w14:textId="0469C006" w:rsidR="00900D6E" w:rsidRPr="005116AD" w:rsidRDefault="00900D6E" w:rsidP="00900D6E">
      <w:pPr>
        <w:widowControl w:val="0"/>
        <w:tabs>
          <w:tab w:val="left" w:pos="288"/>
          <w:tab w:val="left" w:pos="576"/>
        </w:tabs>
        <w:rPr>
          <w:szCs w:val="22"/>
        </w:rPr>
      </w:pPr>
      <w:r w:rsidRPr="007F2895">
        <w:rPr>
          <w:color w:val="1E4959"/>
          <w:sz w:val="24"/>
          <w:u w:val="single"/>
        </w:rPr>
        <w:t>Insurance</w:t>
      </w:r>
      <w:r w:rsidRPr="007F2895">
        <w:rPr>
          <w:color w:val="1E4959"/>
          <w:sz w:val="24"/>
        </w:rPr>
        <w:t xml:space="preserve">: </w:t>
      </w:r>
      <w:r w:rsidRPr="007F2895">
        <w:rPr>
          <w:szCs w:val="22"/>
        </w:rPr>
        <w:t xml:space="preserve">Building insurance for similar </w:t>
      </w:r>
      <w:r>
        <w:rPr>
          <w:szCs w:val="22"/>
        </w:rPr>
        <w:t xml:space="preserve">office </w:t>
      </w:r>
      <w:r w:rsidRPr="007F2895">
        <w:rPr>
          <w:szCs w:val="22"/>
        </w:rPr>
        <w:t xml:space="preserve">properties in the Portland metropolitan area generally range </w:t>
      </w:r>
      <w:r w:rsidRPr="00036327">
        <w:rPr>
          <w:szCs w:val="22"/>
        </w:rPr>
        <w:t xml:space="preserve">from </w:t>
      </w:r>
      <w:r w:rsidRPr="00371BEB">
        <w:rPr>
          <w:szCs w:val="22"/>
          <w:highlight w:val="yellow"/>
        </w:rPr>
        <w:t>$0.20 to $0.50</w:t>
      </w:r>
      <w:r w:rsidRPr="00036327">
        <w:rPr>
          <w:szCs w:val="22"/>
        </w:rPr>
        <w:t xml:space="preserve"> per </w:t>
      </w:r>
      <w:r w:rsidR="00371BEB">
        <w:rPr>
          <w:szCs w:val="22"/>
        </w:rPr>
        <w:t>SF</w:t>
      </w:r>
      <w:r w:rsidRPr="00036327">
        <w:rPr>
          <w:szCs w:val="22"/>
        </w:rPr>
        <w:t>. The</w:t>
      </w:r>
      <w:r>
        <w:rPr>
          <w:szCs w:val="22"/>
        </w:rPr>
        <w:t xml:space="preserve"> marketing flyer projects insurance costs at </w:t>
      </w:r>
      <w:r w:rsidRPr="00371BEB">
        <w:rPr>
          <w:szCs w:val="22"/>
          <w:highlight w:val="yellow"/>
        </w:rPr>
        <w:t>$1,117 ($0.193 per SF NRA</w:t>
      </w:r>
      <w:r>
        <w:rPr>
          <w:szCs w:val="22"/>
        </w:rPr>
        <w:t>) which appears near reasonable for this property type</w:t>
      </w:r>
      <w:r w:rsidRPr="00036327">
        <w:rPr>
          <w:szCs w:val="22"/>
        </w:rPr>
        <w:t>. Therefore, a</w:t>
      </w:r>
      <w:r>
        <w:rPr>
          <w:szCs w:val="22"/>
        </w:rPr>
        <w:t xml:space="preserve">n </w:t>
      </w:r>
      <w:r w:rsidRPr="00036327">
        <w:rPr>
          <w:szCs w:val="22"/>
        </w:rPr>
        <w:t xml:space="preserve">expense </w:t>
      </w:r>
      <w:r>
        <w:rPr>
          <w:szCs w:val="22"/>
        </w:rPr>
        <w:t xml:space="preserve">at the lower end of the comparable range </w:t>
      </w:r>
      <w:r w:rsidRPr="00036327">
        <w:rPr>
          <w:szCs w:val="22"/>
        </w:rPr>
        <w:t xml:space="preserve">of </w:t>
      </w:r>
      <w:r w:rsidRPr="00371BEB">
        <w:rPr>
          <w:b/>
          <w:szCs w:val="22"/>
          <w:highlight w:val="yellow"/>
        </w:rPr>
        <w:t>$0.20 per SF</w:t>
      </w:r>
      <w:r w:rsidRPr="00036327">
        <w:rPr>
          <w:szCs w:val="22"/>
        </w:rPr>
        <w:t xml:space="preserve"> has been applied.</w:t>
      </w:r>
    </w:p>
    <w:p w14:paraId="3C167066" w14:textId="77777777" w:rsidR="00900D6E" w:rsidRPr="005116AD" w:rsidRDefault="00900D6E" w:rsidP="00900D6E">
      <w:pPr>
        <w:widowControl w:val="0"/>
        <w:tabs>
          <w:tab w:val="left" w:pos="3744"/>
        </w:tabs>
        <w:rPr>
          <w:szCs w:val="22"/>
        </w:rPr>
      </w:pPr>
    </w:p>
    <w:p w14:paraId="43E2CABA" w14:textId="77777777" w:rsidR="00900D6E" w:rsidRPr="005116AD" w:rsidRDefault="00900D6E" w:rsidP="00900D6E">
      <w:pPr>
        <w:tabs>
          <w:tab w:val="left" w:pos="288"/>
          <w:tab w:val="left" w:pos="576"/>
        </w:tabs>
        <w:rPr>
          <w:szCs w:val="22"/>
        </w:rPr>
      </w:pPr>
      <w:r>
        <w:rPr>
          <w:color w:val="1E4959"/>
          <w:sz w:val="24"/>
          <w:u w:val="single"/>
        </w:rPr>
        <w:t>Utilities (Excluding Interior Electricity)</w:t>
      </w:r>
      <w:r w:rsidRPr="00E30D44">
        <w:rPr>
          <w:color w:val="1E4959"/>
          <w:sz w:val="24"/>
        </w:rPr>
        <w:t xml:space="preserve">: </w:t>
      </w:r>
      <w:r w:rsidRPr="00036327">
        <w:rPr>
          <w:szCs w:val="22"/>
        </w:rPr>
        <w:t>The</w:t>
      </w:r>
      <w:r>
        <w:rPr>
          <w:szCs w:val="22"/>
        </w:rPr>
        <w:t xml:space="preserve"> marketing flyer projects utility / landscaping expenses at </w:t>
      </w:r>
      <w:r w:rsidRPr="00371BEB">
        <w:rPr>
          <w:szCs w:val="22"/>
          <w:highlight w:val="yellow"/>
        </w:rPr>
        <w:t>$10,413 ($1.80 per SF NRA)</w:t>
      </w:r>
      <w:r>
        <w:rPr>
          <w:szCs w:val="22"/>
        </w:rPr>
        <w:t>.  However, this figure includes landscaping / grounds maintenance which we estimated in the next paragraph at $0.61 per SF. Deducting this from the total equates to a unit cost projection just for utilities of $1.19 per SF NRA which appears very high considering it excludes interior electricity for the individual office suites</w:t>
      </w:r>
      <w:r w:rsidRPr="00036327">
        <w:rPr>
          <w:szCs w:val="22"/>
        </w:rPr>
        <w:t xml:space="preserve">. </w:t>
      </w:r>
      <w:r>
        <w:t>Overall, total utility</w:t>
      </w:r>
      <w:r w:rsidRPr="00304C37">
        <w:t xml:space="preserve"> expense</w:t>
      </w:r>
      <w:r>
        <w:t>s for most suburban Class C offices</w:t>
      </w:r>
      <w:r w:rsidRPr="00304C37">
        <w:t xml:space="preserve"> typically range from </w:t>
      </w:r>
      <w:r w:rsidRPr="00371BEB">
        <w:rPr>
          <w:highlight w:val="yellow"/>
        </w:rPr>
        <w:t>$1.00 to $2.00 per SF</w:t>
      </w:r>
      <w:r>
        <w:t xml:space="preserve"> (including interior electricity)</w:t>
      </w:r>
      <w:r w:rsidRPr="00304C37">
        <w:t>.</w:t>
      </w:r>
      <w:r>
        <w:t xml:space="preserve"> Excluding interior electricity would lower this range to </w:t>
      </w:r>
      <w:r w:rsidRPr="00371BEB">
        <w:rPr>
          <w:highlight w:val="yellow"/>
        </w:rPr>
        <w:t>$0.50 to $1.50 per SF</w:t>
      </w:r>
      <w:r>
        <w:t>.</w:t>
      </w:r>
      <w:r w:rsidRPr="00304C37">
        <w:t xml:space="preserve"> </w:t>
      </w:r>
      <w:r>
        <w:t xml:space="preserve"> Therefore, a mid-range, modified gross utility expense of </w:t>
      </w:r>
      <w:r w:rsidRPr="00371BEB">
        <w:rPr>
          <w:b/>
          <w:highlight w:val="yellow"/>
        </w:rPr>
        <w:t>$1.00</w:t>
      </w:r>
      <w:r w:rsidRPr="00371BEB">
        <w:rPr>
          <w:highlight w:val="yellow"/>
        </w:rPr>
        <w:t> </w:t>
      </w:r>
      <w:r w:rsidRPr="00371BEB">
        <w:rPr>
          <w:b/>
          <w:highlight w:val="yellow"/>
        </w:rPr>
        <w:t>per SF</w:t>
      </w:r>
      <w:r w:rsidRPr="00371BEB">
        <w:rPr>
          <w:highlight w:val="yellow"/>
        </w:rPr>
        <w:t xml:space="preserve"> is reasonable</w:t>
      </w:r>
      <w:r>
        <w:t>.</w:t>
      </w:r>
    </w:p>
    <w:p w14:paraId="6E881AF5" w14:textId="77777777" w:rsidR="00900D6E" w:rsidRPr="005116AD" w:rsidRDefault="00900D6E" w:rsidP="00900D6E">
      <w:pPr>
        <w:widowControl w:val="0"/>
        <w:tabs>
          <w:tab w:val="left" w:pos="3744"/>
        </w:tabs>
        <w:rPr>
          <w:szCs w:val="22"/>
        </w:rPr>
      </w:pPr>
    </w:p>
    <w:p w14:paraId="767F1D97" w14:textId="6FD675A5" w:rsidR="00900D6E" w:rsidRPr="005116AD" w:rsidRDefault="00900D6E" w:rsidP="00900D6E">
      <w:pPr>
        <w:tabs>
          <w:tab w:val="left" w:pos="288"/>
          <w:tab w:val="left" w:pos="576"/>
        </w:tabs>
        <w:rPr>
          <w:szCs w:val="22"/>
        </w:rPr>
      </w:pPr>
      <w:r w:rsidRPr="001B7AD2">
        <w:rPr>
          <w:color w:val="1E4959"/>
          <w:sz w:val="24"/>
          <w:u w:val="single"/>
        </w:rPr>
        <w:t>Grounds Maintenance / Security</w:t>
      </w:r>
      <w:r w:rsidRPr="001B7AD2">
        <w:rPr>
          <w:color w:val="1E4959"/>
          <w:sz w:val="24"/>
        </w:rPr>
        <w:t xml:space="preserve">: </w:t>
      </w:r>
      <w:r>
        <w:t xml:space="preserve">The client provided the appraiser with the landscape contract for the subject which is quoted at </w:t>
      </w:r>
      <w:r w:rsidRPr="00371BEB">
        <w:rPr>
          <w:highlight w:val="yellow"/>
        </w:rPr>
        <w:t>$295 per month</w:t>
      </w:r>
      <w:r>
        <w:t xml:space="preserve">, or annual unit cost of </w:t>
      </w:r>
      <w:r w:rsidRPr="00371BEB">
        <w:rPr>
          <w:highlight w:val="yellow"/>
        </w:rPr>
        <w:t>$0.61 per SF</w:t>
      </w:r>
      <w:r>
        <w:t xml:space="preserve">. </w:t>
      </w:r>
      <w:r w:rsidRPr="001B7AD2">
        <w:t xml:space="preserve">This expense typically ranges from </w:t>
      </w:r>
      <w:r w:rsidRPr="00371BEB">
        <w:rPr>
          <w:highlight w:val="yellow"/>
        </w:rPr>
        <w:t>$0.25 to $0.75 per SF</w:t>
      </w:r>
      <w:r w:rsidRPr="001B7AD2">
        <w:t xml:space="preserve">. </w:t>
      </w:r>
      <w:r>
        <w:t xml:space="preserve">Given the subject’s significant degree of relatively good quality landscaping, a similar mid-range landscaping expense of </w:t>
      </w:r>
      <w:r w:rsidRPr="00371BEB">
        <w:rPr>
          <w:b/>
          <w:highlight w:val="yellow"/>
        </w:rPr>
        <w:t>$0.61</w:t>
      </w:r>
      <w:r w:rsidR="00371BEB">
        <w:rPr>
          <w:highlight w:val="yellow"/>
        </w:rPr>
        <w:t xml:space="preserve"> </w:t>
      </w:r>
      <w:r w:rsidRPr="00371BEB">
        <w:rPr>
          <w:b/>
          <w:highlight w:val="yellow"/>
        </w:rPr>
        <w:t>per SF</w:t>
      </w:r>
      <w:r>
        <w:t xml:space="preserve"> is reasonable.</w:t>
      </w:r>
    </w:p>
    <w:p w14:paraId="059F1BFA" w14:textId="77777777" w:rsidR="00900D6E" w:rsidRPr="005116AD" w:rsidRDefault="00900D6E" w:rsidP="00900D6E">
      <w:pPr>
        <w:widowControl w:val="0"/>
        <w:tabs>
          <w:tab w:val="left" w:pos="3744"/>
        </w:tabs>
        <w:rPr>
          <w:szCs w:val="22"/>
        </w:rPr>
      </w:pPr>
    </w:p>
    <w:p w14:paraId="4400EB82" w14:textId="77777777" w:rsidR="00900D6E" w:rsidRPr="005116AD" w:rsidRDefault="00900D6E" w:rsidP="00900D6E">
      <w:pPr>
        <w:widowControl w:val="0"/>
        <w:tabs>
          <w:tab w:val="left" w:pos="288"/>
          <w:tab w:val="left" w:pos="576"/>
        </w:tabs>
        <w:rPr>
          <w:szCs w:val="22"/>
        </w:rPr>
      </w:pPr>
      <w:r>
        <w:rPr>
          <w:color w:val="1E4959"/>
          <w:sz w:val="24"/>
          <w:u w:val="single"/>
        </w:rPr>
        <w:t>Janitorial</w:t>
      </w:r>
      <w:r w:rsidRPr="00E30D44">
        <w:rPr>
          <w:color w:val="1E4959"/>
          <w:sz w:val="24"/>
        </w:rPr>
        <w:t xml:space="preserve">: </w:t>
      </w:r>
      <w:r>
        <w:t>No historical or pro form janitorial expenses were provided for our review</w:t>
      </w:r>
      <w:r w:rsidRPr="00EA27B2">
        <w:t xml:space="preserve">. This expense typically ranges from </w:t>
      </w:r>
      <w:r w:rsidRPr="00371BEB">
        <w:rPr>
          <w:highlight w:val="yellow"/>
        </w:rPr>
        <w:t>$0.75 to $1.50 per SF</w:t>
      </w:r>
      <w:r w:rsidRPr="00EA27B2">
        <w:t xml:space="preserve">. Considering the </w:t>
      </w:r>
      <w:r>
        <w:t>preceding, as well as a typical once a week janitorial service common for Class C office properties</w:t>
      </w:r>
      <w:r w:rsidRPr="00EA27B2">
        <w:t xml:space="preserve">, a stabilized expense of </w:t>
      </w:r>
      <w:r w:rsidRPr="00371BEB">
        <w:rPr>
          <w:b/>
          <w:highlight w:val="yellow"/>
        </w:rPr>
        <w:t>$1.00 per SF</w:t>
      </w:r>
      <w:r w:rsidRPr="00EA27B2">
        <w:t xml:space="preserve">, </w:t>
      </w:r>
      <w:r w:rsidRPr="00EA27B2">
        <w:rPr>
          <w:bCs/>
        </w:rPr>
        <w:t>is deemed reasonable</w:t>
      </w:r>
      <w:r w:rsidRPr="005116AD">
        <w:rPr>
          <w:szCs w:val="22"/>
        </w:rPr>
        <w:t>.</w:t>
      </w:r>
    </w:p>
    <w:p w14:paraId="7257C213" w14:textId="77777777" w:rsidR="00900D6E" w:rsidRPr="005116AD" w:rsidRDefault="00900D6E" w:rsidP="00900D6E">
      <w:pPr>
        <w:widowControl w:val="0"/>
        <w:tabs>
          <w:tab w:val="left" w:pos="3744"/>
        </w:tabs>
        <w:rPr>
          <w:szCs w:val="22"/>
        </w:rPr>
      </w:pPr>
    </w:p>
    <w:p w14:paraId="2BBD49AA" w14:textId="77777777" w:rsidR="00900D6E" w:rsidRPr="00CA7BAE" w:rsidRDefault="00900D6E" w:rsidP="00900D6E">
      <w:pPr>
        <w:widowControl w:val="0"/>
        <w:tabs>
          <w:tab w:val="left" w:pos="288"/>
          <w:tab w:val="left" w:pos="576"/>
        </w:tabs>
        <w:rPr>
          <w:szCs w:val="22"/>
        </w:rPr>
      </w:pPr>
      <w:r w:rsidRPr="00574AC0">
        <w:rPr>
          <w:color w:val="1E4959"/>
          <w:sz w:val="24"/>
          <w:u w:val="single"/>
        </w:rPr>
        <w:t>Repairs and Maintenance</w:t>
      </w:r>
      <w:r w:rsidRPr="005116AD">
        <w:rPr>
          <w:color w:val="1E4959"/>
          <w:sz w:val="24"/>
        </w:rPr>
        <w:t xml:space="preserve">: </w:t>
      </w:r>
      <w:r>
        <w:t xml:space="preserve">The pro forma repairs and maintenance for the subject which is estimated by the broker at </w:t>
      </w:r>
      <w:r w:rsidRPr="00371BEB">
        <w:rPr>
          <w:highlight w:val="yellow"/>
        </w:rPr>
        <w:t>$3,100 per month, or annual unit cost of $0.535 per SF</w:t>
      </w:r>
      <w:r>
        <w:t xml:space="preserve">. </w:t>
      </w:r>
      <w:r w:rsidRPr="00EA27B2">
        <w:t xml:space="preserve">This expense typically ranges from </w:t>
      </w:r>
      <w:r w:rsidRPr="00371BEB">
        <w:rPr>
          <w:highlight w:val="yellow"/>
        </w:rPr>
        <w:t>$0.50 to $2.00 per SF</w:t>
      </w:r>
      <w:r w:rsidRPr="00EA27B2">
        <w:t xml:space="preserve">. Considering the subject’s </w:t>
      </w:r>
      <w:r>
        <w:t xml:space="preserve">newer </w:t>
      </w:r>
      <w:r w:rsidRPr="00EA27B2">
        <w:t xml:space="preserve">age and </w:t>
      </w:r>
      <w:r>
        <w:t>average, adequately maintained</w:t>
      </w:r>
      <w:r w:rsidRPr="00EA27B2">
        <w:t xml:space="preserve"> condition</w:t>
      </w:r>
      <w:r>
        <w:t xml:space="preserve"> (assuming the curing of the noted items of deferred maintenance)</w:t>
      </w:r>
      <w:r w:rsidRPr="00EA27B2">
        <w:t xml:space="preserve">, a stabilized maintenance and repair expense of </w:t>
      </w:r>
      <w:r w:rsidRPr="00371BEB">
        <w:rPr>
          <w:b/>
          <w:highlight w:val="yellow"/>
        </w:rPr>
        <w:t>$0.55 per SF</w:t>
      </w:r>
      <w:r w:rsidRPr="00EA27B2">
        <w:t xml:space="preserve">, </w:t>
      </w:r>
      <w:r w:rsidRPr="00EA27B2">
        <w:rPr>
          <w:bCs/>
        </w:rPr>
        <w:t xml:space="preserve">is </w:t>
      </w:r>
      <w:r>
        <w:rPr>
          <w:bCs/>
        </w:rPr>
        <w:t xml:space="preserve">concluded as </w:t>
      </w:r>
      <w:r w:rsidRPr="00EA27B2">
        <w:rPr>
          <w:bCs/>
        </w:rPr>
        <w:t>reasonable</w:t>
      </w:r>
      <w:r w:rsidRPr="00CA7BAE">
        <w:rPr>
          <w:szCs w:val="22"/>
        </w:rPr>
        <w:t>.</w:t>
      </w:r>
      <w:r>
        <w:rPr>
          <w:szCs w:val="22"/>
        </w:rPr>
        <w:t xml:space="preserve"> </w:t>
      </w:r>
    </w:p>
    <w:p w14:paraId="17BFD4DA" w14:textId="77777777" w:rsidR="00900D6E" w:rsidRPr="000754FA" w:rsidRDefault="00900D6E" w:rsidP="00900D6E">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35557DB9" w14:textId="77777777" w:rsidR="00900D6E" w:rsidRPr="000754FA" w:rsidRDefault="00900D6E" w:rsidP="00900D6E">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w:t>
      </w:r>
      <w:r w:rsidRPr="000754FA">
        <w:rPr>
          <w:rFonts w:cs="Arial"/>
          <w:szCs w:val="22"/>
        </w:rPr>
        <w:lastRenderedPageBreak/>
        <w:t xml:space="preserve">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2BC4E379" w14:textId="77777777" w:rsidR="00900D6E" w:rsidRPr="000754FA" w:rsidRDefault="00900D6E" w:rsidP="00900D6E">
      <w:pPr>
        <w:rPr>
          <w:rFonts w:cs="Arial"/>
          <w:szCs w:val="22"/>
        </w:rPr>
      </w:pPr>
    </w:p>
    <w:p w14:paraId="3B575473" w14:textId="77777777" w:rsidR="00900D6E" w:rsidRPr="000754FA" w:rsidRDefault="00900D6E" w:rsidP="00900D6E">
      <w:pPr>
        <w:widowControl w:val="0"/>
        <w:rPr>
          <w:rFonts w:cs="Arial"/>
          <w:szCs w:val="22"/>
        </w:rPr>
      </w:pPr>
      <w:r w:rsidRPr="000754FA">
        <w:rPr>
          <w:rFonts w:cs="Arial"/>
          <w:szCs w:val="22"/>
        </w:rPr>
        <w:t xml:space="preserve">Analysis of the market indicates that investors are allocating a reserve equal to </w:t>
      </w:r>
      <w:r w:rsidRPr="00371BEB">
        <w:rPr>
          <w:rFonts w:cs="Arial"/>
          <w:szCs w:val="22"/>
          <w:highlight w:val="yellow"/>
        </w:rPr>
        <w:t>1.0% to 3.0% of effective gross income</w:t>
      </w:r>
      <w:r w:rsidRPr="000754FA">
        <w:rPr>
          <w:rFonts w:cs="Arial"/>
          <w:szCs w:val="22"/>
        </w:rPr>
        <w:t xml:space="preserve"> depending on the property age, size, condition, quality of construction, and value. Considering the subject's </w:t>
      </w:r>
      <w:r w:rsidRPr="00371BEB">
        <w:rPr>
          <w:rFonts w:cs="Arial"/>
          <w:szCs w:val="22"/>
          <w:highlight w:val="yellow"/>
        </w:rPr>
        <w:t>age, overall condition and amount of site improvements</w:t>
      </w:r>
      <w:r w:rsidRPr="000754FA">
        <w:rPr>
          <w:rFonts w:cs="Arial"/>
          <w:szCs w:val="22"/>
        </w:rPr>
        <w:t xml:space="preserve">, an allocation of </w:t>
      </w:r>
      <w:r w:rsidRPr="00371BEB">
        <w:rPr>
          <w:rFonts w:cs="Arial"/>
          <w:b/>
          <w:szCs w:val="22"/>
          <w:highlight w:val="yellow"/>
        </w:rPr>
        <w:t>3.0%</w:t>
      </w:r>
      <w:r w:rsidRPr="000754FA">
        <w:rPr>
          <w:rFonts w:cs="Arial"/>
          <w:b/>
          <w:szCs w:val="22"/>
        </w:rPr>
        <w:t xml:space="preserve"> of effective gross income</w:t>
      </w:r>
      <w:r w:rsidRPr="000754FA">
        <w:rPr>
          <w:rFonts w:cs="Arial"/>
          <w:szCs w:val="22"/>
        </w:rPr>
        <w:t xml:space="preserve"> is made for reserves for replacement items for the subject property.</w:t>
      </w:r>
    </w:p>
    <w:p w14:paraId="204FA229" w14:textId="77777777" w:rsidR="00900D6E" w:rsidRPr="000754FA" w:rsidRDefault="00900D6E" w:rsidP="00900D6E">
      <w:pPr>
        <w:keepNext/>
        <w:numPr>
          <w:ilvl w:val="1"/>
          <w:numId w:val="0"/>
        </w:numPr>
        <w:spacing w:before="200" w:line="233" w:lineRule="auto"/>
        <w:outlineLvl w:val="2"/>
        <w:rPr>
          <w:rFonts w:eastAsiaTheme="majorEastAsia" w:cs="Arial"/>
          <w:bCs/>
          <w:color w:val="1E4959"/>
          <w:sz w:val="24"/>
          <w:szCs w:val="22"/>
          <w:u w:val="single"/>
        </w:rPr>
      </w:pPr>
      <w:r>
        <w:rPr>
          <w:rFonts w:eastAsiaTheme="majorEastAsia" w:cs="Arial"/>
          <w:color w:val="1E4959"/>
          <w:sz w:val="24"/>
          <w:szCs w:val="22"/>
          <w:u w:val="single"/>
        </w:rPr>
        <w:t xml:space="preserve">Administration / </w:t>
      </w:r>
      <w:r w:rsidRPr="000754FA">
        <w:rPr>
          <w:rFonts w:eastAsiaTheme="majorEastAsia" w:cs="Arial"/>
          <w:color w:val="1E4959"/>
          <w:sz w:val="24"/>
          <w:szCs w:val="22"/>
          <w:u w:val="single"/>
        </w:rPr>
        <w:t>Management</w:t>
      </w:r>
    </w:p>
    <w:p w14:paraId="2A0CC554" w14:textId="77777777" w:rsidR="00900D6E" w:rsidRPr="000754FA" w:rsidRDefault="00900D6E" w:rsidP="00900D6E">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w:t>
      </w:r>
      <w:r>
        <w:rPr>
          <w:rFonts w:cs="Arial"/>
          <w:szCs w:val="22"/>
        </w:rPr>
        <w:t>office</w:t>
      </w:r>
      <w:r w:rsidRPr="000754FA">
        <w:rPr>
          <w:rFonts w:cs="Arial"/>
          <w:szCs w:val="22"/>
        </w:rPr>
        <w:t xml:space="preserve"> properties of 2</w:t>
      </w:r>
      <w:r w:rsidRPr="00371BEB">
        <w:rPr>
          <w:rFonts w:cs="Arial"/>
          <w:szCs w:val="22"/>
          <w:highlight w:val="yellow"/>
        </w:rPr>
        <w:t>.0% to 4.0% of effective gross income</w:t>
      </w:r>
      <w:r w:rsidRPr="000754FA">
        <w:rPr>
          <w:rFonts w:cs="Arial"/>
          <w:szCs w:val="22"/>
        </w:rPr>
        <w:t xml:space="preserve"> depending on the property's size, lease structure, and rent levels. </w:t>
      </w:r>
      <w:r>
        <w:rPr>
          <w:rFonts w:cs="Arial"/>
          <w:szCs w:val="22"/>
        </w:rPr>
        <w:t xml:space="preserve">The </w:t>
      </w:r>
      <w:r w:rsidRPr="00371BEB">
        <w:rPr>
          <w:rFonts w:cs="Arial"/>
          <w:szCs w:val="22"/>
          <w:highlight w:val="yellow"/>
        </w:rPr>
        <w:t>subject pro form estimates a management fee of 4.0%</w:t>
      </w:r>
      <w:r>
        <w:rPr>
          <w:rFonts w:cs="Arial"/>
          <w:szCs w:val="22"/>
        </w:rPr>
        <w:t xml:space="preserve"> which appears within market standard. </w:t>
      </w:r>
      <w:r w:rsidRPr="000754FA">
        <w:rPr>
          <w:rFonts w:cs="Arial"/>
          <w:szCs w:val="22"/>
        </w:rPr>
        <w:t xml:space="preserve">Considering the subject's </w:t>
      </w:r>
      <w:r w:rsidRPr="00371BEB">
        <w:rPr>
          <w:rFonts w:cs="Arial"/>
          <w:szCs w:val="22"/>
          <w:highlight w:val="yellow"/>
        </w:rPr>
        <w:t>moderate size, quality, condition, multi-tenant occupancy and modified gross lease structure</w:t>
      </w:r>
      <w:r w:rsidRPr="000754FA">
        <w:rPr>
          <w:rFonts w:cs="Arial"/>
          <w:szCs w:val="22"/>
        </w:rPr>
        <w:t xml:space="preserve">, a management fee of </w:t>
      </w:r>
      <w:r w:rsidRPr="00371BEB">
        <w:rPr>
          <w:rFonts w:cs="Arial"/>
          <w:b/>
          <w:szCs w:val="22"/>
          <w:highlight w:val="yellow"/>
        </w:rPr>
        <w:t>4.0%</w:t>
      </w:r>
      <w:r w:rsidRPr="000754FA">
        <w:rPr>
          <w:rFonts w:cs="Arial"/>
          <w:b/>
          <w:szCs w:val="22"/>
        </w:rPr>
        <w:t xml:space="preserve"> of effective gross income</w:t>
      </w:r>
      <w:r w:rsidRPr="000754FA">
        <w:rPr>
          <w:rFonts w:cs="Arial"/>
          <w:szCs w:val="22"/>
        </w:rPr>
        <w:t xml:space="preserve"> is considered</w:t>
      </w:r>
      <w:r>
        <w:rPr>
          <w:rFonts w:cs="Arial"/>
          <w:szCs w:val="22"/>
        </w:rPr>
        <w:t xml:space="preserve"> more</w:t>
      </w:r>
      <w:r w:rsidRPr="000754FA">
        <w:rPr>
          <w:rFonts w:cs="Arial"/>
          <w:szCs w:val="22"/>
        </w:rPr>
        <w:t xml:space="preserve"> reasonable for use in this analysis.</w:t>
      </w:r>
    </w:p>
    <w:p w14:paraId="634FF36F" w14:textId="77777777" w:rsidR="00F83EB0" w:rsidRPr="000754FA" w:rsidRDefault="00F83EB0" w:rsidP="00F83EB0">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Total Operating Expenses</w:t>
      </w:r>
    </w:p>
    <w:p w14:paraId="0D3AC471" w14:textId="00595850" w:rsidR="00F83EB0" w:rsidRPr="007C23B6" w:rsidRDefault="00F83EB0" w:rsidP="00F83EB0">
      <w:pPr>
        <w:rPr>
          <w:rFonts w:cs="Segoe UI"/>
        </w:rPr>
      </w:pPr>
      <w:r w:rsidRPr="00036327">
        <w:rPr>
          <w:rFonts w:cs="Segoe UI"/>
        </w:rPr>
        <w:t xml:space="preserve">Based on the preceding, </w:t>
      </w:r>
      <w:r w:rsidRPr="00036327">
        <w:rPr>
          <w:rFonts w:cs="Segoe UI"/>
          <w:b/>
        </w:rPr>
        <w:t>total stabilized operating expenses</w:t>
      </w:r>
      <w:r w:rsidRPr="00036327">
        <w:rPr>
          <w:rFonts w:cs="Segoe UI"/>
        </w:rPr>
        <w:t xml:space="preserve"> for the subject property of </w:t>
      </w:r>
      <w:r w:rsidRPr="00F83EB0">
        <w:rPr>
          <w:rFonts w:cs="Segoe UI"/>
          <w:b/>
          <w:highlight w:val="yellow"/>
        </w:rPr>
        <w:t xml:space="preserve">$__________ </w:t>
      </w:r>
      <w:r w:rsidRPr="00F83EB0">
        <w:rPr>
          <w:rFonts w:cs="Segoe UI"/>
          <w:highlight w:val="yellow"/>
        </w:rPr>
        <w:t>($______ per SF NRA; ____.__% of EGI)</w:t>
      </w:r>
      <w:r w:rsidRPr="00036327">
        <w:rPr>
          <w:rFonts w:cs="Segoe UI"/>
        </w:rPr>
        <w:t xml:space="preserve"> were considered reasonably supported in this analysis. It must be noted that</w:t>
      </w:r>
      <w:r>
        <w:rPr>
          <w:rFonts w:cs="Segoe UI"/>
        </w:rPr>
        <w:t xml:space="preserve"> this expense amount is on the high side, primarily due to the taxes which are very high at </w:t>
      </w:r>
      <w:r w:rsidRPr="00F83EB0">
        <w:rPr>
          <w:rFonts w:cs="Segoe UI"/>
          <w:highlight w:val="yellow"/>
        </w:rPr>
        <w:t>$_____ per SF</w:t>
      </w:r>
      <w:r>
        <w:rPr>
          <w:rFonts w:cs="Segoe UI"/>
        </w:rPr>
        <w:t>.</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17CDB91A"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2D45C9C6"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w:t>
      </w:r>
      <w:bookmarkStart w:id="4" w:name="_Hlk41211202"/>
      <w:r w:rsidRPr="00E955E2">
        <w:rPr>
          <w:rFonts w:cs="Arial"/>
          <w:szCs w:val="22"/>
        </w:rPr>
        <w:t>The following chart summarizes the data used to estimate the market capitalization rate applicable to the subject property.</w:t>
      </w:r>
    </w:p>
    <w:p w14:paraId="5037A7A7" w14:textId="77777777" w:rsidR="00113B80" w:rsidRDefault="00113B80"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lastRenderedPageBreak/>
        <w:t>Merge cap rate comparables from CARDS and insert into here (example below)</w:t>
      </w:r>
    </w:p>
    <w:p w14:paraId="46362800" w14:textId="28039316" w:rsidR="006D3641" w:rsidRDefault="006D3641" w:rsidP="006D3641">
      <w:pPr>
        <w:rPr>
          <w:rFonts w:cs="Arial"/>
          <w:szCs w:val="22"/>
        </w:rPr>
      </w:pPr>
    </w:p>
    <w:p w14:paraId="2C2E7036" w14:textId="77777777" w:rsidR="00B8522D" w:rsidRDefault="00B8522D"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bookmarkEnd w:id="4"/>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9C9C686" w:rsidR="005A24B3"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5CD1D1A7" w14:textId="39F404CC" w:rsidR="00424D4E" w:rsidRDefault="00424D4E" w:rsidP="005A24B3">
      <w:pPr>
        <w:rPr>
          <w:rFonts w:cs="Arial"/>
          <w:szCs w:val="22"/>
        </w:rPr>
      </w:pPr>
    </w:p>
    <w:p w14:paraId="6168DDC6" w14:textId="0F10E2B4" w:rsidR="00424D4E" w:rsidRDefault="00424D4E" w:rsidP="005A24B3">
      <w:pPr>
        <w:rPr>
          <w:rFonts w:cs="Arial"/>
          <w:szCs w:val="22"/>
        </w:rPr>
      </w:pPr>
    </w:p>
    <w:p w14:paraId="15D5CAD7" w14:textId="77777777" w:rsidR="00424D4E" w:rsidRDefault="00424D4E" w:rsidP="005A24B3">
      <w:pPr>
        <w:rPr>
          <w:rFonts w:cs="Arial"/>
          <w:szCs w:val="22"/>
        </w:rPr>
      </w:pP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lastRenderedPageBreak/>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43463446" w14:textId="77777777" w:rsidR="00400475" w:rsidRPr="000754FA" w:rsidRDefault="00400475" w:rsidP="00400475">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9A19DDAF3ACE47D2962D30C58AC51471"/>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996F1006ECD3486DA0C0F77F42EE5E85"/>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712C4" w14:textId="77777777" w:rsidR="000605D9" w:rsidRDefault="000605D9">
      <w:r>
        <w:separator/>
      </w:r>
    </w:p>
  </w:endnote>
  <w:endnote w:type="continuationSeparator" w:id="0">
    <w:p w14:paraId="5F0B7B36" w14:textId="77777777" w:rsidR="000605D9" w:rsidRDefault="0006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66A0D632"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400475">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6B7694">
      <w:rPr>
        <w:rFonts w:cs="Segoe UI"/>
        <w:bCs/>
        <w:iCs/>
        <w:kern w:val="0"/>
        <w:sz w:val="20"/>
        <w:szCs w:val="18"/>
      </w:rPr>
      <w:t>| ${reportname}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DD56C" w14:textId="77777777" w:rsidR="000605D9" w:rsidRDefault="000605D9">
      <w:r>
        <w:separator/>
      </w:r>
    </w:p>
  </w:footnote>
  <w:footnote w:type="continuationSeparator" w:id="0">
    <w:p w14:paraId="7C75858D" w14:textId="77777777" w:rsidR="000605D9" w:rsidRDefault="0006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6B7694">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04FD6"/>
    <w:rsid w:val="000605D9"/>
    <w:rsid w:val="000D7CF2"/>
    <w:rsid w:val="00113B80"/>
    <w:rsid w:val="001222E0"/>
    <w:rsid w:val="0018247D"/>
    <w:rsid w:val="0019553E"/>
    <w:rsid w:val="00196B82"/>
    <w:rsid w:val="002A374A"/>
    <w:rsid w:val="00371BEB"/>
    <w:rsid w:val="003753FC"/>
    <w:rsid w:val="003A017C"/>
    <w:rsid w:val="00400475"/>
    <w:rsid w:val="00424D4E"/>
    <w:rsid w:val="0045018B"/>
    <w:rsid w:val="00494F04"/>
    <w:rsid w:val="0049779D"/>
    <w:rsid w:val="004A5414"/>
    <w:rsid w:val="00526492"/>
    <w:rsid w:val="00542813"/>
    <w:rsid w:val="00575538"/>
    <w:rsid w:val="005A24B3"/>
    <w:rsid w:val="005A43AB"/>
    <w:rsid w:val="005C03F7"/>
    <w:rsid w:val="005F2808"/>
    <w:rsid w:val="005F33E9"/>
    <w:rsid w:val="005F5E32"/>
    <w:rsid w:val="006222AC"/>
    <w:rsid w:val="00643A5F"/>
    <w:rsid w:val="006804FD"/>
    <w:rsid w:val="006B7694"/>
    <w:rsid w:val="006D3641"/>
    <w:rsid w:val="00724CD2"/>
    <w:rsid w:val="00733C95"/>
    <w:rsid w:val="00790A52"/>
    <w:rsid w:val="007E2DF2"/>
    <w:rsid w:val="007F6649"/>
    <w:rsid w:val="00842DE8"/>
    <w:rsid w:val="00857CCE"/>
    <w:rsid w:val="008A1229"/>
    <w:rsid w:val="008E30FA"/>
    <w:rsid w:val="00900D6E"/>
    <w:rsid w:val="00936536"/>
    <w:rsid w:val="009B7DEE"/>
    <w:rsid w:val="009C27D1"/>
    <w:rsid w:val="00AC09A1"/>
    <w:rsid w:val="00AE2BC4"/>
    <w:rsid w:val="00B20928"/>
    <w:rsid w:val="00B46DD4"/>
    <w:rsid w:val="00B53BEA"/>
    <w:rsid w:val="00B54F38"/>
    <w:rsid w:val="00B651F9"/>
    <w:rsid w:val="00B661A8"/>
    <w:rsid w:val="00B8522D"/>
    <w:rsid w:val="00BC1AAC"/>
    <w:rsid w:val="00BC65DD"/>
    <w:rsid w:val="00C35322"/>
    <w:rsid w:val="00C61AA8"/>
    <w:rsid w:val="00D01C23"/>
    <w:rsid w:val="00DA4B42"/>
    <w:rsid w:val="00DC4CAF"/>
    <w:rsid w:val="00E32D7D"/>
    <w:rsid w:val="00EA2ADF"/>
    <w:rsid w:val="00EB0B1F"/>
    <w:rsid w:val="00F5587A"/>
    <w:rsid w:val="00F829F9"/>
    <w:rsid w:val="00F83EB0"/>
    <w:rsid w:val="00F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371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4047ED7E4B244A8A81EFB8D83765E435"/>
        <w:category>
          <w:name w:val="General"/>
          <w:gallery w:val="placeholder"/>
        </w:category>
        <w:types>
          <w:type w:val="bbPlcHdr"/>
        </w:types>
        <w:behaviors>
          <w:behavior w:val="content"/>
        </w:behaviors>
        <w:guid w:val="{D01A1297-41F1-449A-8980-205309DE41E9}"/>
      </w:docPartPr>
      <w:docPartBody>
        <w:p w:rsidR="00BF40FB" w:rsidRDefault="00C52CED" w:rsidP="00C52CED">
          <w:pPr>
            <w:pStyle w:val="4047ED7E4B244A8A81EFB8D83765E435"/>
          </w:pPr>
          <w:r w:rsidRPr="00D817AB">
            <w:rPr>
              <w:rStyle w:val="PlaceholderText"/>
            </w:rPr>
            <w:t>Choose an item.</w:t>
          </w:r>
        </w:p>
      </w:docPartBody>
    </w:docPart>
    <w:docPart>
      <w:docPartPr>
        <w:name w:val="2E53C3FF4E664E04B53484C8C17FE75F"/>
        <w:category>
          <w:name w:val="General"/>
          <w:gallery w:val="placeholder"/>
        </w:category>
        <w:types>
          <w:type w:val="bbPlcHdr"/>
        </w:types>
        <w:behaviors>
          <w:behavior w:val="content"/>
        </w:behaviors>
        <w:guid w:val="{E3B550D7-FA4C-48B9-9F5B-267B00771A74}"/>
      </w:docPartPr>
      <w:docPartBody>
        <w:p w:rsidR="00BF40FB" w:rsidRDefault="00C52CED" w:rsidP="00C52CED">
          <w:pPr>
            <w:pStyle w:val="2E53C3FF4E664E04B53484C8C17FE75F"/>
          </w:pPr>
          <w:r w:rsidRPr="00D817AB">
            <w:rPr>
              <w:rStyle w:val="PlaceholderText"/>
            </w:rPr>
            <w:t>Choose an item.</w:t>
          </w:r>
        </w:p>
      </w:docPartBody>
    </w:docPart>
    <w:docPart>
      <w:docPartPr>
        <w:name w:val="47F3CE9C89B248B5BF7402A8B07EA3FB"/>
        <w:category>
          <w:name w:val="General"/>
          <w:gallery w:val="placeholder"/>
        </w:category>
        <w:types>
          <w:type w:val="bbPlcHdr"/>
        </w:types>
        <w:behaviors>
          <w:behavior w:val="content"/>
        </w:behaviors>
        <w:guid w:val="{C298178E-B4A8-46B2-A349-2101BAA23A73}"/>
      </w:docPartPr>
      <w:docPartBody>
        <w:p w:rsidR="00DC0872" w:rsidRDefault="00BA0BFD" w:rsidP="00BA0BFD">
          <w:pPr>
            <w:pStyle w:val="47F3CE9C89B248B5BF7402A8B07EA3FB"/>
          </w:pPr>
          <w:r w:rsidRPr="002B3D5B">
            <w:rPr>
              <w:rStyle w:val="PlaceholderText"/>
            </w:rPr>
            <w:t>Choose an item.</w:t>
          </w:r>
        </w:p>
      </w:docPartBody>
    </w:docPart>
    <w:docPart>
      <w:docPartPr>
        <w:name w:val="6693AB4C8947490E9C0CD8E4DA774C2C"/>
        <w:category>
          <w:name w:val="General"/>
          <w:gallery w:val="placeholder"/>
        </w:category>
        <w:types>
          <w:type w:val="bbPlcHdr"/>
        </w:types>
        <w:behaviors>
          <w:behavior w:val="content"/>
        </w:behaviors>
        <w:guid w:val="{C37DBACA-7072-445F-A5F6-4F846F8C2F05}"/>
      </w:docPartPr>
      <w:docPartBody>
        <w:p w:rsidR="00DC0872" w:rsidRDefault="00BA0BFD" w:rsidP="00BA0BFD">
          <w:pPr>
            <w:pStyle w:val="6693AB4C8947490E9C0CD8E4DA774C2C"/>
          </w:pPr>
          <w:r w:rsidRPr="002B3D5B">
            <w:rPr>
              <w:rStyle w:val="PlaceholderText"/>
            </w:rPr>
            <w:t>Choose an item.</w:t>
          </w:r>
        </w:p>
      </w:docPartBody>
    </w:docPart>
    <w:docPart>
      <w:docPartPr>
        <w:name w:val="9A19DDAF3ACE47D2962D30C58AC51471"/>
        <w:category>
          <w:name w:val="General"/>
          <w:gallery w:val="placeholder"/>
        </w:category>
        <w:types>
          <w:type w:val="bbPlcHdr"/>
        </w:types>
        <w:behaviors>
          <w:behavior w:val="content"/>
        </w:behaviors>
        <w:guid w:val="{A1787DC6-FCDD-4F06-8E21-925F72B7214F}"/>
      </w:docPartPr>
      <w:docPartBody>
        <w:p w:rsidR="00000000" w:rsidRDefault="001C2457" w:rsidP="001C2457">
          <w:pPr>
            <w:pStyle w:val="9A19DDAF3ACE47D2962D30C58AC51471"/>
          </w:pPr>
          <w:r w:rsidRPr="003B43C3">
            <w:rPr>
              <w:rStyle w:val="PlaceholderText"/>
            </w:rPr>
            <w:t>Choose an item.</w:t>
          </w:r>
        </w:p>
      </w:docPartBody>
    </w:docPart>
    <w:docPart>
      <w:docPartPr>
        <w:name w:val="996F1006ECD3486DA0C0F77F42EE5E85"/>
        <w:category>
          <w:name w:val="General"/>
          <w:gallery w:val="placeholder"/>
        </w:category>
        <w:types>
          <w:type w:val="bbPlcHdr"/>
        </w:types>
        <w:behaviors>
          <w:behavior w:val="content"/>
        </w:behaviors>
        <w:guid w:val="{D11643A4-E8BD-4E70-8CDD-08C4281A335E}"/>
      </w:docPartPr>
      <w:docPartBody>
        <w:p w:rsidR="00000000" w:rsidRDefault="001C2457" w:rsidP="001C2457">
          <w:pPr>
            <w:pStyle w:val="996F1006ECD3486DA0C0F77F42EE5E85"/>
          </w:pPr>
          <w:r w:rsidRPr="003B43C3">
            <w:rPr>
              <w:rStyle w:val="PlaceholderText"/>
            </w:rPr>
            <w:t>Choose an item.</w:t>
          </w:r>
        </w:p>
      </w:docPartBody>
    </w:docPart>
    <w:docPart>
      <w:docPartPr>
        <w:name w:val="C12A359535FA4C07BDEF41A1EC16F067"/>
        <w:category>
          <w:name w:val="General"/>
          <w:gallery w:val="placeholder"/>
        </w:category>
        <w:types>
          <w:type w:val="bbPlcHdr"/>
        </w:types>
        <w:behaviors>
          <w:behavior w:val="content"/>
        </w:behaviors>
        <w:guid w:val="{9CCBD53C-B83E-451B-B82F-D02FF5F9E210}"/>
      </w:docPartPr>
      <w:docPartBody>
        <w:p w:rsidR="00000000" w:rsidRDefault="001C2457" w:rsidP="001C2457">
          <w:pPr>
            <w:pStyle w:val="C12A359535FA4C07BDEF41A1EC16F067"/>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1C2457"/>
    <w:rsid w:val="0045228C"/>
    <w:rsid w:val="00534775"/>
    <w:rsid w:val="00604B81"/>
    <w:rsid w:val="0061375B"/>
    <w:rsid w:val="0072616C"/>
    <w:rsid w:val="00AA3AA1"/>
    <w:rsid w:val="00AB10CC"/>
    <w:rsid w:val="00BA0BFD"/>
    <w:rsid w:val="00BF40FB"/>
    <w:rsid w:val="00C52CED"/>
    <w:rsid w:val="00C8756D"/>
    <w:rsid w:val="00DC0872"/>
    <w:rsid w:val="00DE18F3"/>
    <w:rsid w:val="00DE18FE"/>
    <w:rsid w:val="00E56A81"/>
    <w:rsid w:val="00E65C85"/>
    <w:rsid w:val="00EA5119"/>
    <w:rsid w:val="00EB684C"/>
    <w:rsid w:val="00F47CB4"/>
    <w:rsid w:val="00FC5C47"/>
    <w:rsid w:val="00FE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457"/>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B74ED0ADCF84A1BB99F376FEAEDF39F">
    <w:name w:val="1B74ED0ADCF84A1BB99F376FEAEDF39F"/>
  </w:style>
  <w:style w:type="paragraph" w:customStyle="1" w:styleId="803D6D511DB44FBE80EBBDB80B1538C1">
    <w:name w:val="803D6D511DB44FBE80EBBDB80B1538C1"/>
    <w:rsid w:val="00C52CED"/>
  </w:style>
  <w:style w:type="paragraph" w:customStyle="1" w:styleId="8023FA6A44D04570907694E094394548">
    <w:name w:val="8023FA6A44D04570907694E094394548"/>
    <w:rsid w:val="00C52CED"/>
  </w:style>
  <w:style w:type="paragraph" w:customStyle="1" w:styleId="2A8B99E166E444C1BCC3E0C43B016065">
    <w:name w:val="2A8B99E166E444C1BCC3E0C43B016065"/>
    <w:rsid w:val="00C52CED"/>
  </w:style>
  <w:style w:type="paragraph" w:customStyle="1" w:styleId="4047ED7E4B244A8A81EFB8D83765E435">
    <w:name w:val="4047ED7E4B244A8A81EFB8D83765E435"/>
    <w:rsid w:val="00C52CED"/>
  </w:style>
  <w:style w:type="paragraph" w:customStyle="1" w:styleId="2E53C3FF4E664E04B53484C8C17FE75F">
    <w:name w:val="2E53C3FF4E664E04B53484C8C17FE75F"/>
    <w:rsid w:val="00C52CED"/>
  </w:style>
  <w:style w:type="paragraph" w:customStyle="1" w:styleId="4EBE85F19B2C408FBD1811D72A52EEF7">
    <w:name w:val="4EBE85F19B2C408FBD1811D72A52EEF7"/>
    <w:rsid w:val="00C52CED"/>
  </w:style>
  <w:style w:type="paragraph" w:customStyle="1" w:styleId="9AF62FD669C644048C5EB0B33B43FEC0">
    <w:name w:val="9AF62FD669C644048C5EB0B33B43FEC0"/>
    <w:rsid w:val="00C52CED"/>
  </w:style>
  <w:style w:type="paragraph" w:customStyle="1" w:styleId="47F3CE9C89B248B5BF7402A8B07EA3FB">
    <w:name w:val="47F3CE9C89B248B5BF7402A8B07EA3FB"/>
    <w:rsid w:val="00BA0BFD"/>
  </w:style>
  <w:style w:type="paragraph" w:customStyle="1" w:styleId="6693AB4C8947490E9C0CD8E4DA774C2C">
    <w:name w:val="6693AB4C8947490E9C0CD8E4DA774C2C"/>
    <w:rsid w:val="00BA0BFD"/>
  </w:style>
  <w:style w:type="paragraph" w:customStyle="1" w:styleId="9A19DDAF3ACE47D2962D30C58AC51471">
    <w:name w:val="9A19DDAF3ACE47D2962D30C58AC51471"/>
    <w:rsid w:val="001C2457"/>
  </w:style>
  <w:style w:type="paragraph" w:customStyle="1" w:styleId="996F1006ECD3486DA0C0F77F42EE5E85">
    <w:name w:val="996F1006ECD3486DA0C0F77F42EE5E85"/>
    <w:rsid w:val="001C2457"/>
  </w:style>
  <w:style w:type="paragraph" w:customStyle="1" w:styleId="C12A359535FA4C07BDEF41A1EC16F067">
    <w:name w:val="C12A359535FA4C07BDEF41A1EC16F067"/>
    <w:rsid w:val="001C2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38FBA-19E0-4DCA-B79B-1A1BCBDA5EC2}">
  <ds:schemaRefs>
    <ds:schemaRef ds:uri="http://schemas.microsoft.com/sharepoint/v3/contenttype/forms"/>
  </ds:schemaRefs>
</ds:datastoreItem>
</file>

<file path=customXml/itemProps2.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2020-05-26T17:51:00Z</dcterms:created>
  <dcterms:modified xsi:type="dcterms:W3CDTF">2020-05-27T13:45:00Z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