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6E64364B"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0656EFEB"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w:t>
      </w:r>
      <w:r w:rsidR="00CD5D0B">
        <w:rPr>
          <w:rFonts w:cs="Arial"/>
          <w:szCs w:val="22"/>
        </w:rPr>
        <w:t>an annual</w:t>
      </w:r>
      <w:r w:rsidR="00CD5D0B" w:rsidRPr="00087E8D">
        <w:rPr>
          <w:rFonts w:cs="Arial"/>
          <w:szCs w:val="22"/>
        </w:rPr>
        <w:t xml:space="preserve"> dollar </w:t>
      </w:r>
      <w:r w:rsidRPr="00087E8D">
        <w:rPr>
          <w:rFonts w:cs="Arial"/>
          <w:szCs w:val="22"/>
        </w:rPr>
        <w:t xml:space="preserve">per square foot rental, which is then applied to the </w:t>
      </w:r>
      <w:bookmarkStart w:id="3" w:name="_Hlk41200958"/>
      <w:r w:rsidR="00630B02">
        <w:rPr>
          <w:rFonts w:cs="Arial"/>
          <w:szCs w:val="22"/>
        </w:rPr>
        <w:t>net rentable</w:t>
      </w:r>
      <w:r w:rsidRPr="00087E8D">
        <w:rPr>
          <w:rFonts w:cs="Arial"/>
          <w:szCs w:val="22"/>
        </w:rPr>
        <w:t xml:space="preserve"> area (</w:t>
      </w:r>
      <w:r w:rsidR="00630B02">
        <w:rPr>
          <w:rFonts w:cs="Arial"/>
          <w:szCs w:val="22"/>
        </w:rPr>
        <w:t>NRA</w:t>
      </w:r>
      <w:r w:rsidRPr="00087E8D">
        <w:rPr>
          <w:rFonts w:cs="Arial"/>
          <w:szCs w:val="22"/>
        </w:rPr>
        <w:t xml:space="preserve">) </w:t>
      </w:r>
      <w:bookmarkEnd w:id="3"/>
      <w:r w:rsidRPr="00087E8D">
        <w:rPr>
          <w:rFonts w:cs="Arial"/>
          <w:szCs w:val="22"/>
        </w:rPr>
        <w:t xml:space="preserve">of the property. </w:t>
      </w:r>
    </w:p>
    <w:p w14:paraId="4672E700" w14:textId="77777777" w:rsidR="00630B02" w:rsidRPr="00A219FB" w:rsidRDefault="00630B02" w:rsidP="00630B02">
      <w:pPr>
        <w:rPr>
          <w:rFonts w:cs="Arial"/>
          <w:szCs w:val="22"/>
        </w:rPr>
      </w:pPr>
    </w:p>
    <w:p w14:paraId="4114C956" w14:textId="363F9F28" w:rsidR="00630B02" w:rsidRPr="00087E8D" w:rsidRDefault="00630B02" w:rsidP="00630B02">
      <w:pPr>
        <w:rPr>
          <w:rFonts w:cs="Arial"/>
          <w:szCs w:val="22"/>
        </w:rPr>
      </w:pPr>
      <w:r w:rsidRPr="00A219FB">
        <w:rPr>
          <w:rFonts w:cs="Arial"/>
          <w:szCs w:val="22"/>
        </w:rPr>
        <w:t xml:space="preserve">A review of current subject market trends indicates that </w:t>
      </w:r>
      <w:r w:rsidRPr="00F823F7">
        <w:rPr>
          <w:rFonts w:cs="Arial"/>
          <w:szCs w:val="22"/>
        </w:rPr>
        <w:t>typical</w:t>
      </w:r>
      <w:r>
        <w:rPr>
          <w:rFonts w:cs="Arial"/>
          <w:szCs w:val="22"/>
        </w:rPr>
        <w:t xml:space="preserve"> single-tenant </w:t>
      </w:r>
      <w:sdt>
        <w:sdtPr>
          <w:rPr>
            <w:rFonts w:cs="Arial"/>
            <w:szCs w:val="22"/>
            <w:highlight w:val="green"/>
          </w:rPr>
          <w:alias w:val="Office or Medical-Dental"/>
          <w:tag w:val="Office or Medical-Dental"/>
          <w:id w:val="-1270997285"/>
          <w:placeholder>
            <w:docPart w:val="3D828730CEDD42EE8257F455E1DA508B"/>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Pr="00630B02">
            <w:rPr>
              <w:rFonts w:cs="Arial"/>
              <w:szCs w:val="22"/>
              <w:highlight w:val="green"/>
            </w:rPr>
            <w:t>office</w:t>
          </w:r>
        </w:sdtContent>
      </w:sdt>
      <w:r w:rsidRPr="00F823F7">
        <w:rPr>
          <w:rFonts w:cs="Arial"/>
          <w:szCs w:val="22"/>
        </w:rPr>
        <w:t xml:space="preserve"> leases </w:t>
      </w:r>
      <w:r>
        <w:rPr>
          <w:rFonts w:cs="Arial"/>
          <w:szCs w:val="22"/>
        </w:rPr>
        <w:t xml:space="preserve">for newer </w:t>
      </w:r>
      <w:sdt>
        <w:sdtPr>
          <w:rPr>
            <w:rFonts w:cs="Arial"/>
            <w:szCs w:val="22"/>
            <w:highlight w:val="green"/>
          </w:rPr>
          <w:alias w:val="Office or Medical-Dental"/>
          <w:tag w:val="Office or Medical-Dental"/>
          <w:id w:val="-1458328656"/>
          <w:placeholder>
            <w:docPart w:val="DefaultPlaceholder_-1854013438"/>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Pr="00630B02">
            <w:rPr>
              <w:rFonts w:cs="Arial"/>
              <w:szCs w:val="22"/>
              <w:highlight w:val="green"/>
            </w:rPr>
            <w:t>office</w:t>
          </w:r>
        </w:sdtContent>
      </w:sdt>
      <w:r>
        <w:rPr>
          <w:rFonts w:cs="Arial"/>
          <w:szCs w:val="22"/>
        </w:rPr>
        <w:t xml:space="preserve"> properties</w:t>
      </w:r>
      <w:r w:rsidRPr="00A219FB">
        <w:rPr>
          <w:rFonts w:cs="Arial"/>
          <w:szCs w:val="22"/>
        </w:rPr>
        <w:t xml:space="preserve"> in the subject market area are written on </w:t>
      </w:r>
      <w:r w:rsidRPr="00A219FB">
        <w:rPr>
          <w:rFonts w:cs="Arial"/>
          <w:bCs/>
          <w:szCs w:val="22"/>
        </w:rPr>
        <w:t xml:space="preserve">an </w:t>
      </w:r>
      <w:r>
        <w:rPr>
          <w:rFonts w:cs="Arial"/>
          <w:b/>
          <w:szCs w:val="22"/>
        </w:rPr>
        <w:t>absolute t</w:t>
      </w:r>
      <w:r w:rsidRPr="00A219FB">
        <w:rPr>
          <w:rFonts w:cs="Arial"/>
          <w:b/>
          <w:szCs w:val="22"/>
        </w:rPr>
        <w:t xml:space="preserve">riple net </w:t>
      </w:r>
      <w:r w:rsidRPr="00A219FB">
        <w:rPr>
          <w:rFonts w:cs="Arial"/>
          <w:szCs w:val="22"/>
        </w:rPr>
        <w:t>rental basis.</w:t>
      </w:r>
      <w:r>
        <w:rPr>
          <w:rFonts w:cs="Arial"/>
          <w:szCs w:val="22"/>
        </w:rPr>
        <w:t xml:space="preserve"> Such t</w:t>
      </w:r>
      <w:r w:rsidRPr="00A219FB">
        <w:rPr>
          <w:rFonts w:cs="Arial"/>
          <w:szCs w:val="22"/>
        </w:rPr>
        <w:t xml:space="preserve">riple net tenant rents include </w:t>
      </w:r>
      <w:r>
        <w:rPr>
          <w:rFonts w:cs="Arial"/>
          <w:szCs w:val="22"/>
        </w:rPr>
        <w:t xml:space="preserve">not </w:t>
      </w:r>
      <w:r w:rsidRPr="00A219FB">
        <w:rPr>
          <w:rFonts w:cs="Arial"/>
          <w:szCs w:val="22"/>
        </w:rPr>
        <w:t xml:space="preserve">only the net base rent, with the tenant typically </w:t>
      </w:r>
      <w:r>
        <w:rPr>
          <w:rFonts w:cs="Arial"/>
          <w:szCs w:val="22"/>
        </w:rPr>
        <w:t xml:space="preserve">also </w:t>
      </w:r>
      <w:r w:rsidRPr="00A219FB">
        <w:rPr>
          <w:rFonts w:cs="Arial"/>
          <w:szCs w:val="22"/>
        </w:rPr>
        <w:t xml:space="preserve">responsible for all building operating expenses </w:t>
      </w:r>
      <w:r w:rsidRPr="00F823F7">
        <w:rPr>
          <w:rFonts w:cs="Arial"/>
          <w:szCs w:val="22"/>
        </w:rPr>
        <w:t>(</w:t>
      </w:r>
      <w:sdt>
        <w:sdtPr>
          <w:rPr>
            <w:highlight w:val="green"/>
          </w:rPr>
          <w:alias w:val="Including or Excluding"/>
          <w:tag w:val="Including or Excluding"/>
          <w:id w:val="-385188248"/>
          <w:placeholder>
            <w:docPart w:val="13B03EFCB4764A1180E08D83A33E1710"/>
          </w:placeholder>
          <w:dropDownList>
            <w:listItem w:value="Choose an item."/>
            <w:listItem w:displayText="excluding" w:value="excluding"/>
            <w:listItem w:displayText="including" w:value="including"/>
          </w:dropDownList>
        </w:sdtPr>
        <w:sdtEndPr/>
        <w:sdtContent>
          <w:r>
            <w:rPr>
              <w:highlight w:val="green"/>
            </w:rPr>
            <w:t>including</w:t>
          </w:r>
        </w:sdtContent>
      </w:sdt>
      <w:r w:rsidRPr="00F823F7">
        <w:rPr>
          <w:rFonts w:cs="Arial"/>
          <w:szCs w:val="22"/>
        </w:rPr>
        <w:t xml:space="preserve"> </w:t>
      </w:r>
      <w:r w:rsidRPr="00E14FDB">
        <w:t>manage</w:t>
      </w:r>
      <w:r>
        <w:t>m</w:t>
      </w:r>
      <w:r w:rsidRPr="00E14FDB">
        <w:t>ent fees and reserves for capital expenditures</w:t>
      </w:r>
      <w:r w:rsidRPr="00F823F7">
        <w:rPr>
          <w:rFonts w:cs="Arial"/>
          <w:szCs w:val="22"/>
        </w:rPr>
        <w:t>).</w:t>
      </w:r>
      <w:r>
        <w:rPr>
          <w:rFonts w:cs="Arial"/>
          <w:szCs w:val="22"/>
        </w:rPr>
        <w:t xml:space="preserve"> </w:t>
      </w:r>
      <w:r w:rsidRPr="00A219FB">
        <w:rPr>
          <w:rFonts w:cs="Arial"/>
          <w:szCs w:val="22"/>
        </w:rPr>
        <w:t>Hence, we have anticipated that all future rent for the subject would be payable on this basis.</w:t>
      </w:r>
      <w:r w:rsidRPr="000754FA">
        <w:rPr>
          <w:rFonts w:cs="Arial"/>
          <w:szCs w:val="22"/>
        </w:rPr>
        <w:t xml:space="preserve"> </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7C6271C1" w:rsidR="000D7CF2" w:rsidRPr="00B323A6" w:rsidRDefault="000D7CF2" w:rsidP="000D7CF2">
      <w:pPr>
        <w:widowControl w:val="0"/>
        <w:rPr>
          <w:rFonts w:cs="Arial"/>
          <w:szCs w:val="22"/>
        </w:rPr>
      </w:pPr>
      <w:r w:rsidRPr="00B323A6">
        <w:rPr>
          <w:rFonts w:cs="Arial"/>
          <w:szCs w:val="22"/>
        </w:rPr>
        <w:t>In order to estimate the current market rent for the subject</w:t>
      </w:r>
      <w:r>
        <w:rPr>
          <w:rFonts w:cs="Arial"/>
          <w:szCs w:val="22"/>
        </w:rPr>
        <w:t xml:space="preserve"> </w:t>
      </w:r>
      <w:sdt>
        <w:sdtPr>
          <w:rPr>
            <w:rFonts w:cs="Arial"/>
            <w:szCs w:val="22"/>
            <w:highlight w:val="green"/>
          </w:rPr>
          <w:alias w:val="Office or Medical-Dental"/>
          <w:tag w:val="Office or Medical-Dental"/>
          <w:id w:val="-1416318989"/>
          <w:placeholder>
            <w:docPart w:val="CEBE600A642746D8980B6461E6D28C50"/>
          </w:placeholder>
          <w:dropDownList>
            <w:listItem w:value="Choose an item."/>
            <w:listItem w:displayText="office" w:value="office"/>
            <w:listItem w:displayText="medical" w:value="medical"/>
            <w:listItem w:displayText="dental" w:value="dental"/>
            <w:listItem w:displayText="veterinary" w:value="veterinary"/>
          </w:dropDownList>
        </w:sdtPr>
        <w:sdtEndPr/>
        <w:sdtContent>
          <w:r w:rsidR="00630B02" w:rsidRPr="00630B02">
            <w:rPr>
              <w:rFonts w:cs="Arial"/>
              <w:szCs w:val="22"/>
              <w:highlight w:val="green"/>
            </w:rPr>
            <w:t>office</w:t>
          </w:r>
        </w:sdtContent>
      </w:sdt>
      <w:r w:rsidR="00630B02">
        <w:rPr>
          <w:rFonts w:cs="Arial"/>
          <w:szCs w:val="22"/>
        </w:rPr>
        <w:t xml:space="preserve"> </w:t>
      </w:r>
      <w:r w:rsidRPr="00B323A6">
        <w:rPr>
          <w:rFonts w:cs="Arial"/>
          <w:szCs w:val="22"/>
        </w:rPr>
        <w:t xml:space="preserve">property, we conducted a survey of reasonably comparable tenant leases </w:t>
      </w:r>
      <w:r w:rsidRPr="00BA4BC4">
        <w:rPr>
          <w:rFonts w:cs="Arial"/>
          <w:szCs w:val="22"/>
        </w:rPr>
        <w:t xml:space="preserve">of </w:t>
      </w:r>
      <w:sdt>
        <w:sdtPr>
          <w:rPr>
            <w:rFonts w:cs="Arial"/>
            <w:szCs w:val="22"/>
            <w:highlight w:val="green"/>
          </w:rPr>
          <w:alias w:val="Office or Medical-Dental"/>
          <w:tag w:val="Office or Medical-Dental"/>
          <w:id w:val="1877888481"/>
          <w:placeholder>
            <w:docPart w:val="A2527448657D46BCB8CE505B9949D25C"/>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30B02" w:rsidRPr="00630B02">
            <w:rPr>
              <w:rFonts w:cs="Arial"/>
              <w:szCs w:val="22"/>
              <w:highlight w:val="green"/>
            </w:rPr>
            <w:t>office</w:t>
          </w:r>
        </w:sdtContent>
      </w:sdt>
      <w:r w:rsidR="00630B02">
        <w:rPr>
          <w:rFonts w:cs="Arial"/>
          <w:szCs w:val="22"/>
        </w:rPr>
        <w:t xml:space="preserv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25F7E79C" w14:textId="190D00B5" w:rsidR="005A24B3" w:rsidRDefault="0019553E"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9B4ECE">
        <w:rPr>
          <w:noProof/>
        </w:rPr>
        <w:lastRenderedPageBreak/>
        <w:drawing>
          <wp:inline distT="0" distB="0" distL="0" distR="0" wp14:anchorId="366CEF35" wp14:editId="49192A27">
            <wp:extent cx="6773938" cy="7459980"/>
            <wp:effectExtent l="0" t="0" r="825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780881" cy="7467627"/>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530C6D">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251A4B">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1222E0">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6D0FDDED" w14:textId="0C7B14B8" w:rsidR="009B7DEE" w:rsidRPr="00756BD2" w:rsidRDefault="009B7DEE" w:rsidP="009B7DEE">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Office or Medical-Dental"/>
          <w:tag w:val="Office or Medical-Dental"/>
          <w:id w:val="-1720131150"/>
          <w:placeholder>
            <w:docPart w:val="3A738C6E32F4418B96B6E98A8357D5A2"/>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30B02" w:rsidRPr="00630B02">
            <w:rPr>
              <w:rFonts w:cs="Arial"/>
              <w:szCs w:val="22"/>
              <w:highlight w:val="green"/>
            </w:rPr>
            <w:t>office</w:t>
          </w:r>
        </w:sdtContent>
      </w:sdt>
      <w:r w:rsidR="00630B02">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NRA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Office or Medical-Dental"/>
          <w:tag w:val="Office or Medical-Dental"/>
          <w:id w:val="-555546011"/>
          <w:placeholder>
            <w:docPart w:val="B42606219AC14D55A69B16E7415EB501"/>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30B02" w:rsidRPr="00630B02">
            <w:rPr>
              <w:rFonts w:cs="Arial"/>
              <w:szCs w:val="22"/>
              <w:highlight w:val="green"/>
            </w:rPr>
            <w:t>office</w:t>
          </w:r>
        </w:sdtContent>
      </w:sdt>
      <w:r w:rsidR="00630B02">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2EA0C141"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NRA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773F42">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C316D2FFA708409A89B7F91E99BC8356"/>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773F42">
            <w:rPr>
              <w:rFonts w:cs="Arial"/>
              <w:kern w:val="20"/>
              <w:szCs w:val="22"/>
              <w:highlight w:val="green"/>
            </w:rPr>
            <w:t>analysis</w:t>
          </w:r>
        </w:sdtContent>
      </w:sdt>
      <w:r w:rsidR="00773F42"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55ED3DAC" w14:textId="77777777" w:rsidR="00B46DD4" w:rsidRDefault="00B46DD4" w:rsidP="005A24B3">
      <w:r>
        <w:t>None.</w:t>
      </w:r>
    </w:p>
    <w:p w14:paraId="0963E247" w14:textId="77777777" w:rsidR="00B46DD4" w:rsidRDefault="00B46DD4" w:rsidP="005A24B3"/>
    <w:p w14:paraId="57EC7BC2" w14:textId="77777777" w:rsidR="00B46DD4" w:rsidRDefault="00B46DD4" w:rsidP="005A24B3">
      <w:r w:rsidRPr="009B7DEE">
        <w:rPr>
          <w:highlight w:val="green"/>
        </w:rPr>
        <w:t>Or here is an example:</w:t>
      </w:r>
    </w:p>
    <w:p w14:paraId="2654A3A2" w14:textId="77777777" w:rsidR="00B46DD4" w:rsidRDefault="00B46DD4" w:rsidP="005A24B3"/>
    <w:p w14:paraId="6B980CDF" w14:textId="679F7D4A" w:rsidR="009B7DEE" w:rsidRDefault="009B7DEE" w:rsidP="009B7DEE">
      <w:pPr>
        <w:rPr>
          <w:rFonts w:cs="Arial"/>
          <w:color w:val="000000"/>
          <w:szCs w:val="22"/>
        </w:rPr>
      </w:pPr>
      <w:r>
        <w:rPr>
          <w:highlight w:val="yellow"/>
        </w:rPr>
        <w:t>The subject property is currently 100% leased to</w:t>
      </w:r>
      <w:r w:rsidRPr="009B7DEE">
        <w:rPr>
          <w:highlight w:val="yellow"/>
        </w:rPr>
        <w:t xml:space="preserve"> Eye Health Northwest P.C.</w:t>
      </w:r>
      <w:r>
        <w:rPr>
          <w:highlight w:val="yellow"/>
        </w:rPr>
        <w:t xml:space="preserve"> </w:t>
      </w:r>
      <w:r w:rsidRPr="009B7DEE">
        <w:rPr>
          <w:highlight w:val="yellow"/>
        </w:rPr>
        <w:t>for a 10-year period which began in May 23, 2019.  Annual contract rent began at $20,800 per month triple net ($32.32 / SF NRA), which is fixed for Years 1 to 3, and then escalates by CPI annually thereafter (limited maximum 3</w:t>
      </w:r>
      <w:r>
        <w:rPr>
          <w:highlight w:val="yellow"/>
        </w:rPr>
        <w:t>.0</w:t>
      </w:r>
      <w:r w:rsidRPr="009B7DEE">
        <w:rPr>
          <w:highlight w:val="yellow"/>
        </w:rPr>
        <w:t xml:space="preserve">% annual rent escalations).  Note that the landlord is responsible for structural maintenance and management fees.  A copy of this related-party lease is provided in the Addenda. </w:t>
      </w:r>
      <w:r w:rsidRPr="009B7DEE">
        <w:rPr>
          <w:rFonts w:cs="Arial"/>
          <w:color w:val="000000"/>
          <w:szCs w:val="22"/>
          <w:highlight w:val="yellow"/>
        </w:rPr>
        <w:t>A rent roll for the subject property is provided below.</w:t>
      </w:r>
    </w:p>
    <w:p w14:paraId="4332C7F7" w14:textId="77777777" w:rsidR="009B7DEE" w:rsidRDefault="009B7DEE" w:rsidP="009B7DEE">
      <w:pPr>
        <w:rPr>
          <w:rFonts w:cs="Arial"/>
          <w:color w:val="000000"/>
          <w:szCs w:val="22"/>
        </w:rPr>
      </w:pPr>
    </w:p>
    <w:p w14:paraId="0E2E1970" w14:textId="77777777" w:rsidR="009B7DEE" w:rsidRDefault="009B7DEE" w:rsidP="009B7DEE">
      <w:pPr>
        <w:ind w:left="-720"/>
      </w:pPr>
      <w:r w:rsidRPr="004A2065">
        <w:rPr>
          <w:noProof/>
        </w:rPr>
        <w:drawing>
          <wp:inline distT="0" distB="0" distL="0" distR="0" wp14:anchorId="5AE4CD7E" wp14:editId="16AC3B5C">
            <wp:extent cx="6807200" cy="19439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35066" cy="1951938"/>
                    </a:xfrm>
                    <a:prstGeom prst="rect">
                      <a:avLst/>
                    </a:prstGeom>
                    <a:noFill/>
                    <a:ln>
                      <a:noFill/>
                    </a:ln>
                  </pic:spPr>
                </pic:pic>
              </a:graphicData>
            </a:graphic>
          </wp:inline>
        </w:drawing>
      </w:r>
      <w:r w:rsidRPr="004A2065">
        <w:t xml:space="preserve">  </w:t>
      </w:r>
    </w:p>
    <w:p w14:paraId="199294D6" w14:textId="77777777" w:rsidR="009B7DEE" w:rsidRDefault="009B7DEE" w:rsidP="009B7DEE"/>
    <w:p w14:paraId="163BDAD5" w14:textId="77777777" w:rsidR="00EB0B1F" w:rsidRDefault="00EB0B1F" w:rsidP="00EB0B1F">
      <w:pPr>
        <w:rPr>
          <w:rFonts w:cs="Arial"/>
          <w:szCs w:val="22"/>
        </w:rPr>
      </w:pPr>
    </w:p>
    <w:p w14:paraId="11275D41" w14:textId="140B5B99" w:rsidR="00113B80" w:rsidRPr="00FF1F4B" w:rsidRDefault="00113B80" w:rsidP="00113B80">
      <w:pPr>
        <w:widowControl w:val="0"/>
        <w:tabs>
          <w:tab w:val="left" w:pos="3744"/>
        </w:tabs>
        <w:rPr>
          <w:rFonts w:cs="Segoe UI"/>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49779D">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49779D">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49779D">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lastRenderedPageBreak/>
        <w:t>Market Rent Conclusion</w:t>
      </w:r>
    </w:p>
    <w:p w14:paraId="64E7BBB9" w14:textId="6D64B29E" w:rsidR="009B7DEE" w:rsidRDefault="009B7DEE" w:rsidP="009B7DEE">
      <w:r w:rsidRPr="00CB4DB3">
        <w:t xml:space="preserve">Based on the preceding discussions, it is concluded that the market rent for the subject property is reasonably supported </w:t>
      </w:r>
      <w:r w:rsidRPr="00E1105C">
        <w:rPr>
          <w:highlight w:val="yellow"/>
        </w:rPr>
        <w:t>near the 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NRA</w:t>
      </w:r>
      <w:r w:rsidRPr="000766C3">
        <w:t>.</w:t>
      </w:r>
      <w:r>
        <w:t xml:space="preserve">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41895A86"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w:t>
      </w:r>
      <w:r w:rsidR="00630B02">
        <w:rPr>
          <w:rFonts w:cs="Arial"/>
          <w:szCs w:val="22"/>
          <w:highlight w:val="yellow"/>
        </w:rPr>
        <w:t>NRA</w:t>
      </w:r>
      <w:r w:rsidRPr="00B46DD4">
        <w:rPr>
          <w:rFonts w:cs="Arial"/>
          <w:szCs w:val="22"/>
          <w:highlight w:val="yellow"/>
        </w:rPr>
        <w:t>)</w:t>
      </w:r>
      <w:r w:rsidRPr="000754FA">
        <w:rPr>
          <w:rFonts w:cs="Arial"/>
          <w:szCs w:val="22"/>
        </w:rPr>
        <w:t>,</w:t>
      </w:r>
      <w:r w:rsidR="006950E6">
        <w:rPr>
          <w:rFonts w:cs="Arial"/>
          <w:b/>
          <w:szCs w:val="22"/>
        </w:rPr>
        <w:t xml:space="preserve"> </w:t>
      </w:r>
      <w:r w:rsidR="006950E6">
        <w:rPr>
          <w:rFonts w:cs="Arial"/>
          <w:szCs w:val="22"/>
        </w:rPr>
        <w:t>as i</w:t>
      </w:r>
      <w:r w:rsidRPr="000754FA">
        <w:rPr>
          <w:rFonts w:cs="Arial"/>
          <w:szCs w:val="22"/>
        </w:rPr>
        <w:t>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311EB6A5" w14:textId="77777777" w:rsidR="003A6D8D" w:rsidRDefault="003A6D8D" w:rsidP="003A6D8D">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1EE253A" w14:textId="77777777" w:rsidR="00C61AA8" w:rsidRDefault="00C61AA8" w:rsidP="00C61AA8">
      <w:r w:rsidRPr="00C61AA8">
        <w:rPr>
          <w:highlight w:val="yellow"/>
        </w:rPr>
        <w:t xml:space="preserve">The appraiser used </w:t>
      </w:r>
      <w:r w:rsidRPr="00C61AA8">
        <w:rPr>
          <w:b/>
          <w:highlight w:val="yellow"/>
        </w:rPr>
        <w:t>CoStar</w:t>
      </w:r>
      <w:r w:rsidRPr="00C61AA8">
        <w:rPr>
          <w:highlight w:val="yellow"/>
        </w:rPr>
        <w:t xml:space="preserve"> to produce a search of the subject’s immediate to expanded </w:t>
      </w:r>
      <w:r w:rsidRPr="00C61AA8">
        <w:rPr>
          <w:highlight w:val="yellow"/>
          <w:u w:val="single"/>
        </w:rPr>
        <w:t>Beaverton / 217Corridor/ Tigard</w:t>
      </w:r>
      <w:r w:rsidRPr="00C61AA8">
        <w:rPr>
          <w:highlight w:val="yellow"/>
        </w:rPr>
        <w:t xml:space="preserve"> submarkets for </w:t>
      </w:r>
      <w:r w:rsidRPr="00C61AA8">
        <w:rPr>
          <w:b/>
          <w:highlight w:val="yellow"/>
        </w:rPr>
        <w:t>office properties</w:t>
      </w:r>
      <w:r w:rsidRPr="00C61AA8">
        <w:rPr>
          <w:highlight w:val="yellow"/>
        </w:rPr>
        <w:t xml:space="preserve">. As of March 2020, </w:t>
      </w:r>
      <w:r w:rsidRPr="00C61AA8">
        <w:rPr>
          <w:b/>
          <w:highlight w:val="yellow"/>
        </w:rPr>
        <w:t>Costar</w:t>
      </w:r>
      <w:r w:rsidRPr="00C61AA8">
        <w:rPr>
          <w:highlight w:val="yellow"/>
        </w:rPr>
        <w:t xml:space="preserve"> indicates current vacancy at 10.4% </w:t>
      </w:r>
      <w:r w:rsidRPr="00C61AA8">
        <w:rPr>
          <w:iCs/>
          <w:highlight w:val="yellow"/>
        </w:rPr>
        <w:t xml:space="preserve">(803,081 </w:t>
      </w:r>
      <w:r w:rsidRPr="00C61AA8">
        <w:rPr>
          <w:highlight w:val="yellow"/>
        </w:rPr>
        <w:t>SF out of 7,704,170 SF, 470 properties surveyed) with negative absorption of -45,141 SF over the past 12 months. This vacancy is also lower than the 5-year average of 11.9%, with only 33,704 SF delivered on average over the 5-year period. Currently, there is no new office under construction within the defined submarket area and no new space delivered over the past 12 months. The current average asking rate for office space in the immediate area is $22.44per SF (primarily quoted as full-service basis), which is above the 5-year average of $20.33 per SF.</w:t>
      </w:r>
    </w:p>
    <w:p w14:paraId="5F653F00" w14:textId="77777777" w:rsidR="005A24B3" w:rsidRDefault="005A24B3" w:rsidP="005A24B3">
      <w:pPr>
        <w:rPr>
          <w:rFonts w:cs="Arial"/>
          <w:szCs w:val="22"/>
        </w:rPr>
      </w:pPr>
    </w:p>
    <w:p w14:paraId="4A2ED5CA" w14:textId="3DC68669"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6D3641" w:rsidRPr="00C61AA8">
        <w:rPr>
          <w:rFonts w:cs="Arial"/>
          <w:szCs w:val="22"/>
          <w:highlight w:val="yellow"/>
        </w:rPr>
        <w:t>office</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593603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9B7DEE">
        <w:rPr>
          <w:rFonts w:cs="Arial"/>
          <w:szCs w:val="22"/>
          <w:highlight w:val="yellow"/>
        </w:rPr>
        <w:t>NR</w:t>
      </w:r>
      <w:r w:rsidR="00B46DD4" w:rsidRPr="00B46DD4">
        <w:rPr>
          <w:rFonts w:cs="Arial"/>
          <w:szCs w:val="22"/>
          <w:highlight w:val="yellow"/>
        </w:rPr>
        <w:t>A)</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0CA0E951" w14:textId="355F50FA" w:rsidR="00630B02" w:rsidRPr="000754FA" w:rsidRDefault="00630B02" w:rsidP="00630B02">
      <w:pPr>
        <w:rPr>
          <w:rFonts w:cs="Segoe UI"/>
          <w:color w:val="000000"/>
          <w:szCs w:val="22"/>
        </w:rPr>
      </w:pPr>
      <w:r w:rsidRPr="000754FA">
        <w:rPr>
          <w:rFonts w:cs="Segoe UI"/>
          <w:color w:val="000000"/>
          <w:szCs w:val="22"/>
        </w:rPr>
        <w:t xml:space="preserve">The market rent conclusion has been based on a typical </w:t>
      </w:r>
      <w:r>
        <w:rPr>
          <w:rFonts w:cs="Segoe UI"/>
          <w:color w:val="000000"/>
          <w:szCs w:val="22"/>
        </w:rPr>
        <w:t xml:space="preserve">absolute </w:t>
      </w:r>
      <w:r w:rsidRPr="000754FA">
        <w:rPr>
          <w:rFonts w:cs="Segoe UI"/>
          <w:color w:val="000000"/>
          <w:szCs w:val="22"/>
        </w:rPr>
        <w:t xml:space="preserve">triple net lease for </w:t>
      </w:r>
      <w:sdt>
        <w:sdtPr>
          <w:rPr>
            <w:rFonts w:cs="Arial"/>
            <w:szCs w:val="22"/>
            <w:highlight w:val="green"/>
          </w:rPr>
          <w:alias w:val="Office or Medical-Dental"/>
          <w:tag w:val="Office or Medical-Dental"/>
          <w:id w:val="367642606"/>
          <w:placeholder>
            <w:docPart w:val="E0C1EE29285C44D485AC787DAE0357E0"/>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Pr="00630B02">
            <w:rPr>
              <w:rFonts w:cs="Arial"/>
              <w:szCs w:val="22"/>
              <w:highlight w:val="green"/>
            </w:rPr>
            <w:t>office</w:t>
          </w:r>
        </w:sdtContent>
      </w:sdt>
      <w:r w:rsidRPr="000754FA">
        <w:rPr>
          <w:rFonts w:cs="Segoe UI"/>
          <w:color w:val="000000"/>
          <w:szCs w:val="22"/>
        </w:rPr>
        <w:t xml:space="preserve"> properties similar in </w:t>
      </w:r>
      <w:r>
        <w:rPr>
          <w:rFonts w:cs="Segoe UI"/>
          <w:color w:val="000000"/>
          <w:szCs w:val="22"/>
        </w:rPr>
        <w:t xml:space="preserve">newer </w:t>
      </w:r>
      <w:r w:rsidRPr="000754FA">
        <w:rPr>
          <w:rFonts w:cs="Segoe UI"/>
          <w:color w:val="000000"/>
          <w:szCs w:val="22"/>
        </w:rPr>
        <w:t>age</w:t>
      </w:r>
      <w:r>
        <w:rPr>
          <w:rFonts w:cs="Segoe UI"/>
          <w:color w:val="000000"/>
          <w:szCs w:val="22"/>
        </w:rPr>
        <w:t xml:space="preserve"> / condition</w:t>
      </w:r>
      <w:r w:rsidRPr="000754FA">
        <w:rPr>
          <w:rFonts w:cs="Segoe UI"/>
          <w:color w:val="000000"/>
          <w:szCs w:val="22"/>
        </w:rPr>
        <w:t xml:space="preserve"> to the subject, in which </w:t>
      </w:r>
      <w:r>
        <w:rPr>
          <w:rFonts w:cs="Segoe UI"/>
          <w:color w:val="000000"/>
          <w:szCs w:val="22"/>
        </w:rPr>
        <w:t>both</w:t>
      </w:r>
      <w:r w:rsidRPr="000754FA">
        <w:rPr>
          <w:rFonts w:cs="Segoe UI"/>
          <w:color w:val="000000"/>
          <w:szCs w:val="22"/>
        </w:rPr>
        <w:t xml:space="preserve"> professional management fees and </w:t>
      </w:r>
      <w:r w:rsidRPr="000754FA">
        <w:rPr>
          <w:rFonts w:cs="Segoe UI"/>
          <w:szCs w:val="22"/>
        </w:rPr>
        <w:t>a reserve allowance for the replacement of capital items</w:t>
      </w:r>
      <w:r w:rsidRPr="000754FA">
        <w:rPr>
          <w:rFonts w:cs="Segoe UI"/>
          <w:color w:val="000000"/>
          <w:szCs w:val="22"/>
        </w:rPr>
        <w:t xml:space="preserve"> are </w:t>
      </w:r>
      <w:r>
        <w:rPr>
          <w:rFonts w:cs="Segoe UI"/>
          <w:color w:val="000000"/>
          <w:szCs w:val="22"/>
        </w:rPr>
        <w:t xml:space="preserve">reimbursed by the tenant. Therefore, just a minor deduction is applied for miscellaneous landlord expenses (non-reimbursable administrative costs mostly). </w:t>
      </w:r>
      <w:r w:rsidRPr="000754FA">
        <w:rPr>
          <w:rFonts w:cs="Segoe UI"/>
          <w:color w:val="000000"/>
          <w:szCs w:val="22"/>
        </w:rPr>
        <w:t xml:space="preserve">To estimate expenses applicable to the subject property on a stabilized basis, local suppliers have been contacted, and comparable properties have been analyzed. </w:t>
      </w:r>
    </w:p>
    <w:p w14:paraId="75D96576" w14:textId="77777777" w:rsidR="00575538" w:rsidRPr="000754FA" w:rsidRDefault="00575538" w:rsidP="00575538">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w:t>
      </w:r>
      <w:r>
        <w:rPr>
          <w:rFonts w:eastAsiaTheme="majorEastAsia" w:cs="Arial"/>
          <w:color w:val="1E4959"/>
          <w:sz w:val="24"/>
          <w:szCs w:val="22"/>
          <w:u w:val="single"/>
        </w:rPr>
        <w:t>iscellaneous Expenses</w:t>
      </w:r>
    </w:p>
    <w:p w14:paraId="004949FF" w14:textId="2B8207F4" w:rsidR="00B661A8" w:rsidRPr="000754FA" w:rsidRDefault="00B661A8" w:rsidP="00B661A8">
      <w:pPr>
        <w:rPr>
          <w:rFonts w:cs="Segoe UI"/>
          <w:color w:val="000000"/>
          <w:szCs w:val="22"/>
        </w:rPr>
      </w:pPr>
      <w:r w:rsidRPr="000754FA">
        <w:rPr>
          <w:rFonts w:cs="Segoe UI"/>
          <w:color w:val="000000"/>
          <w:szCs w:val="22"/>
        </w:rPr>
        <w:t xml:space="preserve">The market rent conclusion has been based on a typical </w:t>
      </w:r>
      <w:r w:rsidR="00630B02">
        <w:rPr>
          <w:rFonts w:cs="Segoe UI"/>
          <w:color w:val="000000"/>
          <w:szCs w:val="22"/>
        </w:rPr>
        <w:t xml:space="preserve">absolute </w:t>
      </w:r>
      <w:r w:rsidRPr="000754FA">
        <w:rPr>
          <w:rFonts w:cs="Segoe UI"/>
          <w:color w:val="000000"/>
          <w:szCs w:val="22"/>
        </w:rPr>
        <w:t xml:space="preserve">triple net lease for </w:t>
      </w:r>
      <w:r>
        <w:rPr>
          <w:rFonts w:cs="Segoe UI"/>
          <w:color w:val="000000"/>
          <w:szCs w:val="22"/>
        </w:rPr>
        <w:t xml:space="preserve">newer, single-tenant </w:t>
      </w:r>
      <w:sdt>
        <w:sdtPr>
          <w:rPr>
            <w:rFonts w:cs="Arial"/>
            <w:szCs w:val="22"/>
            <w:highlight w:val="green"/>
          </w:rPr>
          <w:alias w:val="Office or Medical-Dental"/>
          <w:tag w:val="Office or Medical-Dental"/>
          <w:id w:val="-32048433"/>
          <w:placeholder>
            <w:docPart w:val="7196018B449C4EEB95EBA3C4127B7134"/>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30B02" w:rsidRPr="00630B02">
            <w:rPr>
              <w:rFonts w:cs="Arial"/>
              <w:szCs w:val="22"/>
              <w:highlight w:val="green"/>
            </w:rPr>
            <w:t>office</w:t>
          </w:r>
        </w:sdtContent>
      </w:sdt>
      <w:r w:rsidR="00630B02">
        <w:rPr>
          <w:rFonts w:cs="Arial"/>
          <w:szCs w:val="22"/>
        </w:rPr>
        <w:t xml:space="preserve"> </w:t>
      </w:r>
      <w:r w:rsidRPr="000754FA">
        <w:rPr>
          <w:rFonts w:cs="Segoe UI"/>
          <w:color w:val="000000"/>
          <w:szCs w:val="22"/>
        </w:rPr>
        <w:t xml:space="preserve">properties similar to the subject, in which </w:t>
      </w:r>
      <w:r>
        <w:rPr>
          <w:rFonts w:cs="Segoe UI"/>
          <w:color w:val="000000"/>
          <w:szCs w:val="22"/>
        </w:rPr>
        <w:t>both</w:t>
      </w:r>
      <w:r w:rsidRPr="000754FA">
        <w:rPr>
          <w:rFonts w:cs="Segoe UI"/>
          <w:color w:val="000000"/>
          <w:szCs w:val="22"/>
        </w:rPr>
        <w:t xml:space="preserve"> professional management fees and </w:t>
      </w:r>
      <w:r w:rsidRPr="000754FA">
        <w:rPr>
          <w:rFonts w:cs="Segoe UI"/>
          <w:szCs w:val="22"/>
        </w:rPr>
        <w:t xml:space="preserve">a reserve </w:t>
      </w:r>
      <w:r w:rsidRPr="000754FA">
        <w:rPr>
          <w:rFonts w:cs="Segoe UI"/>
          <w:szCs w:val="22"/>
        </w:rPr>
        <w:lastRenderedPageBreak/>
        <w:t>allowance for the replacement of capital items</w:t>
      </w:r>
      <w:r w:rsidRPr="000754FA">
        <w:rPr>
          <w:rFonts w:cs="Segoe UI"/>
          <w:color w:val="000000"/>
          <w:szCs w:val="22"/>
        </w:rPr>
        <w:t xml:space="preserve"> are </w:t>
      </w:r>
      <w:r>
        <w:rPr>
          <w:rFonts w:cs="Segoe UI"/>
          <w:color w:val="000000"/>
          <w:szCs w:val="22"/>
        </w:rPr>
        <w:t xml:space="preserve">reimbursed by the tenant. Therefore, just a minor deduction for miscellaneous landlord expenses (non-reimbursable administrative costs mostly). </w:t>
      </w:r>
    </w:p>
    <w:p w14:paraId="26922CAD" w14:textId="77777777" w:rsidR="00B661A8" w:rsidRDefault="00B661A8" w:rsidP="00575538">
      <w:pPr>
        <w:rPr>
          <w:rFonts w:cs="Arial"/>
          <w:szCs w:val="22"/>
        </w:rPr>
      </w:pPr>
    </w:p>
    <w:p w14:paraId="301658BA" w14:textId="22440575" w:rsidR="00575538" w:rsidRPr="000754FA" w:rsidRDefault="00575538" w:rsidP="00575538">
      <w:pPr>
        <w:rPr>
          <w:rFonts w:cs="Arial"/>
          <w:szCs w:val="22"/>
        </w:rPr>
      </w:pPr>
      <w:r>
        <w:rPr>
          <w:rFonts w:cs="Arial"/>
          <w:szCs w:val="22"/>
        </w:rPr>
        <w:t>Overall, the ownership is likely to incur minor administrative expenses associated with the property ownership which would not be considered reimbursable by the tenant(s)</w:t>
      </w:r>
      <w:r w:rsidRPr="000754FA">
        <w:rPr>
          <w:rFonts w:cs="Arial"/>
          <w:szCs w:val="22"/>
        </w:rPr>
        <w:t xml:space="preserve">. Considering the subject's </w:t>
      </w:r>
      <w:r>
        <w:rPr>
          <w:rFonts w:cs="Arial"/>
          <w:szCs w:val="22"/>
        </w:rPr>
        <w:t xml:space="preserve">moderate </w:t>
      </w:r>
      <w:r w:rsidRPr="000754FA">
        <w:rPr>
          <w:rFonts w:cs="Arial"/>
          <w:szCs w:val="22"/>
        </w:rPr>
        <w:t xml:space="preserve">size, quality, condition, and triple net lease structure, a </w:t>
      </w:r>
      <w:r>
        <w:rPr>
          <w:rFonts w:cs="Arial"/>
          <w:szCs w:val="22"/>
        </w:rPr>
        <w:t>miscellaneous expense of</w:t>
      </w:r>
      <w:r w:rsidRPr="000754FA">
        <w:rPr>
          <w:rFonts w:cs="Arial"/>
          <w:szCs w:val="22"/>
        </w:rPr>
        <w:t xml:space="preserve"> </w:t>
      </w:r>
      <w:r w:rsidRPr="00575538">
        <w:rPr>
          <w:rFonts w:cs="Arial"/>
          <w:b/>
          <w:szCs w:val="22"/>
          <w:highlight w:val="yellow"/>
        </w:rPr>
        <w:t>1.0%</w:t>
      </w:r>
      <w:r w:rsidRPr="000754FA">
        <w:rPr>
          <w:rFonts w:cs="Arial"/>
          <w:b/>
          <w:szCs w:val="22"/>
        </w:rPr>
        <w:t xml:space="preserve"> of effective gross income</w:t>
      </w:r>
      <w:r w:rsidRPr="000754FA">
        <w:rPr>
          <w:rFonts w:cs="Arial"/>
          <w:szCs w:val="22"/>
        </w:rPr>
        <w:t xml:space="preserve"> is considered reasonable for use in this analysis.  </w:t>
      </w:r>
    </w:p>
    <w:p w14:paraId="1293E0D7"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4E2555D9" w14:textId="1EE177A2"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Pr="00F1687C">
        <w:rPr>
          <w:rFonts w:cs="Arial"/>
          <w:szCs w:val="22"/>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17CDB91A"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18AECFC2"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p>
    <w:p w14:paraId="5037A7A7" w14:textId="77777777" w:rsidR="00113B80" w:rsidRDefault="00113B80"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t>Merge cap rate comparables from CARDS and insert into here (example below)</w:t>
      </w:r>
    </w:p>
    <w:p w14:paraId="46362800" w14:textId="77777777" w:rsidR="006D3641" w:rsidRDefault="006D3641"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lastRenderedPageBreak/>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0379E95" w:rsidR="005A24B3"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430D0EE3" w14:textId="77777777" w:rsidR="006D3641" w:rsidRPr="001433D6" w:rsidRDefault="006D3641" w:rsidP="005A24B3">
      <w:pPr>
        <w:rPr>
          <w:rFonts w:cs="Arial"/>
          <w:szCs w:val="22"/>
        </w:rPr>
      </w:pP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5F326C3D" w14:textId="77777777" w:rsidR="00773F42" w:rsidRPr="000754FA" w:rsidRDefault="00773F42" w:rsidP="00773F42">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F8D8079C69A34B3D95EC970819E40126"/>
          </w:placeholder>
          <w:dropDownList>
            <w:listItem w:value="Choose an item."/>
            <w:listItem w:displayText="stabilized" w:value="stabilized"/>
            <w:listItem w:displayText="prospective stabilized" w:value="prospective stabilized"/>
          </w:dropDownList>
        </w:sdtPr>
        <w:sdtEnd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50F8A7B861AE4054AB043A79C5F156FF"/>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59ABF" w14:textId="77777777" w:rsidR="0053568A" w:rsidRDefault="0053568A">
      <w:r>
        <w:separator/>
      </w:r>
    </w:p>
  </w:endnote>
  <w:endnote w:type="continuationSeparator" w:id="0">
    <w:p w14:paraId="55D40052" w14:textId="77777777" w:rsidR="0053568A" w:rsidRDefault="0053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1F59AB77"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9C02C3">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332137">
      <w:rPr>
        <w:rFonts w:cs="Segoe UI"/>
        <w:bCs/>
        <w:iCs/>
        <w:kern w:val="0"/>
        <w:sz w:val="20"/>
        <w:szCs w:val="18"/>
      </w:rPr>
      <w:t>| ${</w:t>
    </w:r>
    <w:proofErr w:type="spellStart"/>
    <w:r w:rsidRPr="00332137">
      <w:rPr>
        <w:rFonts w:cs="Segoe UI"/>
        <w:bCs/>
        <w:iCs/>
        <w:kern w:val="0"/>
        <w:sz w:val="20"/>
        <w:szCs w:val="18"/>
      </w:rPr>
      <w:t>reportname</w:t>
    </w:r>
    <w:proofErr w:type="spellEnd"/>
    <w:r w:rsidRPr="00332137">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9F61" w14:textId="77777777" w:rsidR="0053568A" w:rsidRDefault="0053568A">
      <w:r>
        <w:separator/>
      </w:r>
    </w:p>
  </w:footnote>
  <w:footnote w:type="continuationSeparator" w:id="0">
    <w:p w14:paraId="4BACDD12" w14:textId="77777777" w:rsidR="0053568A" w:rsidRDefault="00535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332137">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75D50"/>
    <w:rsid w:val="000D7CF2"/>
    <w:rsid w:val="00113B80"/>
    <w:rsid w:val="001222E0"/>
    <w:rsid w:val="001840AD"/>
    <w:rsid w:val="0019553E"/>
    <w:rsid w:val="00196B82"/>
    <w:rsid w:val="00251A4B"/>
    <w:rsid w:val="00302F41"/>
    <w:rsid w:val="00332137"/>
    <w:rsid w:val="00391BB8"/>
    <w:rsid w:val="003A6D8D"/>
    <w:rsid w:val="00494F04"/>
    <w:rsid w:val="0049779D"/>
    <w:rsid w:val="004A5414"/>
    <w:rsid w:val="004E04B8"/>
    <w:rsid w:val="00530C6D"/>
    <w:rsid w:val="0053568A"/>
    <w:rsid w:val="00575538"/>
    <w:rsid w:val="005A24B3"/>
    <w:rsid w:val="005F5E32"/>
    <w:rsid w:val="00616220"/>
    <w:rsid w:val="00630B02"/>
    <w:rsid w:val="006950E6"/>
    <w:rsid w:val="006D3641"/>
    <w:rsid w:val="00773F42"/>
    <w:rsid w:val="00790A52"/>
    <w:rsid w:val="007C43DF"/>
    <w:rsid w:val="007F6649"/>
    <w:rsid w:val="007F6BC3"/>
    <w:rsid w:val="008A1229"/>
    <w:rsid w:val="008E30FA"/>
    <w:rsid w:val="009B7DEE"/>
    <w:rsid w:val="009C02C3"/>
    <w:rsid w:val="00A95BB9"/>
    <w:rsid w:val="00AE2BC4"/>
    <w:rsid w:val="00B46DD4"/>
    <w:rsid w:val="00B54F38"/>
    <w:rsid w:val="00B651F9"/>
    <w:rsid w:val="00B661A8"/>
    <w:rsid w:val="00BB3489"/>
    <w:rsid w:val="00BC65DD"/>
    <w:rsid w:val="00C1502F"/>
    <w:rsid w:val="00C35322"/>
    <w:rsid w:val="00C61AA8"/>
    <w:rsid w:val="00CD5D0B"/>
    <w:rsid w:val="00DA4B42"/>
    <w:rsid w:val="00DC4CAF"/>
    <w:rsid w:val="00E1105C"/>
    <w:rsid w:val="00EB0B1F"/>
    <w:rsid w:val="00ED209B"/>
    <w:rsid w:val="00F062F8"/>
    <w:rsid w:val="00F2381C"/>
    <w:rsid w:val="00F91ED1"/>
    <w:rsid w:val="00F9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630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13B03EFCB4764A1180E08D83A33E1710"/>
        <w:category>
          <w:name w:val="General"/>
          <w:gallery w:val="placeholder"/>
        </w:category>
        <w:types>
          <w:type w:val="bbPlcHdr"/>
        </w:types>
        <w:behaviors>
          <w:behavior w:val="content"/>
        </w:behaviors>
        <w:guid w:val="{48CE9114-F61A-4B91-9BCC-58630DEDF121}"/>
      </w:docPartPr>
      <w:docPartBody>
        <w:p w:rsidR="00B63E04" w:rsidRDefault="005B79D4" w:rsidP="005B79D4">
          <w:pPr>
            <w:pStyle w:val="13B03EFCB4764A1180E08D83A33E1710"/>
          </w:pPr>
          <w:r w:rsidRPr="00BC2797">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BF6DC11B-B04B-4379-8765-BB72713D5D43}"/>
      </w:docPartPr>
      <w:docPartBody>
        <w:p w:rsidR="00B63E04" w:rsidRDefault="005B79D4">
          <w:r w:rsidRPr="00D817AB">
            <w:rPr>
              <w:rStyle w:val="PlaceholderText"/>
            </w:rPr>
            <w:t>Choose an item.</w:t>
          </w:r>
        </w:p>
      </w:docPartBody>
    </w:docPart>
    <w:docPart>
      <w:docPartPr>
        <w:name w:val="CEBE600A642746D8980B6461E6D28C50"/>
        <w:category>
          <w:name w:val="General"/>
          <w:gallery w:val="placeholder"/>
        </w:category>
        <w:types>
          <w:type w:val="bbPlcHdr"/>
        </w:types>
        <w:behaviors>
          <w:behavior w:val="content"/>
        </w:behaviors>
        <w:guid w:val="{EF155AD3-2FA8-40CD-AA67-D9F38EA91FEC}"/>
      </w:docPartPr>
      <w:docPartBody>
        <w:p w:rsidR="00B63E04" w:rsidRDefault="005B79D4" w:rsidP="005B79D4">
          <w:pPr>
            <w:pStyle w:val="CEBE600A642746D8980B6461E6D28C50"/>
          </w:pPr>
          <w:r w:rsidRPr="00D817AB">
            <w:rPr>
              <w:rStyle w:val="PlaceholderText"/>
            </w:rPr>
            <w:t>Choose an item.</w:t>
          </w:r>
        </w:p>
      </w:docPartBody>
    </w:docPart>
    <w:docPart>
      <w:docPartPr>
        <w:name w:val="A2527448657D46BCB8CE505B9949D25C"/>
        <w:category>
          <w:name w:val="General"/>
          <w:gallery w:val="placeholder"/>
        </w:category>
        <w:types>
          <w:type w:val="bbPlcHdr"/>
        </w:types>
        <w:behaviors>
          <w:behavior w:val="content"/>
        </w:behaviors>
        <w:guid w:val="{621734E2-B501-47AA-9635-4E565F909D7D}"/>
      </w:docPartPr>
      <w:docPartBody>
        <w:p w:rsidR="00B63E04" w:rsidRDefault="005B79D4" w:rsidP="005B79D4">
          <w:pPr>
            <w:pStyle w:val="A2527448657D46BCB8CE505B9949D25C"/>
          </w:pPr>
          <w:r w:rsidRPr="00D817AB">
            <w:rPr>
              <w:rStyle w:val="PlaceholderText"/>
            </w:rPr>
            <w:t>Choose an item.</w:t>
          </w:r>
        </w:p>
      </w:docPartBody>
    </w:docPart>
    <w:docPart>
      <w:docPartPr>
        <w:name w:val="3A738C6E32F4418B96B6E98A8357D5A2"/>
        <w:category>
          <w:name w:val="General"/>
          <w:gallery w:val="placeholder"/>
        </w:category>
        <w:types>
          <w:type w:val="bbPlcHdr"/>
        </w:types>
        <w:behaviors>
          <w:behavior w:val="content"/>
        </w:behaviors>
        <w:guid w:val="{66F4F730-E30D-42B8-AC2C-5CC609348796}"/>
      </w:docPartPr>
      <w:docPartBody>
        <w:p w:rsidR="00B63E04" w:rsidRDefault="005B79D4" w:rsidP="005B79D4">
          <w:pPr>
            <w:pStyle w:val="3A738C6E32F4418B96B6E98A8357D5A2"/>
          </w:pPr>
          <w:r w:rsidRPr="00D817AB">
            <w:rPr>
              <w:rStyle w:val="PlaceholderText"/>
            </w:rPr>
            <w:t>Choose an item.</w:t>
          </w:r>
        </w:p>
      </w:docPartBody>
    </w:docPart>
    <w:docPart>
      <w:docPartPr>
        <w:name w:val="B42606219AC14D55A69B16E7415EB501"/>
        <w:category>
          <w:name w:val="General"/>
          <w:gallery w:val="placeholder"/>
        </w:category>
        <w:types>
          <w:type w:val="bbPlcHdr"/>
        </w:types>
        <w:behaviors>
          <w:behavior w:val="content"/>
        </w:behaviors>
        <w:guid w:val="{B8F74DC5-7819-4DCF-B23B-1E733DFAB6C6}"/>
      </w:docPartPr>
      <w:docPartBody>
        <w:p w:rsidR="00B63E04" w:rsidRDefault="005B79D4" w:rsidP="005B79D4">
          <w:pPr>
            <w:pStyle w:val="B42606219AC14D55A69B16E7415EB501"/>
          </w:pPr>
          <w:r w:rsidRPr="00D817AB">
            <w:rPr>
              <w:rStyle w:val="PlaceholderText"/>
            </w:rPr>
            <w:t>Choose an item.</w:t>
          </w:r>
        </w:p>
      </w:docPartBody>
    </w:docPart>
    <w:docPart>
      <w:docPartPr>
        <w:name w:val="E0C1EE29285C44D485AC787DAE0357E0"/>
        <w:category>
          <w:name w:val="General"/>
          <w:gallery w:val="placeholder"/>
        </w:category>
        <w:types>
          <w:type w:val="bbPlcHdr"/>
        </w:types>
        <w:behaviors>
          <w:behavior w:val="content"/>
        </w:behaviors>
        <w:guid w:val="{48E8C758-A86B-4BB5-A073-FBCDB3EEB695}"/>
      </w:docPartPr>
      <w:docPartBody>
        <w:p w:rsidR="00B63E04" w:rsidRDefault="005B79D4" w:rsidP="005B79D4">
          <w:pPr>
            <w:pStyle w:val="E0C1EE29285C44D485AC787DAE0357E0"/>
          </w:pPr>
          <w:r w:rsidRPr="00D817AB">
            <w:rPr>
              <w:rStyle w:val="PlaceholderText"/>
            </w:rPr>
            <w:t>Choose an item.</w:t>
          </w:r>
        </w:p>
      </w:docPartBody>
    </w:docPart>
    <w:docPart>
      <w:docPartPr>
        <w:name w:val="7196018B449C4EEB95EBA3C4127B7134"/>
        <w:category>
          <w:name w:val="General"/>
          <w:gallery w:val="placeholder"/>
        </w:category>
        <w:types>
          <w:type w:val="bbPlcHdr"/>
        </w:types>
        <w:behaviors>
          <w:behavior w:val="content"/>
        </w:behaviors>
        <w:guid w:val="{D2824DDB-179E-4A26-AD75-1CCD8BBFE4F9}"/>
      </w:docPartPr>
      <w:docPartBody>
        <w:p w:rsidR="00B63E04" w:rsidRDefault="005B79D4" w:rsidP="005B79D4">
          <w:pPr>
            <w:pStyle w:val="7196018B449C4EEB95EBA3C4127B7134"/>
          </w:pPr>
          <w:r w:rsidRPr="00D817AB">
            <w:rPr>
              <w:rStyle w:val="PlaceholderText"/>
            </w:rPr>
            <w:t>Choose an item.</w:t>
          </w:r>
        </w:p>
      </w:docPartBody>
    </w:docPart>
    <w:docPart>
      <w:docPartPr>
        <w:name w:val="3D828730CEDD42EE8257F455E1DA508B"/>
        <w:category>
          <w:name w:val="General"/>
          <w:gallery w:val="placeholder"/>
        </w:category>
        <w:types>
          <w:type w:val="bbPlcHdr"/>
        </w:types>
        <w:behaviors>
          <w:behavior w:val="content"/>
        </w:behaviors>
        <w:guid w:val="{DA539985-2186-4C8A-A2EB-0BB428440153}"/>
      </w:docPartPr>
      <w:docPartBody>
        <w:p w:rsidR="00B63E04" w:rsidRDefault="005B79D4" w:rsidP="005B79D4">
          <w:pPr>
            <w:pStyle w:val="3D828730CEDD42EE8257F455E1DA508B"/>
          </w:pPr>
          <w:r w:rsidRPr="00D817AB">
            <w:rPr>
              <w:rStyle w:val="PlaceholderText"/>
            </w:rPr>
            <w:t>Choose an item.</w:t>
          </w:r>
        </w:p>
      </w:docPartBody>
    </w:docPart>
    <w:docPart>
      <w:docPartPr>
        <w:name w:val="F8D8079C69A34B3D95EC970819E40126"/>
        <w:category>
          <w:name w:val="General"/>
          <w:gallery w:val="placeholder"/>
        </w:category>
        <w:types>
          <w:type w:val="bbPlcHdr"/>
        </w:types>
        <w:behaviors>
          <w:behavior w:val="content"/>
        </w:behaviors>
        <w:guid w:val="{6745737C-302E-41F6-B582-C7C9D486A873}"/>
      </w:docPartPr>
      <w:docPartBody>
        <w:p w:rsidR="00243A19" w:rsidRDefault="00B052D5" w:rsidP="00B052D5">
          <w:pPr>
            <w:pStyle w:val="F8D8079C69A34B3D95EC970819E40126"/>
          </w:pPr>
          <w:r w:rsidRPr="003B43C3">
            <w:rPr>
              <w:rStyle w:val="PlaceholderText"/>
            </w:rPr>
            <w:t>Choose an item.</w:t>
          </w:r>
        </w:p>
      </w:docPartBody>
    </w:docPart>
    <w:docPart>
      <w:docPartPr>
        <w:name w:val="50F8A7B861AE4054AB043A79C5F156FF"/>
        <w:category>
          <w:name w:val="General"/>
          <w:gallery w:val="placeholder"/>
        </w:category>
        <w:types>
          <w:type w:val="bbPlcHdr"/>
        </w:types>
        <w:behaviors>
          <w:behavior w:val="content"/>
        </w:behaviors>
        <w:guid w:val="{B9B81DCF-4F2C-426B-9A67-CACA88B63253}"/>
      </w:docPartPr>
      <w:docPartBody>
        <w:p w:rsidR="00243A19" w:rsidRDefault="00B052D5" w:rsidP="00B052D5">
          <w:pPr>
            <w:pStyle w:val="50F8A7B861AE4054AB043A79C5F156FF"/>
          </w:pPr>
          <w:r w:rsidRPr="003B43C3">
            <w:rPr>
              <w:rStyle w:val="PlaceholderText"/>
            </w:rPr>
            <w:t>Choose an item.</w:t>
          </w:r>
        </w:p>
      </w:docPartBody>
    </w:docPart>
    <w:docPart>
      <w:docPartPr>
        <w:name w:val="C316D2FFA708409A89B7F91E99BC8356"/>
        <w:category>
          <w:name w:val="General"/>
          <w:gallery w:val="placeholder"/>
        </w:category>
        <w:types>
          <w:type w:val="bbPlcHdr"/>
        </w:types>
        <w:behaviors>
          <w:behavior w:val="content"/>
        </w:behaviors>
        <w:guid w:val="{AF232E8E-A394-4B4E-9CD7-8D00224E846E}"/>
      </w:docPartPr>
      <w:docPartBody>
        <w:p w:rsidR="00243A19" w:rsidRDefault="00B052D5" w:rsidP="00B052D5">
          <w:pPr>
            <w:pStyle w:val="C316D2FFA708409A89B7F91E99BC8356"/>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160DE6"/>
    <w:rsid w:val="00243A19"/>
    <w:rsid w:val="0025278F"/>
    <w:rsid w:val="00496D08"/>
    <w:rsid w:val="005B79D4"/>
    <w:rsid w:val="0061375B"/>
    <w:rsid w:val="00A3356A"/>
    <w:rsid w:val="00A66A6C"/>
    <w:rsid w:val="00AB10CC"/>
    <w:rsid w:val="00B052D5"/>
    <w:rsid w:val="00B63E04"/>
    <w:rsid w:val="00C73B72"/>
    <w:rsid w:val="00C8756D"/>
    <w:rsid w:val="00CB5921"/>
    <w:rsid w:val="00CC6779"/>
    <w:rsid w:val="00CE7319"/>
    <w:rsid w:val="00CF0DE7"/>
    <w:rsid w:val="00DE18FE"/>
    <w:rsid w:val="00F7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2D5"/>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3B03EFCB4764A1180E08D83A33E1710">
    <w:name w:val="13B03EFCB4764A1180E08D83A33E1710"/>
    <w:rsid w:val="005B79D4"/>
  </w:style>
  <w:style w:type="paragraph" w:customStyle="1" w:styleId="CEBE600A642746D8980B6461E6D28C50">
    <w:name w:val="CEBE600A642746D8980B6461E6D28C50"/>
    <w:rsid w:val="005B79D4"/>
  </w:style>
  <w:style w:type="paragraph" w:customStyle="1" w:styleId="A2527448657D46BCB8CE505B9949D25C">
    <w:name w:val="A2527448657D46BCB8CE505B9949D25C"/>
    <w:rsid w:val="005B79D4"/>
  </w:style>
  <w:style w:type="paragraph" w:customStyle="1" w:styleId="3A738C6E32F4418B96B6E98A8357D5A2">
    <w:name w:val="3A738C6E32F4418B96B6E98A8357D5A2"/>
    <w:rsid w:val="005B79D4"/>
  </w:style>
  <w:style w:type="paragraph" w:customStyle="1" w:styleId="B42606219AC14D55A69B16E7415EB501">
    <w:name w:val="B42606219AC14D55A69B16E7415EB501"/>
    <w:rsid w:val="005B79D4"/>
  </w:style>
  <w:style w:type="paragraph" w:customStyle="1" w:styleId="39C78888D08D4C3591137A69644F46E4">
    <w:name w:val="39C78888D08D4C3591137A69644F46E4"/>
    <w:rsid w:val="005B79D4"/>
  </w:style>
  <w:style w:type="paragraph" w:customStyle="1" w:styleId="E0C1EE29285C44D485AC787DAE0357E0">
    <w:name w:val="E0C1EE29285C44D485AC787DAE0357E0"/>
    <w:rsid w:val="005B79D4"/>
  </w:style>
  <w:style w:type="paragraph" w:customStyle="1" w:styleId="7196018B449C4EEB95EBA3C4127B7134">
    <w:name w:val="7196018B449C4EEB95EBA3C4127B7134"/>
    <w:rsid w:val="005B79D4"/>
  </w:style>
  <w:style w:type="paragraph" w:customStyle="1" w:styleId="3D828730CEDD42EE8257F455E1DA508B">
    <w:name w:val="3D828730CEDD42EE8257F455E1DA508B"/>
    <w:rsid w:val="005B79D4"/>
  </w:style>
  <w:style w:type="paragraph" w:customStyle="1" w:styleId="F8D8079C69A34B3D95EC970819E40126">
    <w:name w:val="F8D8079C69A34B3D95EC970819E40126"/>
    <w:rsid w:val="00B052D5"/>
  </w:style>
  <w:style w:type="paragraph" w:customStyle="1" w:styleId="50F8A7B861AE4054AB043A79C5F156FF">
    <w:name w:val="50F8A7B861AE4054AB043A79C5F156FF"/>
    <w:rsid w:val="00B052D5"/>
  </w:style>
  <w:style w:type="paragraph" w:customStyle="1" w:styleId="A286001E1F494F5CA5FBC1566B212BC9">
    <w:name w:val="A286001E1F494F5CA5FBC1566B212BC9"/>
    <w:rsid w:val="00B052D5"/>
  </w:style>
  <w:style w:type="paragraph" w:customStyle="1" w:styleId="C316D2FFA708409A89B7F91E99BC8356">
    <w:name w:val="C316D2FFA708409A89B7F91E99BC8356"/>
    <w:rsid w:val="00B05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38FBA-19E0-4DCA-B79B-1A1BCBDA5EC2}">
  <ds:schemaRefs>
    <ds:schemaRef ds:uri="http://schemas.microsoft.com/sharepoint/v3/contenttype/forms"/>
  </ds:schemaRefs>
</ds:datastoreItem>
</file>

<file path=customXml/itemProps2.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2020-05-26T17:29:00Z</dcterms:created>
  <dcterms:modified xsi:type="dcterms:W3CDTF">2020-06-14T20:00:00Z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