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77777777" w:rsidR="00ED215D" w:rsidRPr="000754FA" w:rsidRDefault="00ED215D" w:rsidP="00ED215D">
      <w:pPr>
        <w:keepNext/>
        <w:keepLines/>
        <w:spacing w:before="260"/>
        <w:outlineLvl w:val="1"/>
        <w:rPr>
          <w:rFonts w:cs="Arial"/>
          <w:bCs/>
          <w:color w:val="1E4959"/>
          <w:sz w:val="28"/>
          <w:szCs w:val="22"/>
        </w:rPr>
      </w:pPr>
      <w:r w:rsidRPr="000754FA">
        <w:rPr>
          <w:rFonts w:cs="Arial"/>
          <w:bCs/>
          <w:color w:val="1E4959"/>
          <w:sz w:val="28"/>
          <w:szCs w:val="22"/>
        </w:rPr>
        <w:t>Methodology</w:t>
      </w:r>
    </w:p>
    <w:p w14:paraId="026CF5F5" w14:textId="29246F74" w:rsidR="00FA656E" w:rsidRDefault="00FA656E" w:rsidP="00FA656E">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75D47880" w14:textId="77777777" w:rsidR="00FA656E" w:rsidRPr="000754FA" w:rsidRDefault="00FA656E" w:rsidP="00FA656E">
      <w:pPr>
        <w:rPr>
          <w:rFonts w:eastAsia="Calibri" w:cs="Arial"/>
          <w:bCs/>
          <w:iCs/>
          <w:color w:val="000000"/>
          <w:szCs w:val="22"/>
        </w:rPr>
      </w:pPr>
    </w:p>
    <w:p w14:paraId="3B65126F" w14:textId="0DF81975" w:rsidR="00FA656E" w:rsidRDefault="00FA656E" w:rsidP="00ED215D">
      <w:pPr>
        <w:rPr>
          <w:rFonts w:eastAsia="Calibri" w:cs="Arial"/>
          <w:bCs/>
          <w:iCs/>
          <w:color w:val="000000"/>
          <w:szCs w:val="22"/>
        </w:rPr>
      </w:pPr>
      <w:r w:rsidRPr="00FA656E">
        <w:rPr>
          <w:rFonts w:eastAsia="Calibri" w:cs="Arial"/>
          <w:bCs/>
          <w:iCs/>
          <w:color w:val="000000"/>
          <w:szCs w:val="22"/>
        </w:rPr>
        <w:t xml:space="preserve">In this section, the market value of the subject property is estimated by comparing it with recent similar sales and listings of rural properties and / or homesites located within the immediate to expanded competitive market area. Such lands are defined as future properties located within Metro’s Urban Reserve areas, but yet to be included within an Urban Growth Boundary expansion. Due to lack of sufficient recent sale / listing activity in this immediate </w:t>
      </w:r>
      <w:r w:rsidRPr="00FA656E">
        <w:rPr>
          <w:rFonts w:eastAsia="Calibri" w:cs="Arial"/>
          <w:bCs/>
          <w:iCs/>
          <w:color w:val="000000"/>
          <w:szCs w:val="22"/>
          <w:highlight w:val="yellow"/>
        </w:rPr>
        <w:t>South Beaverton / Scholls area</w:t>
      </w:r>
      <w:r w:rsidRPr="00FA656E">
        <w:rPr>
          <w:rFonts w:eastAsia="Calibri" w:cs="Arial"/>
          <w:bCs/>
          <w:iCs/>
          <w:color w:val="000000"/>
          <w:szCs w:val="22"/>
        </w:rPr>
        <w:t xml:space="preserve">, we also chose to survey recent land sale activity from neighboring perimeters of the </w:t>
      </w:r>
      <w:r w:rsidRPr="00FA656E">
        <w:rPr>
          <w:rFonts w:eastAsia="Calibri" w:cs="Arial"/>
          <w:bCs/>
          <w:iCs/>
          <w:color w:val="000000"/>
          <w:szCs w:val="22"/>
          <w:highlight w:val="yellow"/>
        </w:rPr>
        <w:t>Cities of Tigard, King City, Tualatin and Sherwood</w:t>
      </w:r>
      <w:r w:rsidRPr="00FA656E">
        <w:rPr>
          <w:rFonts w:eastAsia="Calibri" w:cs="Arial"/>
          <w:bCs/>
          <w:iCs/>
          <w:color w:val="000000"/>
          <w:szCs w:val="22"/>
        </w:rPr>
        <w:t xml:space="preserve">. As the highest and best use of the subject site is considered to be its </w:t>
      </w:r>
      <w:r w:rsidRPr="00FA656E">
        <w:rPr>
          <w:rFonts w:eastAsia="Calibri" w:cs="Arial"/>
          <w:bCs/>
          <w:iCs/>
          <w:color w:val="000000"/>
          <w:szCs w:val="22"/>
          <w:highlight w:val="yellow"/>
        </w:rPr>
        <w:t>interim wholesale nursery</w:t>
      </w:r>
      <w:r w:rsidRPr="00FA656E">
        <w:rPr>
          <w:rFonts w:eastAsia="Calibri" w:cs="Arial"/>
          <w:bCs/>
          <w:iCs/>
          <w:color w:val="000000"/>
          <w:szCs w:val="22"/>
        </w:rPr>
        <w:t xml:space="preserve"> use pending eventual suburban redevelopment, only similar such land sale / listing comparables with similar future suburban potential were deemed as relevant for purposes of this land valuation analysis.</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559440BC" w14:textId="1C92FDCB" w:rsidR="00ED215D" w:rsidRPr="000754FA" w:rsidRDefault="00FA656E" w:rsidP="00ED215D">
      <w:pPr>
        <w:rPr>
          <w:rFonts w:eastAsia="Calibri" w:cs="Arial"/>
          <w:bCs/>
          <w:iCs/>
          <w:color w:val="000000"/>
          <w:szCs w:val="22"/>
        </w:rPr>
      </w:pPr>
      <w:r w:rsidRPr="00313C27">
        <w:t xml:space="preserve">Land within </w:t>
      </w:r>
      <w:r w:rsidRPr="00FA656E">
        <w:rPr>
          <w:highlight w:val="yellow"/>
        </w:rPr>
        <w:t>Urban Reserve</w:t>
      </w:r>
      <w:r>
        <w:t xml:space="preserve"> </w:t>
      </w:r>
      <w:r w:rsidRPr="00313C27">
        <w:t xml:space="preserve">areas </w:t>
      </w:r>
      <w:r>
        <w:t xml:space="preserve">or </w:t>
      </w:r>
      <w:r w:rsidRPr="00FA656E">
        <w:rPr>
          <w:highlight w:val="yellow"/>
        </w:rPr>
        <w:t>adjacent to the UGB</w:t>
      </w:r>
      <w:r w:rsidRPr="00313C27">
        <w:t xml:space="preserve"> that have future urban potential in the subject immediate to expanded market area is typically valued using the price per </w:t>
      </w:r>
      <w:r>
        <w:t>net developable</w:t>
      </w:r>
      <w:r w:rsidRPr="00313C27">
        <w:t xml:space="preserve"> acre unit of comparison which is the foremost unit of comparison used by buyers and sellers in this market area.  Therefore, the price per </w:t>
      </w:r>
      <w:r>
        <w:t>net</w:t>
      </w:r>
      <w:r w:rsidRPr="00313C27">
        <w:t xml:space="preserve"> acre unit of comparison is used in this analysis.  </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3E8B6400" w14:textId="0BEED3D5" w:rsidR="00ED215D" w:rsidRPr="00FA656E" w:rsidRDefault="00FA656E" w:rsidP="00ED215D">
      <w:pPr>
        <w:tabs>
          <w:tab w:val="left" w:pos="0"/>
          <w:tab w:val="center" w:pos="4680"/>
        </w:tabs>
        <w:rPr>
          <w:rFonts w:cs="Arial"/>
          <w:szCs w:val="22"/>
        </w:rPr>
      </w:pPr>
      <w:r w:rsidRPr="00FA656E">
        <w:t>When applicable, the comparables are adjusted in order for property rights conveyed, financing terms, conditions of sale, market conditions, location, and physical characteristics.  With the exception of a noted downward change in market conditions, no other specific adjustments were required in this analysis, though relative differences in location, land area size, available utilities, and available amenities (greenspace, views, etc.) will be considered on a general basis.</w:t>
      </w:r>
      <w:r w:rsidR="00ED215D" w:rsidRPr="00FA656E">
        <w:rPr>
          <w:rFonts w:cs="Arial"/>
          <w:szCs w:val="22"/>
        </w:rPr>
        <w:t xml:space="preserve"> </w:t>
      </w:r>
    </w:p>
    <w:p w14:paraId="04882DEB" w14:textId="37B77931" w:rsidR="00ED215D" w:rsidRDefault="00ED215D" w:rsidP="00ED215D">
      <w:pPr>
        <w:tabs>
          <w:tab w:val="left" w:pos="0"/>
          <w:tab w:val="center" w:pos="4680"/>
        </w:tabs>
        <w:rPr>
          <w:rFonts w:cs="Arial"/>
          <w:szCs w:val="22"/>
        </w:rPr>
      </w:pPr>
    </w:p>
    <w:p w14:paraId="3851E538" w14:textId="77777777" w:rsidR="00ED215D" w:rsidRDefault="00ED215D" w:rsidP="00ED215D">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 downward …. Etc. etc.</w:t>
      </w:r>
      <w:r>
        <w:t xml:space="preserve">  </w:t>
      </w:r>
    </w:p>
    <w:p w14:paraId="0CE3B691" w14:textId="77777777" w:rsidR="00ED215D" w:rsidRPr="002F368B" w:rsidRDefault="00ED215D" w:rsidP="00ED215D">
      <w:pPr>
        <w:tabs>
          <w:tab w:val="left" w:pos="0"/>
          <w:tab w:val="center" w:pos="4680"/>
        </w:tabs>
        <w:rPr>
          <w:rFonts w:cs="Arial"/>
          <w:szCs w:val="22"/>
        </w:rPr>
      </w:pPr>
    </w:p>
    <w:p w14:paraId="68BE92E0" w14:textId="09FF4ED5" w:rsidR="00ED215D" w:rsidRDefault="00ED215D" w:rsidP="00ED215D">
      <w:pPr>
        <w:rPr>
          <w:rFonts w:cs="Arial"/>
          <w:szCs w:val="22"/>
        </w:rPr>
      </w:pPr>
      <w:r w:rsidRPr="009B5806">
        <w:rPr>
          <w:rFonts w:cs="Arial"/>
          <w:szCs w:val="22"/>
        </w:rPr>
        <w:t xml:space="preserve">No </w:t>
      </w:r>
      <w:bookmarkStart w:id="2" w:name="_Hlk35316843"/>
      <w:r w:rsidRPr="005B23EF">
        <w:rPr>
          <w:rFonts w:cs="Arial"/>
          <w:szCs w:val="22"/>
          <w:highlight w:val="yellow"/>
        </w:rPr>
        <w:t>other</w:t>
      </w:r>
      <w:r w:rsidRPr="00F14A82">
        <w:rPr>
          <w:rFonts w:cs="Arial"/>
          <w:szCs w:val="22"/>
        </w:rPr>
        <w:t xml:space="preserve"> </w:t>
      </w:r>
      <w:bookmarkEnd w:id="2"/>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03E9658A" w14:textId="1D64C6C1" w:rsidR="00ED215D" w:rsidRDefault="00F331A4" w:rsidP="00ED215D">
      <w:pPr>
        <w:rPr>
          <w:rFonts w:cs="Segoe UI"/>
        </w:rPr>
      </w:pPr>
      <w:r>
        <w:rPr>
          <w:rFonts w:cs="Segoe UI"/>
        </w:rPr>
        <w:t>The land sales and current</w:t>
      </w:r>
      <w:r w:rsidRPr="00F331A4">
        <w:rPr>
          <w:rFonts w:cs="Segoe UI"/>
        </w:rPr>
        <w:t xml:space="preserve"> listings included in our survey and are presented at the end of this subsection as part of </w:t>
      </w:r>
      <w:r>
        <w:rPr>
          <w:rFonts w:cs="Segoe UI"/>
        </w:rPr>
        <w:t>the following chart</w:t>
      </w:r>
      <w:r w:rsidRPr="00F331A4">
        <w:rPr>
          <w:rFonts w:cs="Segoe UI"/>
        </w:rPr>
        <w:t xml:space="preserve">. The sales closed between </w:t>
      </w:r>
      <w:r w:rsidRPr="00F331A4">
        <w:rPr>
          <w:rFonts w:cs="Segoe UI"/>
          <w:highlight w:val="yellow"/>
        </w:rPr>
        <w:t>July 20</w:t>
      </w:r>
      <w:r>
        <w:rPr>
          <w:rFonts w:cs="Segoe UI"/>
          <w:highlight w:val="yellow"/>
        </w:rPr>
        <w:t>18</w:t>
      </w:r>
      <w:r w:rsidRPr="00F331A4">
        <w:rPr>
          <w:rFonts w:cs="Segoe UI"/>
          <w:highlight w:val="yellow"/>
        </w:rPr>
        <w:t xml:space="preserve"> and November 2020,</w:t>
      </w:r>
      <w:r w:rsidRPr="00F331A4">
        <w:rPr>
          <w:rFonts w:cs="Segoe UI"/>
        </w:rPr>
        <w:t xml:space="preserve"> </w:t>
      </w:r>
      <w:r w:rsidRPr="00F331A4">
        <w:rPr>
          <w:rFonts w:cs="Segoe UI"/>
          <w:highlight w:val="yellow"/>
        </w:rPr>
        <w:t xml:space="preserve">plus two listings </w:t>
      </w:r>
      <w:r w:rsidRPr="00F331A4">
        <w:rPr>
          <w:rFonts w:cs="Segoe UI"/>
          <w:highlight w:val="yellow"/>
        </w:rPr>
        <w:lastRenderedPageBreak/>
        <w:t>and a current offer</w:t>
      </w:r>
      <w:r w:rsidRPr="00F331A4">
        <w:rPr>
          <w:rFonts w:cs="Segoe UI"/>
        </w:rPr>
        <w:t xml:space="preserve">.  </w:t>
      </w:r>
      <w:r w:rsidRPr="00F331A4">
        <w:rPr>
          <w:rFonts w:cs="Segoe UI"/>
          <w:highlight w:val="yellow"/>
        </w:rPr>
        <w:t>In addition, other current listings, plus governmental land acquisition activity, were also analyzed and presented for supplemental support</w:t>
      </w:r>
      <w:r w:rsidRPr="00F331A4">
        <w:rPr>
          <w:rFonts w:cs="Segoe UI"/>
        </w:rPr>
        <w:t>. All were confirmed with parties knowledgeable to their sales or current listing status and are briefly summarized as follows:</w:t>
      </w:r>
    </w:p>
    <w:p w14:paraId="0DB760F1" w14:textId="77777777" w:rsidR="00F331A4" w:rsidRDefault="00F331A4" w:rsidP="00ED215D">
      <w:pPr>
        <w:rPr>
          <w:bCs/>
        </w:rPr>
      </w:pPr>
    </w:p>
    <w:p w14:paraId="75286DD6" w14:textId="77777777" w:rsidR="00ED215D" w:rsidRDefault="00ED215D" w:rsidP="00ED215D">
      <w:pPr>
        <w:rPr>
          <w:rFonts w:eastAsia="Calibri" w:cs="Arial"/>
          <w:bCs/>
          <w:iCs/>
          <w:color w:val="000000"/>
          <w:szCs w:val="22"/>
        </w:rPr>
      </w:pPr>
      <w:r w:rsidRPr="001C3981">
        <w:rPr>
          <w:rFonts w:eastAsia="Calibri" w:cs="Arial"/>
          <w:bCs/>
          <w:iCs/>
          <w:color w:val="000000"/>
          <w:szCs w:val="22"/>
          <w:highlight w:val="green"/>
        </w:rPr>
        <w:t>Insert Data Analysis merge of individual comparables here</w:t>
      </w:r>
    </w:p>
    <w:p w14:paraId="2B0A9A73" w14:textId="77777777" w:rsidR="00ED215D" w:rsidRDefault="00ED215D" w:rsidP="00ED215D">
      <w:pPr>
        <w:rPr>
          <w:rFonts w:eastAsia="Calibri" w:cs="Arial"/>
          <w:bCs/>
          <w:iCs/>
          <w:color w:val="000000"/>
          <w:szCs w:val="22"/>
        </w:rPr>
      </w:pP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t>Additional Quantitative Analysis</w:t>
      </w:r>
    </w:p>
    <w:p w14:paraId="1E166D84" w14:textId="4B851C38" w:rsidR="00ED215D" w:rsidRDefault="00ED215D" w:rsidP="00ED215D">
      <w:pPr>
        <w:pStyle w:val="Footer"/>
        <w:rPr>
          <w:rFonts w:cs="Arial"/>
          <w:kern w:val="20"/>
          <w:szCs w:val="22"/>
        </w:rPr>
      </w:pPr>
      <w:r w:rsidRPr="00476072">
        <w:rPr>
          <w:rFonts w:cs="Arial"/>
          <w:kern w:val="20"/>
          <w:szCs w:val="22"/>
        </w:rPr>
        <w:t>In addition to the preceding, an adjustment grid for the comparable sales is provided as additional analysis following the summary chart. The adjusted comparables</w:t>
      </w:r>
      <w:r w:rsidRPr="006D0509">
        <w:rPr>
          <w:rFonts w:cs="Arial"/>
          <w:kern w:val="20"/>
          <w:szCs w:val="22"/>
        </w:rPr>
        <w:t xml:space="preserve"> indicate an adjusted </w:t>
      </w:r>
      <w:r>
        <w:rPr>
          <w:rFonts w:cs="Arial"/>
          <w:kern w:val="20"/>
          <w:szCs w:val="22"/>
        </w:rPr>
        <w:t xml:space="preserve">unit </w:t>
      </w:r>
      <w:r w:rsidRPr="006D0509">
        <w:rPr>
          <w:rFonts w:cs="Arial"/>
          <w:kern w:val="20"/>
          <w:szCs w:val="22"/>
        </w:rPr>
        <w:t>price</w:t>
      </w:r>
      <w:r>
        <w:rPr>
          <w:rFonts w:cs="Arial"/>
          <w:kern w:val="20"/>
          <w:szCs w:val="22"/>
        </w:rPr>
        <w:t>s of</w:t>
      </w:r>
      <w:r w:rsidRPr="006D0509">
        <w:rPr>
          <w:rFonts w:cs="Arial"/>
          <w:kern w:val="20"/>
          <w:szCs w:val="22"/>
        </w:rPr>
        <w:t xml:space="preserve"> between </w:t>
      </w:r>
      <w:r w:rsidRPr="00ED215D">
        <w:rPr>
          <w:rFonts w:cs="Arial"/>
          <w:kern w:val="20"/>
          <w:szCs w:val="22"/>
          <w:highlight w:val="yellow"/>
        </w:rPr>
        <w:t>$</w:t>
      </w:r>
      <w:r w:rsidR="00F331A4">
        <w:rPr>
          <w:rFonts w:cs="Arial"/>
          <w:kern w:val="20"/>
          <w:szCs w:val="22"/>
          <w:highlight w:val="yellow"/>
        </w:rPr>
        <w:t>55,000</w:t>
      </w:r>
      <w:r w:rsidRPr="00ED215D">
        <w:rPr>
          <w:rFonts w:cs="Arial"/>
          <w:kern w:val="20"/>
          <w:szCs w:val="22"/>
          <w:highlight w:val="yellow"/>
        </w:rPr>
        <w:t xml:space="preserve"> and $</w:t>
      </w:r>
      <w:r w:rsidR="00F331A4" w:rsidRPr="00F331A4">
        <w:rPr>
          <w:rFonts w:cs="Arial"/>
          <w:kern w:val="20"/>
          <w:szCs w:val="22"/>
          <w:highlight w:val="yellow"/>
        </w:rPr>
        <w:t>70,</w:t>
      </w:r>
      <w:r w:rsidR="00F331A4" w:rsidRPr="00342923">
        <w:rPr>
          <w:rFonts w:cs="Arial"/>
          <w:kern w:val="20"/>
          <w:szCs w:val="22"/>
          <w:highlight w:val="yellow"/>
        </w:rPr>
        <w:t>000</w:t>
      </w:r>
      <w:r w:rsidRPr="00342923">
        <w:rPr>
          <w:rFonts w:cs="Arial"/>
          <w:kern w:val="20"/>
          <w:szCs w:val="22"/>
          <w:highlight w:val="yellow"/>
        </w:rPr>
        <w:t xml:space="preserve"> per </w:t>
      </w:r>
      <w:r w:rsidR="00F331A4" w:rsidRPr="00342923">
        <w:rPr>
          <w:rFonts w:cs="Arial"/>
          <w:kern w:val="20"/>
          <w:szCs w:val="22"/>
          <w:highlight w:val="yellow"/>
        </w:rPr>
        <w:t>acre</w:t>
      </w:r>
      <w:r w:rsidRPr="006D0509">
        <w:rPr>
          <w:rFonts w:cs="Arial"/>
          <w:kern w:val="20"/>
          <w:szCs w:val="22"/>
        </w:rPr>
        <w:t xml:space="preserve"> with an average price of </w:t>
      </w:r>
      <w:r w:rsidRPr="00342923">
        <w:rPr>
          <w:rFonts w:cs="Arial"/>
          <w:kern w:val="20"/>
          <w:szCs w:val="22"/>
          <w:highlight w:val="yellow"/>
        </w:rPr>
        <w:t>$</w:t>
      </w:r>
      <w:r w:rsidR="00F331A4" w:rsidRPr="00342923">
        <w:rPr>
          <w:rFonts w:cs="Arial"/>
          <w:kern w:val="20"/>
          <w:szCs w:val="22"/>
          <w:highlight w:val="yellow"/>
        </w:rPr>
        <w:t>62,000</w:t>
      </w:r>
      <w:r w:rsidRPr="00342923">
        <w:rPr>
          <w:rFonts w:cs="Arial"/>
          <w:kern w:val="20"/>
          <w:szCs w:val="22"/>
          <w:highlight w:val="yellow"/>
        </w:rPr>
        <w:t xml:space="preserve"> per </w:t>
      </w:r>
      <w:r w:rsidR="00F331A4" w:rsidRPr="00342923">
        <w:rPr>
          <w:rFonts w:cs="Arial"/>
          <w:kern w:val="20"/>
          <w:szCs w:val="22"/>
          <w:highlight w:val="yellow"/>
        </w:rPr>
        <w:t>acre</w:t>
      </w:r>
      <w:r w:rsidRPr="006D0509">
        <w:rPr>
          <w:rFonts w:cs="Arial"/>
          <w:kern w:val="20"/>
          <w:szCs w:val="22"/>
        </w:rPr>
        <w:t xml:space="preserve"> and median price of </w:t>
      </w:r>
      <w:r w:rsidRPr="00ED215D">
        <w:rPr>
          <w:rFonts w:cs="Arial"/>
          <w:kern w:val="20"/>
          <w:szCs w:val="22"/>
          <w:highlight w:val="yellow"/>
        </w:rPr>
        <w:t>$</w:t>
      </w:r>
      <w:r w:rsidR="00F331A4">
        <w:rPr>
          <w:rFonts w:cs="Arial"/>
          <w:kern w:val="20"/>
          <w:szCs w:val="22"/>
          <w:highlight w:val="yellow"/>
        </w:rPr>
        <w:t>65,</w:t>
      </w:r>
      <w:r w:rsidR="00F331A4" w:rsidRPr="00342923">
        <w:rPr>
          <w:rFonts w:cs="Arial"/>
          <w:kern w:val="20"/>
          <w:szCs w:val="22"/>
          <w:highlight w:val="yellow"/>
        </w:rPr>
        <w:t>000</w:t>
      </w:r>
      <w:r w:rsidRPr="00342923">
        <w:rPr>
          <w:rFonts w:cs="Arial"/>
          <w:kern w:val="20"/>
          <w:szCs w:val="22"/>
          <w:highlight w:val="yellow"/>
        </w:rPr>
        <w:t xml:space="preserve"> per </w:t>
      </w:r>
      <w:r w:rsidR="00342923" w:rsidRPr="00342923">
        <w:rPr>
          <w:rFonts w:cs="Arial"/>
          <w:kern w:val="20"/>
          <w:szCs w:val="22"/>
          <w:highlight w:val="yellow"/>
        </w:rPr>
        <w:t>acre</w:t>
      </w:r>
      <w:r w:rsidRPr="006D0509">
        <w:rPr>
          <w:rFonts w:cs="Arial"/>
          <w:kern w:val="20"/>
          <w:szCs w:val="22"/>
        </w:rPr>
        <w:t>.</w:t>
      </w:r>
      <w:r>
        <w:rPr>
          <w:rFonts w:cs="Arial"/>
          <w:kern w:val="20"/>
          <w:szCs w:val="22"/>
        </w:rPr>
        <w:t xml:space="preserve"> </w:t>
      </w:r>
      <w:r w:rsidRPr="00646611">
        <w:rPr>
          <w:rFonts w:cs="Arial"/>
          <w:kern w:val="20"/>
          <w:szCs w:val="22"/>
        </w:rPr>
        <w:t xml:space="preserve">Note that a market conditions adjustment of </w:t>
      </w:r>
      <w:r w:rsidRPr="00ED215D">
        <w:rPr>
          <w:rFonts w:cs="Arial"/>
          <w:kern w:val="20"/>
          <w:szCs w:val="22"/>
          <w:highlight w:val="yellow"/>
        </w:rPr>
        <w:t>3.0%</w:t>
      </w:r>
      <w:r w:rsidRPr="00646611">
        <w:rPr>
          <w:rFonts w:cs="Arial"/>
          <w:kern w:val="20"/>
          <w:szCs w:val="22"/>
        </w:rPr>
        <w:t xml:space="preserve"> per year was applied in this </w:t>
      </w:r>
      <w:sdt>
        <w:sdtPr>
          <w:rPr>
            <w:rFonts w:cs="Arial"/>
            <w:kern w:val="20"/>
            <w:szCs w:val="22"/>
            <w:highlight w:val="green"/>
          </w:rPr>
          <w:alias w:val="Inflation"/>
          <w:tag w:val="Inflation"/>
          <w:id w:val="472414936"/>
          <w:placeholder>
            <w:docPart w:val="2180C03B044D45CE824FEAECA52D3C9F"/>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1C3981">
            <w:rPr>
              <w:rFonts w:cs="Arial"/>
              <w:kern w:val="20"/>
              <w:szCs w:val="22"/>
              <w:highlight w:val="green"/>
            </w:rPr>
            <w:t>analysis</w:t>
          </w:r>
        </w:sdtContent>
      </w:sdt>
      <w:r w:rsidR="001C3981" w:rsidRPr="009A5B6F">
        <w:rPr>
          <w:rFonts w:cs="Arial"/>
          <w:kern w:val="20"/>
          <w:szCs w:val="22"/>
        </w:rPr>
        <w:t xml:space="preserve">. </w:t>
      </w:r>
      <w:r w:rsidRPr="009A5B6F">
        <w:rPr>
          <w:rFonts w:cs="Arial"/>
          <w:kern w:val="20"/>
          <w:szCs w:val="22"/>
        </w:rPr>
        <w:t xml:space="preserve">The adjusted value range provides additional support for the following final </w:t>
      </w:r>
      <w:r>
        <w:rPr>
          <w:rFonts w:cs="Arial"/>
          <w:kern w:val="20"/>
          <w:szCs w:val="22"/>
        </w:rPr>
        <w:t xml:space="preserve">land </w:t>
      </w:r>
      <w:r w:rsidRPr="009A5B6F">
        <w:rPr>
          <w:rFonts w:cs="Arial"/>
          <w:kern w:val="20"/>
          <w:szCs w:val="22"/>
        </w:rPr>
        <w:t>value conclusion.</w:t>
      </w:r>
      <w:r w:rsidRPr="00F0470F">
        <w:rPr>
          <w:rFonts w:cs="Arial"/>
          <w:kern w:val="20"/>
          <w:szCs w:val="22"/>
        </w:rPr>
        <w:t xml:space="preserve"> </w:t>
      </w:r>
    </w:p>
    <w:p w14:paraId="03D14E10" w14:textId="7321FED7" w:rsidR="00E444CE" w:rsidRDefault="00E444CE">
      <w:pPr>
        <w:jc w:val="left"/>
        <w:rPr>
          <w:rFonts w:cs="Arial"/>
          <w:szCs w:val="22"/>
        </w:rPr>
      </w:pPr>
    </w:p>
    <w:sdt>
      <w:sdtPr>
        <w:rPr>
          <w:rFonts w:cs="Arial"/>
          <w:bCs/>
          <w:color w:val="1E4959"/>
          <w:sz w:val="24"/>
          <w:szCs w:val="20"/>
          <w:highlight w:val="green"/>
          <w:u w:val="single"/>
        </w:rPr>
        <w:alias w:val="Subject Sale Activity"/>
        <w:tag w:val="Subject Sale Activity"/>
        <w:id w:val="938332314"/>
        <w:placeholder>
          <w:docPart w:val="5BC3AD72953F4F8BB23EC66030EB69CC"/>
        </w:placeholder>
        <w:dropDownList>
          <w:listItem w:value="Choose an item."/>
          <w:listItem w:displayText="Recent Subject Sale Activity" w:value="Recent Subject Sale Activity"/>
          <w:listItem w:displayText="Pending Subject Sale Activity" w:value="Pending Subject Sale Activity"/>
          <w:listItem w:displayText="Recent Subject Listing Activity" w:value="Recent Subject Listing Activity"/>
          <w:listItem w:displayText="Recent Subject Sale-Fail Activity" w:value="Recent Subject Sale-Fail Activity"/>
        </w:dropDownList>
      </w:sdtPr>
      <w:sdtEndPr/>
      <w:sdtContent>
        <w:p w14:paraId="3053EF79" w14:textId="77777777" w:rsidR="00452F83" w:rsidRPr="00694622" w:rsidRDefault="00452F83" w:rsidP="00452F83">
          <w:pPr>
            <w:keepNext/>
            <w:numPr>
              <w:ilvl w:val="1"/>
              <w:numId w:val="0"/>
            </w:numPr>
            <w:spacing w:before="260"/>
            <w:outlineLvl w:val="2"/>
            <w:rPr>
              <w:rFonts w:cs="Arial"/>
              <w:bCs/>
              <w:color w:val="1E4959"/>
              <w:sz w:val="24"/>
              <w:szCs w:val="20"/>
              <w:u w:val="single"/>
            </w:rPr>
          </w:pPr>
          <w:r w:rsidRPr="001C3981">
            <w:rPr>
              <w:rFonts w:cs="Arial"/>
              <w:bCs/>
              <w:color w:val="1E4959"/>
              <w:sz w:val="24"/>
              <w:szCs w:val="20"/>
              <w:highlight w:val="green"/>
              <w:u w:val="single"/>
            </w:rPr>
            <w:t>Recent Subject Sale Activity</w:t>
          </w:r>
        </w:p>
      </w:sdtContent>
    </w:sdt>
    <w:p w14:paraId="65D0BAEB" w14:textId="77777777" w:rsidR="00DA4CE0" w:rsidRDefault="00DA4CE0" w:rsidP="00DA4CE0">
      <w:r>
        <w:t>Not applicable.</w:t>
      </w:r>
    </w:p>
    <w:p w14:paraId="139FA888" w14:textId="77777777" w:rsidR="00DA4CE0" w:rsidRDefault="00DA4CE0" w:rsidP="00DA4CE0">
      <w:pPr>
        <w:rPr>
          <w:rFonts w:cs="Arial"/>
          <w:szCs w:val="22"/>
        </w:rPr>
      </w:pPr>
    </w:p>
    <w:p w14:paraId="6F11371B" w14:textId="77777777" w:rsidR="00DA4CE0" w:rsidRDefault="00DA4CE0" w:rsidP="00DA4CE0">
      <w:r>
        <w:t xml:space="preserve"> </w:t>
      </w:r>
      <w:r w:rsidRPr="004573A4">
        <w:rPr>
          <w:highlight w:val="green"/>
        </w:rPr>
        <w:t>- Or -</w:t>
      </w:r>
      <w:r>
        <w:t xml:space="preserve"> </w:t>
      </w:r>
    </w:p>
    <w:p w14:paraId="027BEE83" w14:textId="77777777" w:rsidR="00DA4CE0" w:rsidRDefault="00DA4CE0" w:rsidP="00DA4CE0"/>
    <w:p w14:paraId="6779DA0D" w14:textId="77777777" w:rsidR="00DA4CE0" w:rsidRDefault="00DA4CE0" w:rsidP="00DA4CE0">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48AF02FC" w14:textId="77777777" w:rsidR="00DA4CE0" w:rsidRDefault="00DA4CE0" w:rsidP="00DA4CE0"/>
    <w:p w14:paraId="7D125B5B" w14:textId="77777777" w:rsidR="00DA4CE0" w:rsidRDefault="00DA4CE0" w:rsidP="00DA4CE0">
      <w:pPr>
        <w:rPr>
          <w:rFonts w:cs="Arial"/>
          <w:szCs w:val="22"/>
        </w:rPr>
      </w:pPr>
      <w:r>
        <w:t xml:space="preserve">Overall, the subject’s </w:t>
      </w:r>
      <w:sdt>
        <w:sdtPr>
          <w:rPr>
            <w:highlight w:val="green"/>
          </w:rPr>
          <w:alias w:val="Pending - Recent"/>
          <w:tag w:val="Pending - Recent"/>
          <w:id w:val="455688820"/>
          <w:placeholder>
            <w:docPart w:val="BD8885AA288646E182F4CC2978C6DA74"/>
          </w:placeholder>
          <w:dropDownList>
            <w:listItem w:value="Choose an item."/>
            <w:listItem w:displayText="recent sale" w:value="recent sale"/>
            <w:listItem w:displayText="pending sale" w:value="pending sale"/>
            <w:listItem w:displayText="recent sale-fail" w:value="recent sale-fail"/>
            <w:listItem w:displayText="recent listing" w:value="recent listing"/>
            <w:listItem w:displayText="current listing" w:value="current listing"/>
          </w:dropDownList>
        </w:sdtPr>
        <w:sdtEndPr/>
        <w:sdtContent>
          <w:r w:rsidRPr="00FB23B5">
            <w:rPr>
              <w:highlight w:val="green"/>
            </w:rPr>
            <w:t>recent sale</w:t>
          </w:r>
        </w:sdtContent>
      </w:sdt>
      <w:r>
        <w:t xml:space="preserve"> price appears to be reasonably bracketed and supported by the preceding comparable land sale analysis, and therefore is considered at market.</w:t>
      </w:r>
    </w:p>
    <w:p w14:paraId="470E5D04" w14:textId="77777777" w:rsidR="00E444CE" w:rsidRPr="00694622" w:rsidRDefault="00E444CE" w:rsidP="00E444CE">
      <w:pPr>
        <w:keepNext/>
        <w:keepLines/>
        <w:spacing w:before="260"/>
        <w:outlineLvl w:val="1"/>
        <w:rPr>
          <w:rFonts w:cs="Arial"/>
          <w:iCs/>
          <w:color w:val="1E4959"/>
          <w:sz w:val="24"/>
          <w:szCs w:val="20"/>
          <w:u w:val="single"/>
        </w:rPr>
      </w:pPr>
      <w:r w:rsidRPr="00E14475">
        <w:rPr>
          <w:rFonts w:cs="Arial"/>
          <w:iCs/>
          <w:color w:val="1E4959"/>
          <w:sz w:val="24"/>
          <w:szCs w:val="20"/>
          <w:highlight w:val="yellow"/>
          <w:u w:val="single"/>
        </w:rPr>
        <w:t>Secondary Listing Activity</w:t>
      </w:r>
    </w:p>
    <w:p w14:paraId="0D13327B" w14:textId="3F8248C4" w:rsidR="00E444CE" w:rsidRDefault="00E444CE" w:rsidP="00E444CE">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w:t>
      </w:r>
      <w:r w:rsidR="00F331A4">
        <w:rPr>
          <w:rFonts w:cs="Arial"/>
          <w:szCs w:val="22"/>
        </w:rPr>
        <w:t xml:space="preserve"> listings of </w:t>
      </w:r>
      <w:r w:rsidR="00F331A4" w:rsidRPr="00FA656E">
        <w:rPr>
          <w:highlight w:val="yellow"/>
        </w:rPr>
        <w:t>Urban Reserve</w:t>
      </w:r>
      <w:r w:rsidR="00F331A4">
        <w:t xml:space="preserve"> and/or acreage sites located </w:t>
      </w:r>
      <w:r w:rsidR="00F331A4" w:rsidRPr="00FA656E">
        <w:rPr>
          <w:highlight w:val="yellow"/>
        </w:rPr>
        <w:t>adjacent to the UGB</w:t>
      </w:r>
      <w:r w:rsidR="00F331A4" w:rsidRPr="00313C27">
        <w:t xml:space="preserve"> </w:t>
      </w:r>
      <w:r>
        <w:rPr>
          <w:rFonts w:cs="Arial"/>
          <w:szCs w:val="22"/>
        </w:rPr>
        <w:t>were noted during our research, and these are analyzed as follows:</w:t>
      </w:r>
    </w:p>
    <w:p w14:paraId="6355D52B" w14:textId="3E0EDBF6" w:rsidR="00E444CE" w:rsidRDefault="00E444CE" w:rsidP="00ED215D">
      <w:pPr>
        <w:pStyle w:val="Footer"/>
        <w:rPr>
          <w:rFonts w:cs="Arial"/>
          <w:kern w:val="20"/>
          <w:szCs w:val="22"/>
        </w:rPr>
      </w:pPr>
    </w:p>
    <w:p w14:paraId="5B1931C0" w14:textId="61F4E5CB" w:rsidR="00E444CE" w:rsidRDefault="00E444CE" w:rsidP="00ED215D">
      <w:pPr>
        <w:pStyle w:val="Footer"/>
        <w:rPr>
          <w:rFonts w:cs="Arial"/>
          <w:kern w:val="20"/>
          <w:szCs w:val="22"/>
        </w:rPr>
      </w:pPr>
      <w:r w:rsidRPr="004B1650">
        <w:rPr>
          <w:rFonts w:cs="Arial"/>
          <w:kern w:val="20"/>
          <w:szCs w:val="22"/>
          <w:highlight w:val="yellow"/>
        </w:rPr>
        <w:t>Provide discussions on any relevant current listings and how they relate to the subject land.</w:t>
      </w:r>
    </w:p>
    <w:p w14:paraId="56F5E156" w14:textId="77777777" w:rsidR="00E444CE" w:rsidRPr="00F0470F" w:rsidRDefault="00E444CE" w:rsidP="00ED215D">
      <w:pPr>
        <w:pStyle w:val="Footer"/>
        <w:rPr>
          <w:rFonts w:cs="Arial"/>
          <w:kern w:val="20"/>
          <w:szCs w:val="22"/>
        </w:rPr>
      </w:pPr>
    </w:p>
    <w:p w14:paraId="4BFD3DEB" w14:textId="77777777" w:rsidR="006110BC" w:rsidRPr="00F0470F" w:rsidRDefault="006110BC" w:rsidP="006110BC">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 xml:space="preserve">Market </w:t>
      </w:r>
      <w:r w:rsidRPr="00F0470F">
        <w:rPr>
          <w:rFonts w:cs="Arial"/>
          <w:bCs/>
          <w:color w:val="1E4959"/>
          <w:sz w:val="28"/>
          <w:szCs w:val="22"/>
        </w:rPr>
        <w:t xml:space="preserve">Land Value </w:t>
      </w:r>
    </w:p>
    <w:p w14:paraId="517428BD" w14:textId="336967FC" w:rsidR="00F331A4" w:rsidRPr="00F331A4" w:rsidRDefault="00F331A4" w:rsidP="00F331A4">
      <w:pPr>
        <w:rPr>
          <w:rFonts w:cs="Arial"/>
          <w:bCs/>
          <w:iCs/>
          <w:color w:val="000000"/>
          <w:szCs w:val="22"/>
        </w:rPr>
      </w:pPr>
      <w:r w:rsidRPr="00F331A4">
        <w:rPr>
          <w:rFonts w:cs="Arial"/>
          <w:bCs/>
          <w:iCs/>
          <w:color w:val="000000"/>
          <w:szCs w:val="22"/>
        </w:rPr>
        <w:t xml:space="preserve">Overall, primary emphasis is placed near the mid-to-upper end of nearby </w:t>
      </w:r>
      <w:r w:rsidRPr="00F331A4">
        <w:rPr>
          <w:rFonts w:cs="Arial"/>
          <w:bCs/>
          <w:iCs/>
          <w:color w:val="000000"/>
          <w:szCs w:val="22"/>
          <w:highlight w:val="yellow"/>
        </w:rPr>
        <w:t>Land Sales 2, 3 and 5 ($39,726, $43,026 and $65,043 per acre),</w:t>
      </w:r>
      <w:r w:rsidRPr="00F331A4">
        <w:rPr>
          <w:rFonts w:cs="Arial"/>
          <w:bCs/>
          <w:iCs/>
          <w:color w:val="000000"/>
          <w:szCs w:val="22"/>
        </w:rPr>
        <w:t xml:space="preserve"> but still well below nearby </w:t>
      </w:r>
      <w:r w:rsidRPr="00F331A4">
        <w:rPr>
          <w:rFonts w:cs="Arial"/>
          <w:bCs/>
          <w:iCs/>
          <w:color w:val="000000"/>
          <w:szCs w:val="22"/>
          <w:highlight w:val="yellow"/>
        </w:rPr>
        <w:t>Land Sales 1 and 10 ($120,000 and $99,000 per acre).</w:t>
      </w:r>
      <w:r w:rsidRPr="00F331A4">
        <w:rPr>
          <w:rFonts w:cs="Arial"/>
          <w:bCs/>
          <w:iCs/>
          <w:color w:val="000000"/>
          <w:szCs w:val="22"/>
        </w:rPr>
        <w:t xml:space="preserve">  Therefore, a unit value somewhere in the lower mid-range between these two comparable sets is considered reasonably supportable. </w:t>
      </w:r>
      <w:r w:rsidRPr="00F331A4">
        <w:rPr>
          <w:rFonts w:cs="Arial"/>
          <w:bCs/>
          <w:iCs/>
          <w:color w:val="000000"/>
          <w:szCs w:val="22"/>
          <w:highlight w:val="yellow"/>
        </w:rPr>
        <w:t xml:space="preserve">It is important to note that the current market for urban reserve land declined steeply in unit pricing since </w:t>
      </w:r>
      <w:r>
        <w:rPr>
          <w:rFonts w:cs="Arial"/>
          <w:bCs/>
          <w:iCs/>
          <w:color w:val="000000"/>
          <w:szCs w:val="22"/>
          <w:highlight w:val="yellow"/>
        </w:rPr>
        <w:t xml:space="preserve">March </w:t>
      </w:r>
      <w:r w:rsidRPr="00F331A4">
        <w:rPr>
          <w:rFonts w:cs="Arial"/>
          <w:bCs/>
          <w:iCs/>
          <w:color w:val="000000"/>
          <w:szCs w:val="22"/>
          <w:highlight w:val="yellow"/>
        </w:rPr>
        <w:t>20</w:t>
      </w:r>
      <w:r>
        <w:rPr>
          <w:rFonts w:cs="Arial"/>
          <w:bCs/>
          <w:iCs/>
          <w:color w:val="000000"/>
          <w:szCs w:val="22"/>
          <w:highlight w:val="yellow"/>
        </w:rPr>
        <w:t>20</w:t>
      </w:r>
      <w:r w:rsidRPr="00F331A4">
        <w:rPr>
          <w:rFonts w:cs="Arial"/>
          <w:bCs/>
          <w:iCs/>
          <w:color w:val="000000"/>
          <w:szCs w:val="22"/>
          <w:highlight w:val="yellow"/>
        </w:rPr>
        <w:t>. Not all sellers are willing to recognize this, and thus there has been a disconnect with the potential buyers for such properties at this time.</w:t>
      </w:r>
      <w:r w:rsidRPr="00F331A4">
        <w:rPr>
          <w:rFonts w:cs="Arial"/>
          <w:bCs/>
          <w:iCs/>
          <w:color w:val="000000"/>
          <w:szCs w:val="22"/>
        </w:rPr>
        <w:t xml:space="preserve"> </w:t>
      </w:r>
    </w:p>
    <w:p w14:paraId="704BC3C8" w14:textId="77777777" w:rsidR="00F331A4" w:rsidRPr="00F331A4" w:rsidRDefault="00F331A4" w:rsidP="00F331A4">
      <w:pPr>
        <w:rPr>
          <w:rFonts w:cs="Arial"/>
          <w:bCs/>
          <w:iCs/>
          <w:color w:val="000000"/>
          <w:szCs w:val="22"/>
        </w:rPr>
      </w:pPr>
    </w:p>
    <w:p w14:paraId="269619F8" w14:textId="4B31E708" w:rsidR="00F331A4" w:rsidRDefault="00F331A4" w:rsidP="00F331A4">
      <w:pPr>
        <w:rPr>
          <w:rFonts w:cs="Arial"/>
          <w:bCs/>
          <w:iCs/>
          <w:color w:val="000000"/>
          <w:szCs w:val="22"/>
        </w:rPr>
      </w:pPr>
      <w:r w:rsidRPr="00F331A4">
        <w:rPr>
          <w:rFonts w:cs="Arial"/>
          <w:bCs/>
          <w:iCs/>
          <w:color w:val="000000"/>
          <w:szCs w:val="22"/>
          <w:highlight w:val="yellow"/>
        </w:rPr>
        <w:t xml:space="preserve">Conventional financing for speculative hold reasons continues to be almost non-existent, and thus, sizeable down payments for homesite purchasers are required, thus winnowing down the pool of potential purchasers.  In spite of these factors, our Market </w:t>
      </w:r>
      <w:r w:rsidR="001C3981">
        <w:rPr>
          <w:rFonts w:cs="Arial"/>
          <w:bCs/>
          <w:iCs/>
          <w:color w:val="000000"/>
          <w:szCs w:val="22"/>
          <w:highlight w:val="yellow"/>
        </w:rPr>
        <w:t>Analysis</w:t>
      </w:r>
      <w:r w:rsidRPr="00F331A4">
        <w:rPr>
          <w:rFonts w:cs="Arial"/>
          <w:bCs/>
          <w:iCs/>
          <w:color w:val="000000"/>
          <w:szCs w:val="22"/>
          <w:highlight w:val="yellow"/>
        </w:rPr>
        <w:t xml:space="preserve"> would indicate strongly rebounding residential prices in the Portland Metro area and the immediate submarket since 2020, which in turn has resulted in </w:t>
      </w:r>
      <w:r w:rsidRPr="00F331A4">
        <w:rPr>
          <w:rFonts w:cs="Arial"/>
          <w:bCs/>
          <w:iCs/>
          <w:color w:val="000000"/>
          <w:szCs w:val="22"/>
          <w:highlight w:val="yellow"/>
        </w:rPr>
        <w:lastRenderedPageBreak/>
        <w:t>renewed interest in future land development and their related pricing.  This upward land price pressure on speculative land is expected to continue for the next 1 to 5 years.</w:t>
      </w:r>
    </w:p>
    <w:p w14:paraId="267C3B4A" w14:textId="77777777" w:rsidR="00F331A4" w:rsidRDefault="00F331A4" w:rsidP="006110BC">
      <w:pPr>
        <w:rPr>
          <w:rFonts w:cs="Arial"/>
          <w:bCs/>
          <w:iCs/>
          <w:color w:val="000000"/>
          <w:szCs w:val="22"/>
        </w:rPr>
      </w:pPr>
    </w:p>
    <w:p w14:paraId="4D3D3963" w14:textId="52625071" w:rsidR="006110BC" w:rsidRPr="0088308F" w:rsidRDefault="006110BC" w:rsidP="006110BC">
      <w:pPr>
        <w:rPr>
          <w:rFonts w:cs="Arial"/>
          <w:bCs/>
          <w:iCs/>
          <w:color w:val="000000"/>
          <w:szCs w:val="22"/>
        </w:rPr>
      </w:pPr>
      <w:r w:rsidRPr="00F0470F">
        <w:rPr>
          <w:rFonts w:cs="Arial"/>
          <w:bCs/>
          <w:iCs/>
          <w:color w:val="000000"/>
          <w:szCs w:val="22"/>
        </w:rPr>
        <w:t>The appraiser has considered</w:t>
      </w:r>
      <w:r w:rsidRPr="0088308F">
        <w:rPr>
          <w:rFonts w:cs="Arial"/>
          <w:bCs/>
          <w:iCs/>
          <w:color w:val="000000"/>
          <w:szCs w:val="22"/>
        </w:rPr>
        <w:t xml:space="preserve"> the characteristics of each comparable, with primary emphasis on the </w:t>
      </w:r>
      <w:r>
        <w:rPr>
          <w:rFonts w:cs="Arial"/>
          <w:bCs/>
          <w:iCs/>
          <w:color w:val="000000"/>
          <w:szCs w:val="22"/>
        </w:rPr>
        <w:t>low</w:t>
      </w:r>
      <w:r w:rsidRPr="0088308F">
        <w:rPr>
          <w:rFonts w:cs="Arial"/>
          <w:bCs/>
          <w:iCs/>
          <w:color w:val="000000"/>
          <w:szCs w:val="22"/>
        </w:rPr>
        <w:t>er</w:t>
      </w:r>
      <w:r>
        <w:rPr>
          <w:rFonts w:cs="Arial"/>
          <w:bCs/>
          <w:iCs/>
          <w:color w:val="000000"/>
          <w:szCs w:val="22"/>
        </w:rPr>
        <w:t>-</w:t>
      </w:r>
      <w:r w:rsidRPr="0088308F">
        <w:rPr>
          <w:rFonts w:cs="Arial"/>
          <w:bCs/>
          <w:iCs/>
          <w:color w:val="000000"/>
          <w:szCs w:val="22"/>
        </w:rPr>
        <w:t xml:space="preserve">middle portion of the range indicated by </w:t>
      </w:r>
      <w:r w:rsidRPr="006110BC">
        <w:rPr>
          <w:rFonts w:cs="Arial"/>
          <w:bCs/>
          <w:iCs/>
          <w:color w:val="000000"/>
          <w:szCs w:val="22"/>
          <w:highlight w:val="yellow"/>
        </w:rPr>
        <w:t>Land Sales 1, 2 and 3 ($</w:t>
      </w:r>
      <w:r w:rsidR="00F331A4">
        <w:rPr>
          <w:rFonts w:cs="Arial"/>
          <w:bCs/>
          <w:iCs/>
          <w:color w:val="000000"/>
          <w:szCs w:val="22"/>
          <w:highlight w:val="yellow"/>
        </w:rPr>
        <w:t>50,000</w:t>
      </w:r>
      <w:r w:rsidRPr="006110BC">
        <w:rPr>
          <w:rFonts w:cs="Arial"/>
          <w:bCs/>
          <w:iCs/>
          <w:color w:val="000000"/>
          <w:szCs w:val="22"/>
          <w:highlight w:val="yellow"/>
        </w:rPr>
        <w:t>, $</w:t>
      </w:r>
      <w:r w:rsidR="00F331A4">
        <w:rPr>
          <w:rFonts w:cs="Arial"/>
          <w:bCs/>
          <w:iCs/>
          <w:color w:val="000000"/>
          <w:szCs w:val="22"/>
          <w:highlight w:val="yellow"/>
        </w:rPr>
        <w:t>60,000</w:t>
      </w:r>
      <w:r w:rsidRPr="006110BC">
        <w:rPr>
          <w:rFonts w:cs="Arial"/>
          <w:bCs/>
          <w:iCs/>
          <w:color w:val="000000"/>
          <w:szCs w:val="22"/>
          <w:highlight w:val="yellow"/>
        </w:rPr>
        <w:t xml:space="preserve"> and $</w:t>
      </w:r>
      <w:r w:rsidR="00F331A4">
        <w:rPr>
          <w:rFonts w:cs="Arial"/>
          <w:bCs/>
          <w:iCs/>
          <w:color w:val="000000"/>
          <w:szCs w:val="22"/>
          <w:highlight w:val="yellow"/>
        </w:rPr>
        <w:t>75,000</w:t>
      </w:r>
      <w:r w:rsidRPr="006110BC">
        <w:rPr>
          <w:rFonts w:cs="Arial"/>
          <w:bCs/>
          <w:iCs/>
          <w:color w:val="000000"/>
          <w:szCs w:val="22"/>
          <w:highlight w:val="yellow"/>
        </w:rPr>
        <w:t xml:space="preserve"> per </w:t>
      </w:r>
      <w:r w:rsidR="00F331A4">
        <w:rPr>
          <w:rFonts w:cs="Arial"/>
          <w:bCs/>
          <w:iCs/>
          <w:color w:val="000000"/>
          <w:szCs w:val="22"/>
          <w:highlight w:val="yellow"/>
        </w:rPr>
        <w:t>acre</w:t>
      </w:r>
      <w:r w:rsidRPr="006110BC">
        <w:rPr>
          <w:rFonts w:cs="Arial"/>
          <w:bCs/>
          <w:iCs/>
          <w:color w:val="000000"/>
          <w:szCs w:val="22"/>
          <w:highlight w:val="yellow"/>
        </w:rPr>
        <w:t>).</w:t>
      </w:r>
      <w:r w:rsidRPr="0088308F">
        <w:rPr>
          <w:rFonts w:cs="Arial"/>
          <w:bCs/>
          <w:iCs/>
          <w:color w:val="000000"/>
          <w:szCs w:val="22"/>
        </w:rPr>
        <w:t xml:space="preserve">  </w:t>
      </w:r>
      <w:r w:rsidRPr="0088308F">
        <w:rPr>
          <w:rFonts w:cs="Arial"/>
          <w:szCs w:val="22"/>
        </w:rPr>
        <w:t xml:space="preserve">Secondary consideration and bracketing support placed </w:t>
      </w:r>
      <w:r w:rsidRPr="006110BC">
        <w:rPr>
          <w:rFonts w:cs="Arial"/>
          <w:szCs w:val="22"/>
          <w:highlight w:val="yellow"/>
        </w:rPr>
        <w:t>near</w:t>
      </w:r>
      <w:r w:rsidRPr="0088308F">
        <w:rPr>
          <w:rFonts w:cs="Arial"/>
          <w:szCs w:val="22"/>
        </w:rPr>
        <w:t xml:space="preserve"> average and median adjusted comparable range of </w:t>
      </w:r>
      <w:r w:rsidRPr="006110BC">
        <w:rPr>
          <w:rFonts w:cs="Arial"/>
          <w:szCs w:val="22"/>
          <w:highlight w:val="yellow"/>
        </w:rPr>
        <w:t>($</w:t>
      </w:r>
      <w:r w:rsidR="00F331A4">
        <w:rPr>
          <w:rFonts w:cs="Arial"/>
          <w:szCs w:val="22"/>
          <w:highlight w:val="yellow"/>
        </w:rPr>
        <w:t>62,000</w:t>
      </w:r>
      <w:r w:rsidRPr="006110BC">
        <w:rPr>
          <w:rFonts w:cs="Arial"/>
          <w:szCs w:val="22"/>
          <w:highlight w:val="yellow"/>
        </w:rPr>
        <w:t xml:space="preserve"> and $</w:t>
      </w:r>
      <w:r w:rsidR="00F331A4">
        <w:rPr>
          <w:rFonts w:cs="Arial"/>
          <w:szCs w:val="22"/>
          <w:highlight w:val="yellow"/>
        </w:rPr>
        <w:t>65,000</w:t>
      </w:r>
      <w:r w:rsidRPr="0088308F">
        <w:rPr>
          <w:rFonts w:cs="Arial"/>
          <w:szCs w:val="22"/>
        </w:rPr>
        <w:t xml:space="preserve"> per </w:t>
      </w:r>
      <w:r w:rsidR="00F331A4">
        <w:rPr>
          <w:rFonts w:cs="Arial"/>
          <w:szCs w:val="22"/>
        </w:rPr>
        <w:t>acre</w:t>
      </w:r>
      <w:r w:rsidRPr="0088308F">
        <w:rPr>
          <w:rFonts w:cs="Arial"/>
          <w:szCs w:val="22"/>
        </w:rPr>
        <w:t>).</w:t>
      </w:r>
      <w:r>
        <w:rPr>
          <w:rFonts w:cs="Segoe UI"/>
        </w:rPr>
        <w:t xml:space="preserve"> </w:t>
      </w:r>
      <w:r w:rsidRPr="0088308F">
        <w:rPr>
          <w:rFonts w:cs="Segoe UI"/>
        </w:rPr>
        <w:t xml:space="preserve"> </w:t>
      </w:r>
      <w:r w:rsidRPr="0088308F">
        <w:rPr>
          <w:rFonts w:cs="Arial"/>
          <w:bCs/>
          <w:iCs/>
          <w:color w:val="000000"/>
          <w:szCs w:val="22"/>
        </w:rPr>
        <w:t xml:space="preserve">Hence, a unit land value of </w:t>
      </w:r>
      <w:r w:rsidRPr="006110BC">
        <w:rPr>
          <w:rFonts w:cs="Arial"/>
          <w:b/>
          <w:bCs/>
          <w:iCs/>
          <w:color w:val="000000"/>
          <w:szCs w:val="22"/>
          <w:highlight w:val="yellow"/>
        </w:rPr>
        <w:t>$</w:t>
      </w:r>
      <w:r w:rsidR="00360C49" w:rsidRPr="00360C49">
        <w:rPr>
          <w:rFonts w:cs="Arial"/>
          <w:b/>
          <w:bCs/>
          <w:iCs/>
          <w:color w:val="000000"/>
          <w:szCs w:val="22"/>
          <w:highlight w:val="yellow"/>
        </w:rPr>
        <w:t>_________</w:t>
      </w:r>
      <w:r w:rsidRPr="0088308F">
        <w:rPr>
          <w:rFonts w:cs="Arial"/>
          <w:b/>
          <w:bCs/>
          <w:iCs/>
          <w:color w:val="000000"/>
          <w:szCs w:val="22"/>
        </w:rPr>
        <w:t xml:space="preserve"> per </w:t>
      </w:r>
      <w:r w:rsidR="00F331A4">
        <w:rPr>
          <w:rFonts w:cs="Arial"/>
          <w:b/>
          <w:bCs/>
          <w:iCs/>
          <w:color w:val="000000"/>
          <w:szCs w:val="22"/>
        </w:rPr>
        <w:t>acre</w:t>
      </w:r>
      <w:r w:rsidRPr="0088308F">
        <w:rPr>
          <w:rFonts w:cs="Arial"/>
          <w:bCs/>
          <w:iCs/>
          <w:color w:val="000000"/>
          <w:szCs w:val="22"/>
        </w:rPr>
        <w:t xml:space="preserve"> is concluded in this assignment.</w:t>
      </w:r>
    </w:p>
    <w:p w14:paraId="40CF5CB6" w14:textId="77777777" w:rsidR="006110BC" w:rsidRPr="0088308F" w:rsidRDefault="006110BC" w:rsidP="006110BC">
      <w:pPr>
        <w:rPr>
          <w:rFonts w:cs="Arial"/>
          <w:bCs/>
          <w:iCs/>
          <w:color w:val="000000"/>
          <w:szCs w:val="22"/>
        </w:rPr>
      </w:pPr>
    </w:p>
    <w:p w14:paraId="6E249279" w14:textId="43E2BEDF" w:rsidR="006110BC" w:rsidRPr="000754FA" w:rsidRDefault="006110BC" w:rsidP="006110BC">
      <w:pPr>
        <w:rPr>
          <w:rFonts w:cs="Arial"/>
          <w:bCs/>
          <w:iCs/>
          <w:color w:val="000000"/>
          <w:szCs w:val="22"/>
        </w:rPr>
      </w:pPr>
      <w:r w:rsidRPr="000754FA">
        <w:rPr>
          <w:rFonts w:cs="Arial"/>
          <w:bCs/>
          <w:iCs/>
          <w:color w:val="000000"/>
          <w:szCs w:val="22"/>
        </w:rPr>
        <w:t xml:space="preserve">Based on the preceding, it is the appraiser’s opinion that the </w:t>
      </w:r>
      <w:r>
        <w:rPr>
          <w:rFonts w:cs="Arial"/>
          <w:b/>
          <w:bCs/>
          <w:iCs/>
          <w:color w:val="000000"/>
          <w:szCs w:val="22"/>
        </w:rPr>
        <w:t>c</w:t>
      </w:r>
      <w:r w:rsidRPr="000754FA">
        <w:rPr>
          <w:rFonts w:cs="Arial"/>
          <w:b/>
          <w:bCs/>
          <w:iCs/>
          <w:color w:val="000000"/>
          <w:szCs w:val="22"/>
        </w:rPr>
        <w:t xml:space="preserve">oncluded market </w:t>
      </w:r>
      <w:r>
        <w:rPr>
          <w:rFonts w:cs="Arial"/>
          <w:b/>
          <w:bCs/>
          <w:iCs/>
          <w:color w:val="000000"/>
          <w:szCs w:val="22"/>
        </w:rPr>
        <w:t xml:space="preserve">value </w:t>
      </w:r>
      <w:r w:rsidRPr="006B7BDE">
        <w:rPr>
          <w:rFonts w:cs="Arial"/>
          <w:iCs/>
          <w:color w:val="000000"/>
          <w:szCs w:val="22"/>
        </w:rPr>
        <w:t xml:space="preserve">of the fee simple interest for the </w:t>
      </w:r>
      <w:r>
        <w:rPr>
          <w:rFonts w:cs="Arial"/>
          <w:b/>
          <w:bCs/>
          <w:iCs/>
          <w:color w:val="000000"/>
          <w:szCs w:val="22"/>
        </w:rPr>
        <w:t>subject l</w:t>
      </w:r>
      <w:r w:rsidRPr="000754FA">
        <w:rPr>
          <w:rFonts w:cs="Arial"/>
          <w:b/>
          <w:bCs/>
          <w:iCs/>
          <w:color w:val="000000"/>
          <w:szCs w:val="22"/>
        </w:rPr>
        <w:t>and</w:t>
      </w:r>
      <w:r w:rsidRPr="000754FA">
        <w:rPr>
          <w:rFonts w:cs="Arial"/>
          <w:bCs/>
          <w:iCs/>
          <w:color w:val="000000"/>
          <w:szCs w:val="22"/>
        </w:rPr>
        <w:t xml:space="preserve"> (</w:t>
      </w:r>
      <w:r w:rsidR="00522EBA">
        <w:rPr>
          <w:rFonts w:cs="Arial"/>
          <w:bCs/>
          <w:iCs/>
          <w:color w:val="000000"/>
          <w:szCs w:val="22"/>
        </w:rPr>
        <w:t>${</w:t>
      </w:r>
      <w:proofErr w:type="spellStart"/>
      <w:r w:rsidR="00522EBA">
        <w:rPr>
          <w:rFonts w:cs="Arial"/>
          <w:bCs/>
          <w:iCs/>
          <w:color w:val="000000"/>
          <w:szCs w:val="22"/>
        </w:rPr>
        <w:t>netacre</w:t>
      </w:r>
      <w:proofErr w:type="spellEnd"/>
      <w:r w:rsidR="00522EBA">
        <w:rPr>
          <w:rFonts w:cs="Arial"/>
          <w:bCs/>
          <w:iCs/>
          <w:color w:val="000000"/>
          <w:szCs w:val="22"/>
        </w:rPr>
        <w:t>}</w:t>
      </w:r>
      <w:r>
        <w:rPr>
          <w:rFonts w:cs="Arial"/>
          <w:bCs/>
          <w:iCs/>
          <w:color w:val="000000"/>
          <w:szCs w:val="22"/>
        </w:rPr>
        <w:t xml:space="preserve"> </w:t>
      </w:r>
      <w:r w:rsidR="00F331A4">
        <w:rPr>
          <w:rFonts w:cs="Arial"/>
          <w:bCs/>
          <w:iCs/>
          <w:color w:val="000000"/>
          <w:szCs w:val="22"/>
        </w:rPr>
        <w:t xml:space="preserve">gross / net </w:t>
      </w:r>
      <w:r>
        <w:rPr>
          <w:rFonts w:cs="Arial"/>
          <w:bCs/>
          <w:iCs/>
          <w:color w:val="000000"/>
          <w:szCs w:val="22"/>
        </w:rPr>
        <w:t>acr</w:t>
      </w:r>
      <w:r w:rsidR="00F331A4">
        <w:rPr>
          <w:rFonts w:cs="Arial"/>
          <w:bCs/>
          <w:iCs/>
          <w:color w:val="000000"/>
          <w:szCs w:val="22"/>
        </w:rPr>
        <w:t>e</w:t>
      </w:r>
      <w:r>
        <w:rPr>
          <w:rFonts w:cs="Arial"/>
          <w:bCs/>
          <w:iCs/>
          <w:color w:val="000000"/>
          <w:szCs w:val="22"/>
        </w:rPr>
        <w:t xml:space="preserve">) is </w:t>
      </w:r>
      <w:r w:rsidRPr="000754FA">
        <w:rPr>
          <w:rFonts w:cs="Arial"/>
          <w:bCs/>
          <w:iCs/>
          <w:color w:val="000000"/>
          <w:szCs w:val="22"/>
        </w:rPr>
        <w:t>as follows</w:t>
      </w:r>
      <w:r>
        <w:rPr>
          <w:rFonts w:cs="Arial"/>
          <w:bCs/>
          <w:iCs/>
          <w:color w:val="000000"/>
          <w:szCs w:val="22"/>
        </w:rPr>
        <w:t xml:space="preserve"> </w:t>
      </w:r>
      <w:r w:rsidR="001C3981">
        <w:rPr>
          <w:rFonts w:cs="Arial"/>
          <w:szCs w:val="22"/>
        </w:rPr>
        <w:t>(</w:t>
      </w:r>
      <w:sdt>
        <w:sdtPr>
          <w:rPr>
            <w:rFonts w:cs="Arial"/>
            <w:szCs w:val="22"/>
            <w:highlight w:val="green"/>
          </w:rPr>
          <w:alias w:val="Rounded"/>
          <w:tag w:val="Rounded"/>
          <w:id w:val="-1183351504"/>
          <w:placeholder>
            <w:docPart w:val="8D08AE496731405CA295A9A2DB690EFD"/>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1C3981">
            <w:rPr>
              <w:rFonts w:cs="Arial"/>
              <w:szCs w:val="22"/>
              <w:highlight w:val="green"/>
            </w:rPr>
            <w:t>rounded to the nearest $5,000</w:t>
          </w:r>
        </w:sdtContent>
      </w:sdt>
      <w:r w:rsidR="001C3981">
        <w:rPr>
          <w:rFonts w:cs="Arial"/>
          <w:szCs w:val="22"/>
        </w:rPr>
        <w:t>)</w:t>
      </w:r>
      <w:r w:rsidR="001C3981" w:rsidRPr="0005433A">
        <w:rPr>
          <w:rFonts w:cs="Arial"/>
          <w:szCs w:val="22"/>
        </w:rPr>
        <w:t>:</w:t>
      </w:r>
    </w:p>
    <w:p w14:paraId="0C141C6E" w14:textId="77777777" w:rsidR="006110BC" w:rsidRDefault="006110BC" w:rsidP="006110BC">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6110BC" w:rsidRPr="000754FA" w14:paraId="1F8C7FE3" w14:textId="77777777" w:rsidTr="006229B0">
        <w:trPr>
          <w:jc w:val="center"/>
        </w:trPr>
        <w:tc>
          <w:tcPr>
            <w:tcW w:w="4574" w:type="dxa"/>
            <w:tcBorders>
              <w:bottom w:val="single" w:sz="24" w:space="0" w:color="3FB44F"/>
            </w:tcBorders>
            <w:shd w:val="clear" w:color="auto" w:fill="1E4959"/>
          </w:tcPr>
          <w:p w14:paraId="7A934DCC" w14:textId="77777777" w:rsidR="006110BC" w:rsidRPr="000754FA" w:rsidRDefault="006110BC" w:rsidP="006229B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001C80E7" w14:textId="77777777" w:rsidR="006110BC" w:rsidRPr="000754FA" w:rsidRDefault="006110BC" w:rsidP="006229B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6089BFB5" w14:textId="77777777" w:rsidR="006110BC" w:rsidRPr="000754FA" w:rsidRDefault="006110BC" w:rsidP="006229B0">
            <w:pPr>
              <w:widowControl w:val="0"/>
              <w:tabs>
                <w:tab w:val="left" w:pos="0"/>
                <w:tab w:val="left" w:pos="259"/>
                <w:tab w:val="left" w:pos="518"/>
              </w:tabs>
              <w:spacing w:line="273" w:lineRule="exact"/>
              <w:jc w:val="right"/>
              <w:rPr>
                <w:szCs w:val="22"/>
              </w:rPr>
            </w:pPr>
          </w:p>
        </w:tc>
      </w:tr>
      <w:tr w:rsidR="006110BC" w:rsidRPr="000754FA" w14:paraId="25557486" w14:textId="77777777" w:rsidTr="006229B0">
        <w:trPr>
          <w:gridAfter w:val="1"/>
          <w:wAfter w:w="32" w:type="dxa"/>
          <w:jc w:val="center"/>
        </w:trPr>
        <w:tc>
          <w:tcPr>
            <w:tcW w:w="4574" w:type="dxa"/>
            <w:tcBorders>
              <w:top w:val="single" w:sz="24" w:space="0" w:color="3FB44F"/>
              <w:bottom w:val="double" w:sz="4" w:space="0" w:color="auto"/>
              <w:right w:val="single" w:sz="6" w:space="0" w:color="auto"/>
            </w:tcBorders>
          </w:tcPr>
          <w:p w14:paraId="6C12F65D" w14:textId="77777777" w:rsidR="006110BC" w:rsidRPr="000754FA" w:rsidRDefault="006110BC" w:rsidP="006229B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Market Land</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2E8231E4" w14:textId="3F54AD60" w:rsidR="006110BC" w:rsidRPr="00360C49" w:rsidRDefault="006110BC" w:rsidP="006229B0">
            <w:pPr>
              <w:widowControl w:val="0"/>
              <w:tabs>
                <w:tab w:val="left" w:pos="0"/>
                <w:tab w:val="left" w:pos="259"/>
                <w:tab w:val="left" w:pos="518"/>
              </w:tabs>
              <w:spacing w:after="58" w:line="480" w:lineRule="exact"/>
              <w:jc w:val="center"/>
              <w:rPr>
                <w:rFonts w:cs="Arial"/>
                <w:b/>
                <w:szCs w:val="22"/>
                <w:highlight w:val="yellow"/>
              </w:rPr>
            </w:pPr>
            <w:r w:rsidRPr="00360C49">
              <w:rPr>
                <w:rFonts w:cs="Arial"/>
                <w:b/>
                <w:szCs w:val="22"/>
                <w:highlight w:val="yellow"/>
              </w:rPr>
              <w:t>$</w:t>
            </w:r>
            <w:r w:rsidR="00360C49" w:rsidRPr="00360C49">
              <w:rPr>
                <w:rFonts w:cs="Arial"/>
                <w:b/>
                <w:szCs w:val="22"/>
                <w:highlight w:val="yellow"/>
              </w:rPr>
              <w:t>________</w:t>
            </w:r>
            <w:r w:rsidRPr="00360C49">
              <w:rPr>
                <w:rFonts w:cs="Arial"/>
                <w:b/>
                <w:szCs w:val="22"/>
                <w:highlight w:val="yellow"/>
              </w:rPr>
              <w:t xml:space="preserve"> / </w:t>
            </w:r>
            <w:r w:rsidR="00F331A4" w:rsidRPr="00360C49">
              <w:rPr>
                <w:rFonts w:cs="Arial"/>
                <w:b/>
                <w:szCs w:val="22"/>
                <w:highlight w:val="yellow"/>
              </w:rPr>
              <w:t>Acre</w:t>
            </w:r>
          </w:p>
        </w:tc>
        <w:tc>
          <w:tcPr>
            <w:tcW w:w="2022" w:type="dxa"/>
            <w:tcBorders>
              <w:top w:val="single" w:sz="24" w:space="0" w:color="3FB44F"/>
              <w:left w:val="single" w:sz="6" w:space="0" w:color="auto"/>
              <w:bottom w:val="double" w:sz="4" w:space="0" w:color="auto"/>
            </w:tcBorders>
          </w:tcPr>
          <w:p w14:paraId="53C0C514" w14:textId="48CB89CC" w:rsidR="006110BC" w:rsidRPr="00360C49" w:rsidRDefault="006110BC" w:rsidP="006229B0">
            <w:pPr>
              <w:widowControl w:val="0"/>
              <w:tabs>
                <w:tab w:val="left" w:pos="0"/>
                <w:tab w:val="left" w:pos="259"/>
                <w:tab w:val="left" w:pos="518"/>
              </w:tabs>
              <w:spacing w:after="58" w:line="480" w:lineRule="exact"/>
              <w:jc w:val="center"/>
              <w:rPr>
                <w:rFonts w:cs="Arial"/>
                <w:b/>
                <w:szCs w:val="22"/>
                <w:highlight w:val="yellow"/>
              </w:rPr>
            </w:pPr>
            <w:r w:rsidRPr="00360C49">
              <w:rPr>
                <w:rFonts w:cs="Arial"/>
                <w:b/>
                <w:szCs w:val="22"/>
                <w:highlight w:val="yellow"/>
              </w:rPr>
              <w:t>$</w:t>
            </w:r>
            <w:r w:rsidR="00360C49" w:rsidRPr="00360C49">
              <w:rPr>
                <w:rFonts w:cs="Arial"/>
                <w:b/>
                <w:szCs w:val="22"/>
                <w:highlight w:val="yellow"/>
              </w:rPr>
              <w:t>_____________</w:t>
            </w:r>
          </w:p>
        </w:tc>
      </w:tr>
    </w:tbl>
    <w:p w14:paraId="5A63ED81" w14:textId="77777777" w:rsidR="006110BC" w:rsidRPr="000754FA" w:rsidRDefault="006110BC" w:rsidP="006110BC">
      <w:pPr>
        <w:rPr>
          <w:rFonts w:cs="Segoe UI"/>
          <w:szCs w:val="22"/>
        </w:rPr>
      </w:pPr>
    </w:p>
    <w:p w14:paraId="469B49E0" w14:textId="77777777" w:rsidR="006110BC" w:rsidRDefault="006110BC" w:rsidP="006110BC">
      <w:pPr>
        <w:rPr>
          <w:rFonts w:cs="Segoe UI"/>
          <w:szCs w:val="22"/>
        </w:rPr>
      </w:pPr>
    </w:p>
    <w:p w14:paraId="41C613E1" w14:textId="77777777" w:rsidR="00ED215D" w:rsidRPr="000754FA" w:rsidRDefault="00ED215D" w:rsidP="00ED215D">
      <w:pPr>
        <w:rPr>
          <w:rFonts w:cs="Segoe UI"/>
          <w:szCs w:val="22"/>
        </w:rPr>
      </w:pP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75D0E815" w14:textId="77777777" w:rsidR="00ED215D" w:rsidRDefault="00ED215D"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5B0603">
        <w:rPr>
          <w:rFonts w:eastAsia="Calibri"/>
          <w:noProof/>
        </w:rPr>
        <w:lastRenderedPageBreak/>
        <w:drawing>
          <wp:inline distT="0" distB="0" distL="0" distR="0" wp14:anchorId="5DCFA1F6" wp14:editId="0185490A">
            <wp:extent cx="6802148" cy="6781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6809949" cy="6789578"/>
                    </a:xfrm>
                    <a:prstGeom prst="rect">
                      <a:avLst/>
                    </a:prstGeom>
                    <a:noFill/>
                    <a:ln>
                      <a:noFill/>
                    </a:ln>
                  </pic:spPr>
                </pic:pic>
              </a:graphicData>
            </a:graphic>
          </wp:inline>
        </w:drawing>
      </w:r>
      <w:r>
        <w:rPr>
          <w:rFonts w:eastAsia="Calibri"/>
        </w:rPr>
        <w:t xml:space="preserve"> </w:t>
      </w:r>
    </w:p>
    <w:p w14:paraId="6A645D7F" w14:textId="77777777" w:rsidR="00ED215D" w:rsidRDefault="00ED215D" w:rsidP="00ED215D">
      <w:pPr>
        <w:ind w:left="-720"/>
        <w:jc w:val="center"/>
        <w:rPr>
          <w:rFonts w:eastAsia="Calibri" w:cs="Arial"/>
          <w:color w:val="000000"/>
          <w:szCs w:val="22"/>
        </w:rPr>
      </w:pPr>
      <w:r w:rsidRPr="00CF5FEE">
        <w:rPr>
          <w:rFonts w:eastAsia="Calibri"/>
          <w:noProof/>
        </w:rPr>
        <w:lastRenderedPageBreak/>
        <w:drawing>
          <wp:inline distT="0" distB="0" distL="0" distR="0" wp14:anchorId="714FC2F8" wp14:editId="1BF7A918">
            <wp:extent cx="6850595" cy="5618074"/>
            <wp:effectExtent l="0" t="0" r="762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65117" cy="5629983"/>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DA4CE0">
              <w:rPr>
                <w:rFonts w:cs="Arial"/>
                <w:b/>
                <w:smallCaps/>
                <w:color w:val="FFFFFF" w:themeColor="background1"/>
                <w:sz w:val="28"/>
                <w:szCs w:val="22"/>
                <w:highlight w:val="green"/>
              </w:rPr>
              <w:lastRenderedPageBreak/>
              <w:t>Land Sales 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16"/>
          <w:footerReference w:type="default" r:id="rId17"/>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1C3981">
        <w:rPr>
          <w:rFonts w:eastAsia="Calibri" w:cs="Arial"/>
          <w:bCs/>
          <w:iCs/>
          <w:color w:val="000000"/>
          <w:szCs w:val="22"/>
          <w:highlight w:val="green"/>
        </w:rPr>
        <w:lastRenderedPageBreak/>
        <w:t>Insert Land Sale Aerial Plats or Comp 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18"/>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19"/>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A2446" w14:textId="77777777" w:rsidR="003D2B5B" w:rsidRDefault="003D2B5B">
      <w:r>
        <w:separator/>
      </w:r>
    </w:p>
  </w:endnote>
  <w:endnote w:type="continuationSeparator" w:id="0">
    <w:p w14:paraId="092E7798" w14:textId="77777777" w:rsidR="003D2B5B" w:rsidRDefault="003D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D78" w14:textId="6DD6CA61" w:rsidR="00ED215D" w:rsidRPr="00F01ADE" w:rsidRDefault="00ED215D" w:rsidP="00ED215D">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C30F9F">
      <w:rPr>
        <w:rFonts w:cs="Segoe UI"/>
        <w:bCs/>
        <w:iCs/>
        <w:kern w:val="0"/>
        <w:sz w:val="20"/>
        <w:szCs w:val="18"/>
        <w:shd w:val="clear" w:color="auto" w:fill="FFFFFF"/>
      </w:rPr>
      <w:t>${</w:t>
    </w:r>
    <w:proofErr w:type="spellStart"/>
    <w:r w:rsidR="00C30F9F" w:rsidRPr="00C30F9F">
      <w:rPr>
        <w:rFonts w:cs="Segoe UI"/>
        <w:bCs/>
        <w:iCs/>
        <w:kern w:val="0"/>
        <w:sz w:val="20"/>
        <w:szCs w:val="18"/>
        <w:shd w:val="clear" w:color="auto" w:fill="FFFFFF"/>
      </w:rPr>
      <w:t>reportname</w:t>
    </w:r>
    <w:proofErr w:type="spellEnd"/>
    <w:r w:rsidR="00C30F9F">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p w14:paraId="529CB9B7" w14:textId="77777777" w:rsidR="00ED215D" w:rsidRPr="00ED215D" w:rsidRDefault="00ED215D" w:rsidP="00ED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3D370B51"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C30F9F">
      <w:rPr>
        <w:rFonts w:cs="Segoe UI"/>
        <w:bCs/>
        <w:iCs/>
        <w:kern w:val="0"/>
        <w:sz w:val="20"/>
        <w:szCs w:val="18"/>
        <w:shd w:val="clear" w:color="auto" w:fill="FFFFFF"/>
      </w:rPr>
      <w:t>${</w:t>
    </w:r>
    <w:proofErr w:type="spellStart"/>
    <w:r w:rsidR="00C30F9F" w:rsidRPr="00C30F9F">
      <w:rPr>
        <w:rFonts w:cs="Segoe UI"/>
        <w:bCs/>
        <w:iCs/>
        <w:kern w:val="0"/>
        <w:sz w:val="20"/>
        <w:szCs w:val="18"/>
        <w:shd w:val="clear" w:color="auto" w:fill="FFFFFF"/>
      </w:rPr>
      <w:t>reportname</w:t>
    </w:r>
    <w:proofErr w:type="spellEnd"/>
    <w:r w:rsidR="00C30F9F">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074899BF"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C30F9F">
      <w:rPr>
        <w:rFonts w:cs="Segoe UI"/>
        <w:bCs/>
        <w:iCs/>
        <w:kern w:val="0"/>
        <w:sz w:val="20"/>
        <w:szCs w:val="18"/>
        <w:shd w:val="clear" w:color="auto" w:fill="FFFFFF"/>
      </w:rPr>
      <w:t>${</w:t>
    </w:r>
    <w:proofErr w:type="spellStart"/>
    <w:r w:rsidR="00C30F9F" w:rsidRPr="00C30F9F">
      <w:rPr>
        <w:rFonts w:cs="Segoe UI"/>
        <w:bCs/>
        <w:iCs/>
        <w:kern w:val="0"/>
        <w:sz w:val="20"/>
        <w:szCs w:val="18"/>
        <w:shd w:val="clear" w:color="auto" w:fill="FFFFFF"/>
      </w:rPr>
      <w:t>reportname</w:t>
    </w:r>
    <w:proofErr w:type="spellEnd"/>
    <w:r w:rsidR="00C30F9F">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CB14D" w14:textId="77777777" w:rsidR="003D2B5B" w:rsidRDefault="003D2B5B">
      <w:r>
        <w:separator/>
      </w:r>
    </w:p>
  </w:footnote>
  <w:footnote w:type="continuationSeparator" w:id="0">
    <w:p w14:paraId="3BF6C8E9" w14:textId="77777777" w:rsidR="003D2B5B" w:rsidRDefault="003D2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77777777" w:rsidR="00ED215D" w:rsidRPr="00883365" w:rsidRDefault="00ED215D" w:rsidP="008F1A5D">
          <w:pPr>
            <w:pStyle w:val="ValbridgeHeader"/>
            <w:spacing w:line="240" w:lineRule="auto"/>
            <w:rPr>
              <w:rFonts w:ascii="Arial Narrow" w:hAnsi="Arial Narrow" w:cs="Arial"/>
            </w:rPr>
          </w:pPr>
          <w:r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4DC3"/>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7C1"/>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3981"/>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23"/>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C49"/>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B5B"/>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A"/>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56F"/>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2EBA"/>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3EF"/>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C10"/>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0F9F"/>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CE0"/>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475"/>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A4"/>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56E"/>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C3AD72953F4F8BB23EC66030EB69CC"/>
        <w:category>
          <w:name w:val="General"/>
          <w:gallery w:val="placeholder"/>
        </w:category>
        <w:types>
          <w:type w:val="bbPlcHdr"/>
        </w:types>
        <w:behaviors>
          <w:behavior w:val="content"/>
        </w:behaviors>
        <w:guid w:val="{4F57742B-8293-4CF4-96F0-6F2BF6EA87C2}"/>
      </w:docPartPr>
      <w:docPartBody>
        <w:p w:rsidR="00D62E5E" w:rsidRDefault="00F50B3B" w:rsidP="00F50B3B">
          <w:pPr>
            <w:pStyle w:val="5BC3AD72953F4F8BB23EC66030EB69CC"/>
          </w:pPr>
          <w:r w:rsidRPr="008212E1">
            <w:rPr>
              <w:rStyle w:val="PlaceholderText"/>
            </w:rPr>
            <w:t>Choose an item.</w:t>
          </w:r>
        </w:p>
      </w:docPartBody>
    </w:docPart>
    <w:docPart>
      <w:docPartPr>
        <w:name w:val="8D08AE496731405CA295A9A2DB690EFD"/>
        <w:category>
          <w:name w:val="General"/>
          <w:gallery w:val="placeholder"/>
        </w:category>
        <w:types>
          <w:type w:val="bbPlcHdr"/>
        </w:types>
        <w:behaviors>
          <w:behavior w:val="content"/>
        </w:behaviors>
        <w:guid w:val="{239D1AB9-5356-4FD5-BC7F-5B90C897DD37}"/>
      </w:docPartPr>
      <w:docPartBody>
        <w:p w:rsidR="002B5E41" w:rsidRDefault="00202EC4" w:rsidP="00202EC4">
          <w:pPr>
            <w:pStyle w:val="8D08AE496731405CA295A9A2DB690EFD"/>
          </w:pPr>
          <w:r w:rsidRPr="003B43C3">
            <w:rPr>
              <w:rStyle w:val="PlaceholderText"/>
            </w:rPr>
            <w:t>Choose an item.</w:t>
          </w:r>
        </w:p>
      </w:docPartBody>
    </w:docPart>
    <w:docPart>
      <w:docPartPr>
        <w:name w:val="2180C03B044D45CE824FEAECA52D3C9F"/>
        <w:category>
          <w:name w:val="General"/>
          <w:gallery w:val="placeholder"/>
        </w:category>
        <w:types>
          <w:type w:val="bbPlcHdr"/>
        </w:types>
        <w:behaviors>
          <w:behavior w:val="content"/>
        </w:behaviors>
        <w:guid w:val="{7312AE5C-114F-4B77-B3BB-3D3C1F809229}"/>
      </w:docPartPr>
      <w:docPartBody>
        <w:p w:rsidR="002B5E41" w:rsidRDefault="00202EC4" w:rsidP="00202EC4">
          <w:pPr>
            <w:pStyle w:val="2180C03B044D45CE824FEAECA52D3C9F"/>
          </w:pPr>
          <w:r w:rsidRPr="003B43C3">
            <w:rPr>
              <w:rStyle w:val="PlaceholderText"/>
            </w:rPr>
            <w:t>Choose an item.</w:t>
          </w:r>
        </w:p>
      </w:docPartBody>
    </w:docPart>
    <w:docPart>
      <w:docPartPr>
        <w:name w:val="BD8885AA288646E182F4CC2978C6DA74"/>
        <w:category>
          <w:name w:val="General"/>
          <w:gallery w:val="placeholder"/>
        </w:category>
        <w:types>
          <w:type w:val="bbPlcHdr"/>
        </w:types>
        <w:behaviors>
          <w:behavior w:val="content"/>
        </w:behaviors>
        <w:guid w:val="{8CE01CF6-9800-4E3F-97D4-8CA05EB7E0F4}"/>
      </w:docPartPr>
      <w:docPartBody>
        <w:p w:rsidR="00BA58EB" w:rsidRDefault="002B5E41" w:rsidP="002B5E41">
          <w:pPr>
            <w:pStyle w:val="BD8885AA288646E182F4CC2978C6DA74"/>
          </w:pPr>
          <w:r w:rsidRPr="008212E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A45F3"/>
    <w:rsid w:val="000C5F4B"/>
    <w:rsid w:val="00171369"/>
    <w:rsid w:val="00181B3E"/>
    <w:rsid w:val="00202EC4"/>
    <w:rsid w:val="002B5E41"/>
    <w:rsid w:val="00483329"/>
    <w:rsid w:val="005B7490"/>
    <w:rsid w:val="00640430"/>
    <w:rsid w:val="00652864"/>
    <w:rsid w:val="00863F06"/>
    <w:rsid w:val="008A5EB4"/>
    <w:rsid w:val="008C0C7B"/>
    <w:rsid w:val="00BA58EB"/>
    <w:rsid w:val="00D42A85"/>
    <w:rsid w:val="00D62E5E"/>
    <w:rsid w:val="00E052D1"/>
    <w:rsid w:val="00E359A0"/>
    <w:rsid w:val="00F178C0"/>
    <w:rsid w:val="00F5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E41"/>
    <w:rPr>
      <w:color w:val="808080"/>
    </w:rPr>
  </w:style>
  <w:style w:type="paragraph" w:customStyle="1" w:styleId="3F133C4B1C634EE3B9777EF4B099E7CE">
    <w:name w:val="3F133C4B1C634EE3B9777EF4B099E7CE"/>
    <w:rsid w:val="00D42A85"/>
  </w:style>
  <w:style w:type="paragraph" w:customStyle="1" w:styleId="60683D6F893C4F98BB7F98AB1A4AB0FC">
    <w:name w:val="60683D6F893C4F98BB7F98AB1A4AB0FC"/>
    <w:rsid w:val="00F50B3B"/>
  </w:style>
  <w:style w:type="paragraph" w:customStyle="1" w:styleId="457CBAB042D44F90BBD9DCF02A3D8C7A">
    <w:name w:val="457CBAB042D44F90BBD9DCF02A3D8C7A"/>
    <w:rsid w:val="00F50B3B"/>
  </w:style>
  <w:style w:type="paragraph" w:customStyle="1" w:styleId="C507EB9F06954688BB36A95DD5AD014E">
    <w:name w:val="C507EB9F06954688BB36A95DD5AD014E"/>
    <w:rsid w:val="00F50B3B"/>
  </w:style>
  <w:style w:type="paragraph" w:customStyle="1" w:styleId="3E6573C6FA6D4F8CA4A863B75C011214">
    <w:name w:val="3E6573C6FA6D4F8CA4A863B75C011214"/>
    <w:rsid w:val="00F50B3B"/>
  </w:style>
  <w:style w:type="paragraph" w:customStyle="1" w:styleId="5BC3AD72953F4F8BB23EC66030EB69CC">
    <w:name w:val="5BC3AD72953F4F8BB23EC66030EB69CC"/>
    <w:rsid w:val="00F50B3B"/>
  </w:style>
  <w:style w:type="paragraph" w:customStyle="1" w:styleId="14D53A670A664F00B36653558C4FE36E">
    <w:name w:val="14D53A670A664F00B36653558C4FE36E"/>
    <w:rsid w:val="00181B3E"/>
  </w:style>
  <w:style w:type="paragraph" w:customStyle="1" w:styleId="8DFBCB4E34F946BFB0569243147A9C38">
    <w:name w:val="8DFBCB4E34F946BFB0569243147A9C38"/>
    <w:rsid w:val="00652864"/>
  </w:style>
  <w:style w:type="paragraph" w:customStyle="1" w:styleId="8D08AE496731405CA295A9A2DB690EFD">
    <w:name w:val="8D08AE496731405CA295A9A2DB690EFD"/>
    <w:rsid w:val="00202EC4"/>
  </w:style>
  <w:style w:type="paragraph" w:customStyle="1" w:styleId="2180C03B044D45CE824FEAECA52D3C9F">
    <w:name w:val="2180C03B044D45CE824FEAECA52D3C9F"/>
    <w:rsid w:val="00202EC4"/>
  </w:style>
  <w:style w:type="paragraph" w:customStyle="1" w:styleId="BD8885AA288646E182F4CC2978C6DA74">
    <w:name w:val="BD8885AA288646E182F4CC2978C6DA74"/>
    <w:rsid w:val="002B5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3.xml><?xml version="1.0" encoding="utf-8"?>
<ds:datastoreItem xmlns:ds="http://schemas.openxmlformats.org/officeDocument/2006/customXml" ds:itemID="{B18A43C7-231C-4C09-A9F8-C51C30F12E8D}">
  <ds:schemaRefs>
    <ds:schemaRef ds:uri="http://schemas.openxmlformats.org/officeDocument/2006/bibliography"/>
  </ds:schemaRefs>
</ds:datastoreItem>
</file>

<file path=customXml/itemProps4.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6701</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2020-03-18T15:14:00Z</dcterms:created>
  <dcterms:modified xsi:type="dcterms:W3CDTF">2020-06-14T18:22:00Z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