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E5354" w:rsidRPr="000754FA" w14:paraId="2302738E" w14:textId="77777777" w:rsidTr="00FE402D">
        <w:trPr>
          <w:trHeight w:hRule="exact" w:val="590"/>
        </w:trPr>
        <w:tc>
          <w:tcPr>
            <w:tcW w:w="9490" w:type="dxa"/>
            <w:vAlign w:val="center"/>
          </w:tcPr>
          <w:p w14:paraId="0BCF1918" w14:textId="77777777" w:rsidR="006E5354" w:rsidRPr="000754FA" w:rsidRDefault="006E5354" w:rsidP="00FE402D">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7285DD0E" wp14:editId="147E54BB">
                      <wp:simplePos x="0" y="0"/>
                      <wp:positionH relativeFrom="column">
                        <wp:posOffset>-80010</wp:posOffset>
                      </wp:positionH>
                      <wp:positionV relativeFrom="paragraph">
                        <wp:posOffset>-19050</wp:posOffset>
                      </wp:positionV>
                      <wp:extent cx="5952490" cy="330200"/>
                      <wp:effectExtent l="0" t="0" r="0" b="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330200"/>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ED8B6F9" w14:textId="77777777" w:rsidR="006E5354" w:rsidRPr="00E03623" w:rsidRDefault="006E5354" w:rsidP="006E5354">
                                  <w:pPr>
                                    <w:pStyle w:val="AddendaHeading"/>
                                  </w:pPr>
                                  <w:bookmarkStart w:id="0" w:name="_Toc1571334"/>
                                  <w:r>
                                    <w:t>Valuation Methodology</w:t>
                                  </w:r>
                                  <w:bookmarkEnd w:id="0"/>
                                </w:p>
                                <w:p w14:paraId="1AF04155" w14:textId="77777777" w:rsidR="006E5354" w:rsidRPr="00E03623" w:rsidRDefault="006E5354" w:rsidP="006E5354">
                                  <w:pPr>
                                    <w:pStyle w:val="TOC1"/>
                                  </w:pPr>
                                </w:p>
                                <w:p w14:paraId="0E070950" w14:textId="77777777" w:rsidR="006E5354" w:rsidRPr="00883365" w:rsidRDefault="006E5354" w:rsidP="006E5354">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85DD0E" id="_x0000_t202" coordsize="21600,21600" o:spt="202" path="m,l,21600r21600,l21600,xe">
                      <v:stroke joinstyle="miter"/>
                      <v:path gradientshapeok="t" o:connecttype="rect"/>
                    </v:shapetype>
                    <v:shape id="Text Box 2" o:spid="_x0000_s1026" type="#_x0000_t202" style="position:absolute;margin-left:-6.3pt;margin-top:-1.5pt;width:468.7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" fillcolor="#1c4554" stroked="f">
                      <v:fill color2="#e3e3e3" angle="45" colors="0 #1c4554;51118f #1c4554" focus="100%" type="gradient">
                        <o:fill v:ext="view" type="gradientUnscaled"/>
                      </v:fill>
                      <v:textbox>
                        <w:txbxContent>
                          <w:p w14:paraId="3ED8B6F9" w14:textId="77777777" w:rsidR="006E5354" w:rsidRPr="00E03623" w:rsidRDefault="006E5354" w:rsidP="006E5354">
                            <w:pPr>
                              <w:pStyle w:val="AddendaHeading"/>
                            </w:pPr>
                            <w:bookmarkStart w:id="1" w:name="_Toc1571334"/>
                            <w:r>
                              <w:t>Valuation Methodology</w:t>
                            </w:r>
                            <w:bookmarkEnd w:id="1"/>
                          </w:p>
                          <w:p w14:paraId="1AF04155" w14:textId="77777777" w:rsidR="006E5354" w:rsidRPr="00E03623" w:rsidRDefault="006E5354" w:rsidP="006E5354">
                            <w:pPr>
                              <w:pStyle w:val="TOC1"/>
                            </w:pPr>
                          </w:p>
                          <w:p w14:paraId="0E070950" w14:textId="77777777" w:rsidR="006E5354" w:rsidRPr="00883365" w:rsidRDefault="006E5354" w:rsidP="006E5354">
                            <w:pPr>
                              <w:rPr>
                                <w:rFonts w:ascii="Arial Narrow" w:hAnsi="Arial Narrow" w:cs="Arial"/>
                                <w:smallCaps/>
                                <w:color w:val="1E4959"/>
                                <w:sz w:val="28"/>
                                <w:szCs w:val="28"/>
                              </w:rPr>
                            </w:pPr>
                          </w:p>
                        </w:txbxContent>
                      </v:textbox>
                    </v:shape>
                  </w:pict>
                </mc:Fallback>
              </mc:AlternateContent>
            </w:r>
            <w:r w:rsidRPr="000754FA">
              <w:rPr>
                <w:szCs w:val="22"/>
              </w:rPr>
              <w:tab/>
            </w:r>
          </w:p>
        </w:tc>
      </w:tr>
    </w:tbl>
    <w:p w14:paraId="3017CD27" w14:textId="77777777" w:rsidR="006E5354" w:rsidRPr="000754FA" w:rsidRDefault="006E5354" w:rsidP="006E5354">
      <w:pPr>
        <w:pStyle w:val="Heading30"/>
        <w:rPr>
          <w:rFonts w:cs="Arial"/>
          <w:color w:val="1E4959"/>
          <w:kern w:val="20"/>
          <w:sz w:val="28"/>
          <w:szCs w:val="22"/>
          <w:u w:val="none"/>
        </w:rPr>
      </w:pPr>
      <w:r w:rsidRPr="000754FA">
        <w:rPr>
          <w:rFonts w:cs="Arial"/>
          <w:color w:val="1E4959"/>
          <w:kern w:val="20"/>
          <w:sz w:val="28"/>
          <w:szCs w:val="22"/>
          <w:u w:val="none"/>
        </w:rPr>
        <w:t>Three Approaches to Value</w:t>
      </w:r>
    </w:p>
    <w:p w14:paraId="1C261E59" w14:textId="77777777" w:rsidR="006E5354" w:rsidRPr="00040452" w:rsidRDefault="006E5354" w:rsidP="006E5354">
      <w:pPr>
        <w:rPr>
          <w:rFonts w:cs="Arial"/>
          <w:szCs w:val="22"/>
        </w:rPr>
      </w:pPr>
      <w:r w:rsidRPr="00040452">
        <w:rPr>
          <w:rFonts w:cs="Arial"/>
          <w:szCs w:val="22"/>
        </w:rPr>
        <w:t xml:space="preserve">There are three traditional approaches typically available to develop indications of real property value: the Cost, Sales Comparison, and Income Capitalization Approaches. </w:t>
      </w:r>
      <w:r>
        <w:rPr>
          <w:rFonts w:cs="Arial"/>
          <w:szCs w:val="22"/>
        </w:rPr>
        <w:t xml:space="preserve"> </w:t>
      </w:r>
    </w:p>
    <w:p w14:paraId="7D66F340" w14:textId="77777777" w:rsidR="006E5354" w:rsidRPr="00040452" w:rsidRDefault="006E5354" w:rsidP="006E5354">
      <w:pPr>
        <w:pStyle w:val="Heading30"/>
        <w:rPr>
          <w:rFonts w:cs="Arial"/>
          <w:color w:val="1E4959"/>
          <w:kern w:val="20"/>
          <w:sz w:val="24"/>
          <w:szCs w:val="22"/>
        </w:rPr>
      </w:pPr>
      <w:r w:rsidRPr="00040452">
        <w:rPr>
          <w:rFonts w:cs="Arial"/>
          <w:color w:val="1E4959"/>
          <w:kern w:val="20"/>
          <w:sz w:val="24"/>
          <w:szCs w:val="22"/>
        </w:rPr>
        <w:t>Cost Approach</w:t>
      </w:r>
    </w:p>
    <w:p w14:paraId="718EE3EB" w14:textId="77777777" w:rsidR="006E5354" w:rsidRPr="00040452" w:rsidRDefault="006E5354" w:rsidP="006E5354">
      <w:pPr>
        <w:rPr>
          <w:rFonts w:cs="Arial"/>
          <w:szCs w:val="22"/>
        </w:rPr>
      </w:pPr>
      <w:r w:rsidRPr="00040452">
        <w:rPr>
          <w:rFonts w:cs="Arial"/>
          <w:szCs w:val="22"/>
        </w:rPr>
        <w:t>The Cost Approach is based upon the principle that a prudent purchaser would pay no more for a property than the cost to purchase a similar site and construct similar improvements without undue delay, producing a property of equal desirability and utility. This approach is particularly applicable when the improvements being appraised are relatively new or proposed, or when the improvements are so specialized that there are too few comparable sales to develop a credible Sales Comparison Approach analysis.</w:t>
      </w:r>
    </w:p>
    <w:p w14:paraId="11CAB060" w14:textId="77777777" w:rsidR="006E5354" w:rsidRPr="00040452" w:rsidRDefault="006E5354" w:rsidP="006E5354">
      <w:pPr>
        <w:pStyle w:val="Heading30"/>
        <w:rPr>
          <w:rFonts w:cs="Arial"/>
          <w:color w:val="1E4959"/>
          <w:kern w:val="20"/>
          <w:sz w:val="24"/>
          <w:szCs w:val="22"/>
        </w:rPr>
      </w:pPr>
      <w:r w:rsidRPr="00040452">
        <w:rPr>
          <w:rFonts w:cs="Arial"/>
          <w:color w:val="1E4959"/>
          <w:kern w:val="20"/>
          <w:sz w:val="24"/>
          <w:szCs w:val="22"/>
        </w:rPr>
        <w:t>Sales Comparison Approach</w:t>
      </w:r>
    </w:p>
    <w:p w14:paraId="27DD0C0C" w14:textId="77777777" w:rsidR="006E5354" w:rsidRPr="00040452" w:rsidRDefault="006E5354" w:rsidP="006E5354">
      <w:pPr>
        <w:rPr>
          <w:rFonts w:cs="Arial"/>
          <w:szCs w:val="22"/>
        </w:rPr>
      </w:pPr>
      <w:r w:rsidRPr="00040452">
        <w:rPr>
          <w:rFonts w:cs="Arial"/>
          <w:szCs w:val="22"/>
        </w:rPr>
        <w:t>In the Sales Comparison Approach, the appraiser analyzes sales and listings of similar properties, adjusting for differences between the subject property and the comparable properties. This method can be useful for valuing general purpose properties or vacant land. For improved properties, it is particularly applicable when there is an active sales market for the property type being appraised – either by owner-users or investors.</w:t>
      </w:r>
    </w:p>
    <w:p w14:paraId="6623F289" w14:textId="77777777" w:rsidR="006E5354" w:rsidRPr="00040452" w:rsidRDefault="006E5354" w:rsidP="006E5354">
      <w:pPr>
        <w:pStyle w:val="Heading30"/>
        <w:rPr>
          <w:rFonts w:cs="Arial"/>
          <w:color w:val="1E4959"/>
          <w:kern w:val="20"/>
          <w:sz w:val="24"/>
          <w:szCs w:val="22"/>
        </w:rPr>
      </w:pPr>
      <w:r w:rsidRPr="00040452">
        <w:rPr>
          <w:rFonts w:cs="Arial"/>
          <w:color w:val="1E4959"/>
          <w:kern w:val="20"/>
          <w:sz w:val="24"/>
          <w:szCs w:val="22"/>
        </w:rPr>
        <w:t>Income Capitalization Approach</w:t>
      </w:r>
    </w:p>
    <w:p w14:paraId="0C1C6B3B" w14:textId="77777777" w:rsidR="006E5354" w:rsidRPr="00040452" w:rsidRDefault="006E5354" w:rsidP="006E5354">
      <w:pPr>
        <w:rPr>
          <w:rFonts w:cs="Arial"/>
          <w:szCs w:val="22"/>
        </w:rPr>
      </w:pPr>
      <w:r w:rsidRPr="00040452">
        <w:rPr>
          <w:rFonts w:cs="Arial"/>
          <w:szCs w:val="22"/>
        </w:rPr>
        <w:t>The Income Capitalization Approach is based on the principle that a prudent investor will pay no more for the property than for another investment of similar risk and cash flow characteristics. The Income Capitalization Approach is widely used and relied upon in appraising income-producing properties, especially those for which there is an active investment sales market.</w:t>
      </w:r>
    </w:p>
    <w:p w14:paraId="394A7AC5" w14:textId="77777777" w:rsidR="006E5354" w:rsidRPr="000754FA" w:rsidRDefault="006E5354" w:rsidP="006E5354">
      <w:pPr>
        <w:keepNext/>
        <w:keepLines/>
        <w:spacing w:before="260"/>
        <w:outlineLvl w:val="1"/>
        <w:rPr>
          <w:rFonts w:cs="Arial"/>
          <w:bCs/>
          <w:iCs/>
          <w:color w:val="1E4959"/>
          <w:sz w:val="28"/>
          <w:szCs w:val="22"/>
        </w:rPr>
      </w:pPr>
      <w:r w:rsidRPr="00040452">
        <w:rPr>
          <w:rFonts w:cs="Arial"/>
          <w:bCs/>
          <w:color w:val="1E4959"/>
          <w:sz w:val="28"/>
          <w:szCs w:val="22"/>
        </w:rPr>
        <w:t>Subject Valuation</w:t>
      </w:r>
    </w:p>
    <w:p w14:paraId="7954A437" w14:textId="77777777" w:rsidR="006E5354" w:rsidRPr="00EE36B3" w:rsidRDefault="006E5354" w:rsidP="006E5354">
      <w:pPr>
        <w:rPr>
          <w:rFonts w:cs="Arial"/>
          <w:color w:val="000000"/>
          <w:szCs w:val="22"/>
        </w:rPr>
      </w:pPr>
      <w:r w:rsidRPr="00EE36B3">
        <w:rPr>
          <w:rFonts w:cs="Arial"/>
          <w:color w:val="000000"/>
          <w:szCs w:val="22"/>
        </w:rPr>
        <w:t>In this appraisal, two traditional approaches to value are used to determine the subject's as is market value (as encumbered by the ground lease) of the leased fee interest; which reflect the Income Capitalization and Sales Comparison Approaches.  Due to the age of the improvements and very long remaining duration of the ground lease, a Cost Approach was not deemed applicable in this appraisal.</w:t>
      </w:r>
    </w:p>
    <w:p w14:paraId="3F2CCB37" w14:textId="77777777" w:rsidR="006E5354" w:rsidRPr="00EE36B3" w:rsidRDefault="006E5354" w:rsidP="006E5354">
      <w:pPr>
        <w:rPr>
          <w:rFonts w:cs="Arial"/>
          <w:color w:val="000000"/>
          <w:szCs w:val="22"/>
        </w:rPr>
      </w:pPr>
    </w:p>
    <w:p w14:paraId="347CD2ED" w14:textId="77777777" w:rsidR="006E5354" w:rsidRPr="00EE36B3" w:rsidRDefault="006E5354" w:rsidP="006E5354">
      <w:pPr>
        <w:rPr>
          <w:rFonts w:cs="Arial"/>
          <w:color w:val="000000"/>
          <w:szCs w:val="22"/>
        </w:rPr>
      </w:pPr>
      <w:r w:rsidRPr="00EE36B3">
        <w:rPr>
          <w:rFonts w:cs="Arial"/>
          <w:color w:val="000000"/>
          <w:szCs w:val="22"/>
        </w:rPr>
        <w:t xml:space="preserve">As the scope of this appraisal is to estimate the market value of the subject leased fee interest, and given the lack of such ground leased fee sales from our research, it was initially necessary to appraise the fee simple interest in the subject land.  Thus, in following Section 1 – Fee Simple Land Valuation, only the Sales Comparison Approach is used to estimate the underlying land value.  </w:t>
      </w:r>
    </w:p>
    <w:p w14:paraId="33B48EB0" w14:textId="77777777" w:rsidR="006E5354" w:rsidRPr="00EE36B3" w:rsidRDefault="006E5354" w:rsidP="006E5354">
      <w:pPr>
        <w:rPr>
          <w:rFonts w:cs="Arial"/>
          <w:color w:val="000000"/>
          <w:szCs w:val="22"/>
        </w:rPr>
      </w:pPr>
    </w:p>
    <w:p w14:paraId="30D2BF72" w14:textId="45BFB461" w:rsidR="006E5354" w:rsidRPr="00EE36B3" w:rsidRDefault="006E5354" w:rsidP="006E5354">
      <w:pPr>
        <w:rPr>
          <w:rFonts w:cs="Arial"/>
          <w:color w:val="000000"/>
          <w:szCs w:val="22"/>
        </w:rPr>
      </w:pPr>
      <w:r w:rsidRPr="00EE36B3">
        <w:rPr>
          <w:rFonts w:cs="Arial"/>
          <w:color w:val="000000"/>
          <w:szCs w:val="22"/>
        </w:rPr>
        <w:t xml:space="preserve">Next in Section 2 –Leased Fee Valuation, we will estimate the market value of the subject leased fee interest via a series of analyses, first involving an allocation </w:t>
      </w:r>
      <w:r>
        <w:rPr>
          <w:rFonts w:cs="Arial"/>
          <w:color w:val="000000"/>
          <w:szCs w:val="22"/>
        </w:rPr>
        <w:t>for</w:t>
      </w:r>
      <w:r w:rsidRPr="00EE36B3">
        <w:rPr>
          <w:rFonts w:cs="Arial"/>
          <w:color w:val="000000"/>
          <w:szCs w:val="22"/>
        </w:rPr>
        <w:t xml:space="preserve"> the lessee’s </w:t>
      </w:r>
      <w:r>
        <w:rPr>
          <w:rFonts w:cs="Arial"/>
          <w:color w:val="000000"/>
          <w:szCs w:val="22"/>
        </w:rPr>
        <w:t>posi</w:t>
      </w:r>
      <w:r w:rsidRPr="00EE36B3">
        <w:rPr>
          <w:rFonts w:cs="Arial"/>
          <w:color w:val="000000"/>
          <w:szCs w:val="22"/>
        </w:rPr>
        <w:t xml:space="preserve">tive </w:t>
      </w:r>
      <w:r>
        <w:rPr>
          <w:rFonts w:cs="Arial"/>
          <w:color w:val="000000"/>
          <w:szCs w:val="22"/>
        </w:rPr>
        <w:t xml:space="preserve">or negative </w:t>
      </w:r>
      <w:r w:rsidRPr="00EE36B3">
        <w:rPr>
          <w:rFonts w:cs="Arial"/>
          <w:color w:val="000000"/>
          <w:szCs w:val="22"/>
        </w:rPr>
        <w:t xml:space="preserve">leasehold interest </w:t>
      </w:r>
      <w:r>
        <w:rPr>
          <w:rFonts w:cs="Arial"/>
          <w:color w:val="000000"/>
          <w:szCs w:val="22"/>
        </w:rPr>
        <w:t>and deducting or adding amount relative to the</w:t>
      </w:r>
      <w:r w:rsidRPr="00EE36B3">
        <w:rPr>
          <w:rFonts w:cs="Arial"/>
          <w:color w:val="000000"/>
          <w:szCs w:val="22"/>
        </w:rPr>
        <w:t xml:space="preserve"> concluded fee simple land value in arriving at a subject leased fee value estimate.  </w:t>
      </w:r>
      <w:r>
        <w:rPr>
          <w:rFonts w:cs="Arial"/>
          <w:color w:val="000000"/>
          <w:szCs w:val="22"/>
        </w:rPr>
        <w:t>Alternatively</w:t>
      </w:r>
      <w:r w:rsidRPr="00EE36B3">
        <w:rPr>
          <w:rFonts w:cs="Arial"/>
          <w:color w:val="000000"/>
          <w:szCs w:val="22"/>
        </w:rPr>
        <w:t xml:space="preserve">, this will be cross-checked with a discounted cash flow analysis involving the projection of the contract rent payable on the underlying ground lease over the remaining term of the ground lease, and discounting this cash flow plus the reversionary interest in the subject land back to a present value equating </w:t>
      </w:r>
      <w:r>
        <w:rPr>
          <w:rFonts w:cs="Arial"/>
          <w:color w:val="000000"/>
          <w:szCs w:val="22"/>
        </w:rPr>
        <w:t xml:space="preserve">another value estimate of </w:t>
      </w:r>
      <w:r w:rsidRPr="00EE36B3">
        <w:rPr>
          <w:rFonts w:cs="Arial"/>
          <w:color w:val="000000"/>
          <w:szCs w:val="22"/>
        </w:rPr>
        <w:t xml:space="preserve">the leased fee interest. </w:t>
      </w:r>
    </w:p>
    <w:p w14:paraId="20073329" w14:textId="77777777" w:rsidR="006E5354" w:rsidRPr="00EE36B3" w:rsidRDefault="006E5354" w:rsidP="006E5354">
      <w:pPr>
        <w:rPr>
          <w:rFonts w:cs="Arial"/>
          <w:color w:val="000000"/>
          <w:szCs w:val="22"/>
        </w:rPr>
      </w:pPr>
    </w:p>
    <w:p w14:paraId="42A77649" w14:textId="6E5A4828" w:rsidR="006E5354" w:rsidRDefault="006E5354" w:rsidP="006E5354">
      <w:pPr>
        <w:rPr>
          <w:rFonts w:cs="Arial"/>
          <w:color w:val="000000"/>
          <w:szCs w:val="22"/>
        </w:rPr>
      </w:pPr>
      <w:r w:rsidRPr="00EE36B3">
        <w:rPr>
          <w:rFonts w:cs="Arial"/>
          <w:color w:val="000000"/>
          <w:szCs w:val="22"/>
        </w:rPr>
        <w:lastRenderedPageBreak/>
        <w:t>Finally, in Section 3 – Reconciliation and Final Conclusion, these two value estimates will be reconciled into a final as is market value of the subject lease fee interest.</w:t>
      </w:r>
    </w:p>
    <w:p w14:paraId="2D719AB9" w14:textId="77777777" w:rsidR="006E5354" w:rsidRDefault="006E5354" w:rsidP="006E5354">
      <w:pPr>
        <w:rPr>
          <w:rFonts w:eastAsia="Calibri" w:cs="Arial"/>
          <w:color w:val="000000"/>
          <w:szCs w:val="22"/>
        </w:rPr>
        <w:sectPr w:rsidR="006E5354" w:rsidSect="00922672">
          <w:headerReference w:type="default" r:id="rId11"/>
          <w:footerReference w:type="default" r:id="rId12"/>
          <w:pgSz w:w="12240" w:h="15840" w:code="1"/>
          <w:pgMar w:top="1440" w:right="1440" w:bottom="720" w:left="1440" w:header="720" w:footer="720" w:gutter="0"/>
          <w:cols w:space="720"/>
          <w:docGrid w:linePitch="360"/>
        </w:sectPr>
      </w:pPr>
    </w:p>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E5354" w:rsidRPr="000754FA" w14:paraId="6FF26101" w14:textId="77777777" w:rsidTr="00FE402D">
        <w:trPr>
          <w:trHeight w:hRule="exact" w:val="590"/>
        </w:trPr>
        <w:tc>
          <w:tcPr>
            <w:tcW w:w="9490" w:type="dxa"/>
            <w:vAlign w:val="center"/>
          </w:tcPr>
          <w:bookmarkStart w:id="1" w:name="_Toc406413179"/>
          <w:bookmarkStart w:id="2" w:name="_Toc403652331"/>
          <w:bookmarkStart w:id="3" w:name="_Toc426112518"/>
          <w:bookmarkStart w:id="4" w:name="_Toc432410483"/>
          <w:p w14:paraId="7A497AA1" w14:textId="77777777" w:rsidR="006E5354" w:rsidRPr="000754FA" w:rsidRDefault="006E5354" w:rsidP="00FE402D">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w:lastRenderedPageBreak/>
              <mc:AlternateContent>
                <mc:Choice Requires="wps">
                  <w:drawing>
                    <wp:anchor distT="0" distB="0" distL="114300" distR="114300" simplePos="0" relativeHeight="251662336" behindDoc="0" locked="0" layoutInCell="1" allowOverlap="1" wp14:anchorId="4D853A1D" wp14:editId="0B133C83">
                      <wp:simplePos x="0" y="0"/>
                      <wp:positionH relativeFrom="column">
                        <wp:posOffset>-64770</wp:posOffset>
                      </wp:positionH>
                      <wp:positionV relativeFrom="paragraph">
                        <wp:posOffset>-14605</wp:posOffset>
                      </wp:positionV>
                      <wp:extent cx="5943600" cy="330200"/>
                      <wp:effectExtent l="0" t="0" r="0" b="0"/>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0200"/>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EFCF4B7" w14:textId="77777777" w:rsidR="006E5354" w:rsidRPr="00E03623" w:rsidRDefault="006E5354" w:rsidP="006E5354">
                                  <w:pPr>
                                    <w:pStyle w:val="AddendaHeading"/>
                                  </w:pPr>
                                  <w:bookmarkStart w:id="5" w:name="_Toc1571335"/>
                                  <w:r w:rsidRPr="00F10548">
                                    <w:t>Section 1 – Fee Simple Land Valuation</w:t>
                                  </w:r>
                                  <w:bookmarkEnd w:id="5"/>
                                </w:p>
                                <w:p w14:paraId="0944E23B" w14:textId="77777777" w:rsidR="006E5354" w:rsidRPr="00E03623" w:rsidRDefault="006E5354" w:rsidP="006E5354">
                                  <w:pPr>
                                    <w:pStyle w:val="TOC1"/>
                                  </w:pPr>
                                </w:p>
                                <w:p w14:paraId="32A7AB6E" w14:textId="77777777" w:rsidR="006E5354" w:rsidRPr="00883365" w:rsidRDefault="006E5354" w:rsidP="006E5354">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53A1D" id="_x0000_s1027" type="#_x0000_t202" style="position:absolute;margin-left:-5.1pt;margin-top:-1.15pt;width:468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" fillcolor="#1c4554" stroked="f">
                      <v:fill color2="#e3e3e3" angle="45" colors="0 #1c4554;51118f #1c4554" focus="100%" type="gradient">
                        <o:fill v:ext="view" type="gradientUnscaled"/>
                      </v:fill>
                      <v:textbox>
                        <w:txbxContent>
                          <w:p w14:paraId="3EFCF4B7" w14:textId="77777777" w:rsidR="006E5354" w:rsidRPr="00E03623" w:rsidRDefault="006E5354" w:rsidP="006E5354">
                            <w:pPr>
                              <w:pStyle w:val="AddendaHeading"/>
                            </w:pPr>
                            <w:bookmarkStart w:id="7" w:name="_Toc1571335"/>
                            <w:r w:rsidRPr="00F10548">
                              <w:t>Section 1 – Fee Simple Land Valuation</w:t>
                            </w:r>
                            <w:bookmarkEnd w:id="7"/>
                          </w:p>
                          <w:p w14:paraId="0944E23B" w14:textId="77777777" w:rsidR="006E5354" w:rsidRPr="00E03623" w:rsidRDefault="006E5354" w:rsidP="006E5354">
                            <w:pPr>
                              <w:pStyle w:val="TOC1"/>
                            </w:pPr>
                          </w:p>
                          <w:p w14:paraId="32A7AB6E" w14:textId="77777777" w:rsidR="006E5354" w:rsidRPr="00883365" w:rsidRDefault="006E5354" w:rsidP="006E5354">
                            <w:pPr>
                              <w:rPr>
                                <w:rFonts w:ascii="Arial Narrow" w:hAnsi="Arial Narrow" w:cs="Arial"/>
                                <w:smallCaps/>
                                <w:color w:val="1E4959"/>
                                <w:sz w:val="28"/>
                                <w:szCs w:val="28"/>
                              </w:rPr>
                            </w:pPr>
                          </w:p>
                        </w:txbxContent>
                      </v:textbox>
                    </v:shape>
                  </w:pict>
                </mc:Fallback>
              </mc:AlternateContent>
            </w:r>
            <w:r w:rsidRPr="000754FA">
              <w:rPr>
                <w:szCs w:val="22"/>
              </w:rPr>
              <w:tab/>
            </w:r>
          </w:p>
        </w:tc>
      </w:tr>
    </w:tbl>
    <w:bookmarkEnd w:id="1"/>
    <w:bookmarkEnd w:id="2"/>
    <w:bookmarkEnd w:id="3"/>
    <w:bookmarkEnd w:id="4"/>
    <w:p w14:paraId="40806092" w14:textId="77777777" w:rsidR="006E5354" w:rsidRPr="000754FA" w:rsidRDefault="006E5354" w:rsidP="006E5354">
      <w:pPr>
        <w:keepNext/>
        <w:keepLines/>
        <w:spacing w:before="260"/>
        <w:outlineLvl w:val="1"/>
        <w:rPr>
          <w:rFonts w:cs="Arial"/>
          <w:bCs/>
          <w:color w:val="1E4959"/>
          <w:sz w:val="28"/>
          <w:szCs w:val="22"/>
        </w:rPr>
      </w:pPr>
      <w:r w:rsidRPr="000754FA">
        <w:rPr>
          <w:rFonts w:cs="Arial"/>
          <w:bCs/>
          <w:color w:val="1E4959"/>
          <w:sz w:val="28"/>
          <w:szCs w:val="22"/>
        </w:rPr>
        <w:t>Methodology</w:t>
      </w:r>
    </w:p>
    <w:p w14:paraId="18058899" w14:textId="77777777" w:rsidR="006E5354" w:rsidRPr="000754FA" w:rsidRDefault="006E5354" w:rsidP="006E5354">
      <w:pPr>
        <w:rPr>
          <w:rFonts w:eastAsia="Calibri" w:cs="Arial"/>
          <w:bCs/>
          <w:iCs/>
          <w:color w:val="000000"/>
          <w:szCs w:val="22"/>
        </w:rPr>
      </w:pPr>
      <w:r w:rsidRPr="000754FA">
        <w:rPr>
          <w:rFonts w:eastAsia="Calibri" w:cs="Arial"/>
          <w:bCs/>
          <w:iCs/>
          <w:color w:val="000000"/>
          <w:szCs w:val="22"/>
        </w:rPr>
        <w:t>Land is most often valued using the Sales Comparison Approach. The opinion of market value is based on an analysis of sales, listings and pending sales of properties similar to the subject property, using the most relevant units of comparison. The comparative analysis focuses on the difference between the comparable sales and the subject property using all appropriate elements of comparison.</w:t>
      </w:r>
    </w:p>
    <w:p w14:paraId="27561AF8" w14:textId="77777777" w:rsidR="006E5354" w:rsidRPr="000754FA" w:rsidRDefault="006E5354" w:rsidP="006E5354">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Unit of Comparison</w:t>
      </w:r>
    </w:p>
    <w:p w14:paraId="2D555737" w14:textId="77777777" w:rsidR="006E5354" w:rsidRPr="000754FA" w:rsidRDefault="006E5354" w:rsidP="006E5354">
      <w:pPr>
        <w:rPr>
          <w:rFonts w:eastAsia="Calibri" w:cs="Arial"/>
          <w:bCs/>
          <w:iCs/>
          <w:color w:val="000000"/>
          <w:szCs w:val="22"/>
        </w:rPr>
      </w:pPr>
      <w:r w:rsidRPr="005365C5">
        <w:rPr>
          <w:rFonts w:eastAsia="Calibri" w:cs="Arial"/>
          <w:bCs/>
          <w:iCs/>
          <w:color w:val="000000"/>
          <w:szCs w:val="22"/>
        </w:rPr>
        <w:t xml:space="preserve">Commercial zoned land in the subject market area is typically valued using either the price per square foot, or price per acre unit of comparison (after deducting any unusable portions).  Due to its more common usage by buyers and sellers in the greater </w:t>
      </w:r>
      <w:r>
        <w:rPr>
          <w:rFonts w:eastAsia="Calibri" w:cs="Arial"/>
          <w:bCs/>
          <w:iCs/>
          <w:color w:val="000000"/>
          <w:szCs w:val="22"/>
        </w:rPr>
        <w:t>Salem metro</w:t>
      </w:r>
      <w:r w:rsidRPr="005365C5">
        <w:rPr>
          <w:rFonts w:eastAsia="Calibri" w:cs="Arial"/>
          <w:bCs/>
          <w:iCs/>
          <w:color w:val="000000"/>
          <w:szCs w:val="22"/>
        </w:rPr>
        <w:t xml:space="preserve"> market area, the price per square foot unit of comparison is used in this analysis.</w:t>
      </w:r>
    </w:p>
    <w:p w14:paraId="3DFF9885" w14:textId="77777777" w:rsidR="006E5354" w:rsidRPr="000754FA" w:rsidRDefault="006E5354" w:rsidP="006E5354">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Elements of Comparison</w:t>
      </w:r>
    </w:p>
    <w:p w14:paraId="118B015C" w14:textId="77777777" w:rsidR="006E5354" w:rsidRPr="000754FA" w:rsidRDefault="006E5354" w:rsidP="006E5354">
      <w:pPr>
        <w:rPr>
          <w:rFonts w:eastAsia="Calibri" w:cs="Arial"/>
          <w:bCs/>
          <w:iCs/>
          <w:color w:val="000000"/>
          <w:szCs w:val="22"/>
        </w:rPr>
      </w:pPr>
      <w:r w:rsidRPr="000754FA">
        <w:rPr>
          <w:rFonts w:eastAsia="Calibri" w:cs="Arial"/>
          <w:bCs/>
          <w:iCs/>
          <w:color w:val="000000"/>
          <w:szCs w:val="22"/>
        </w:rPr>
        <w:t>Elements of comparison are the characteristics or attributes of properties and transactions that cause the prices of real estate to vary. The main elements of comparison that are considered in sales comparison analysis are as follows: (1) real property rights conveyed, (2) financing terms, (3) conditions of sale, (4) expenditures made immediately after purchase, (5) market conditions, (6) location and (7) physical characteristics.</w:t>
      </w:r>
    </w:p>
    <w:p w14:paraId="1CBFCE23" w14:textId="77777777" w:rsidR="006E5354" w:rsidRPr="000754FA" w:rsidRDefault="006E5354" w:rsidP="006E5354">
      <w:pPr>
        <w:keepNext/>
        <w:numPr>
          <w:ilvl w:val="1"/>
          <w:numId w:val="0"/>
        </w:numPr>
        <w:spacing w:before="200"/>
        <w:outlineLvl w:val="2"/>
        <w:rPr>
          <w:rFonts w:eastAsiaTheme="majorEastAsia" w:cs="Arial"/>
          <w:bCs/>
          <w:color w:val="1E4959"/>
          <w:sz w:val="24"/>
          <w:szCs w:val="22"/>
          <w:u w:val="single"/>
        </w:rPr>
      </w:pPr>
      <w:r w:rsidRPr="000754FA">
        <w:rPr>
          <w:rFonts w:eastAsiaTheme="majorEastAsia" w:cs="Arial"/>
          <w:bCs/>
          <w:color w:val="1E4959"/>
          <w:sz w:val="24"/>
          <w:szCs w:val="22"/>
          <w:u w:val="single"/>
        </w:rPr>
        <w:t>Sale Adjustments</w:t>
      </w:r>
    </w:p>
    <w:p w14:paraId="0553D289" w14:textId="77777777" w:rsidR="006E5354" w:rsidRPr="00CE67DE" w:rsidRDefault="006E5354" w:rsidP="006E5354">
      <w:pPr>
        <w:widowControl w:val="0"/>
        <w:rPr>
          <w:rFonts w:cs="Arial"/>
          <w:szCs w:val="22"/>
        </w:rPr>
      </w:pPr>
      <w:r w:rsidRPr="00CE67DE">
        <w:rPr>
          <w:rFonts w:cs="Arial"/>
          <w:szCs w:val="22"/>
        </w:rPr>
        <w:t xml:space="preserve">When applicable, the comparables are adjusted for property rights conveyed, financing terms, conditions of sale, market conditions, location, and physical characteristics.  After adjustments, analysis reflecting market behavior is used to determine which comparables are superior or inferior to the subject after considering the remaining characteristics that could not be accounted for in the adjustment process. This analysis establishes value parameters for the subject, allowing for a final conclusion of value. </w:t>
      </w:r>
    </w:p>
    <w:p w14:paraId="7BC07F9F" w14:textId="77777777" w:rsidR="006E5354" w:rsidRDefault="006E5354" w:rsidP="006E5354">
      <w:pPr>
        <w:widowControl w:val="0"/>
        <w:rPr>
          <w:rFonts w:cs="Arial"/>
          <w:szCs w:val="22"/>
        </w:rPr>
      </w:pPr>
    </w:p>
    <w:p w14:paraId="22ECFD43" w14:textId="722885FE" w:rsidR="006E5354" w:rsidRDefault="006E5354" w:rsidP="006E5354">
      <w:pPr>
        <w:widowControl w:val="0"/>
        <w:rPr>
          <w:rFonts w:cs="Arial"/>
          <w:szCs w:val="22"/>
        </w:rPr>
      </w:pPr>
      <w:r w:rsidRPr="00D410F0">
        <w:rPr>
          <w:rFonts w:cs="Arial"/>
          <w:szCs w:val="22"/>
          <w:highlight w:val="yellow"/>
          <w:u w:val="single"/>
        </w:rPr>
        <w:t>Land Sale 1</w:t>
      </w:r>
      <w:r w:rsidRPr="00D410F0">
        <w:rPr>
          <w:rFonts w:cs="Arial"/>
          <w:szCs w:val="22"/>
          <w:highlight w:val="yellow"/>
        </w:rPr>
        <w:t xml:space="preserve"> was adjusted upward </w:t>
      </w:r>
      <w:r w:rsidR="00D410F0" w:rsidRPr="00D410F0">
        <w:rPr>
          <w:rFonts w:cs="Arial"/>
          <w:szCs w:val="22"/>
          <w:highlight w:val="yellow"/>
        </w:rPr>
        <w:t>/ downward …. Etc. etc.</w:t>
      </w:r>
      <w:r>
        <w:t xml:space="preserve">  </w:t>
      </w:r>
    </w:p>
    <w:p w14:paraId="78BCA89C" w14:textId="77777777" w:rsidR="006E5354" w:rsidRPr="00CE67DE" w:rsidRDefault="006E5354" w:rsidP="006E5354">
      <w:pPr>
        <w:widowControl w:val="0"/>
        <w:rPr>
          <w:rFonts w:cs="Arial"/>
          <w:szCs w:val="22"/>
        </w:rPr>
      </w:pPr>
    </w:p>
    <w:p w14:paraId="789D6E7E" w14:textId="77777777" w:rsidR="006E5354" w:rsidRPr="00571DD3" w:rsidRDefault="006E5354" w:rsidP="006E5354">
      <w:pPr>
        <w:rPr>
          <w:rFonts w:cs="Arial"/>
          <w:szCs w:val="22"/>
        </w:rPr>
      </w:pPr>
      <w:r w:rsidRPr="00E35343">
        <w:rPr>
          <w:rFonts w:cs="Arial"/>
          <w:szCs w:val="22"/>
        </w:rPr>
        <w:t xml:space="preserve">No </w:t>
      </w:r>
      <w:r>
        <w:rPr>
          <w:rFonts w:cs="Arial"/>
          <w:szCs w:val="22"/>
        </w:rPr>
        <w:t xml:space="preserve">other </w:t>
      </w:r>
      <w:r w:rsidRPr="00E35343">
        <w:rPr>
          <w:rFonts w:cs="Arial"/>
          <w:szCs w:val="22"/>
        </w:rPr>
        <w:t>specific adjustments were made to the comparables’ sale prices; although qualitative economic and</w:t>
      </w:r>
      <w:r>
        <w:rPr>
          <w:rFonts w:cs="Arial"/>
          <w:szCs w:val="22"/>
        </w:rPr>
        <w:t xml:space="preserve"> </w:t>
      </w:r>
      <w:r w:rsidRPr="00E35343">
        <w:rPr>
          <w:rFonts w:cs="Arial"/>
          <w:szCs w:val="22"/>
        </w:rPr>
        <w:t>property characteristics adjustments are addressed in the following analysis.</w:t>
      </w:r>
    </w:p>
    <w:p w14:paraId="4AA4C17F" w14:textId="77777777" w:rsidR="006E5354" w:rsidRPr="00DF0ADC" w:rsidRDefault="006E5354" w:rsidP="006E5354">
      <w:pPr>
        <w:keepNext/>
        <w:numPr>
          <w:ilvl w:val="1"/>
          <w:numId w:val="0"/>
        </w:numPr>
        <w:spacing w:before="200"/>
        <w:outlineLvl w:val="2"/>
        <w:rPr>
          <w:rFonts w:eastAsiaTheme="majorEastAsia" w:cs="Arial"/>
          <w:bCs/>
          <w:color w:val="1E4959"/>
          <w:sz w:val="28"/>
          <w:szCs w:val="22"/>
        </w:rPr>
      </w:pPr>
      <w:r w:rsidRPr="00DF0ADC">
        <w:rPr>
          <w:rFonts w:eastAsiaTheme="majorEastAsia" w:cs="Arial"/>
          <w:bCs/>
          <w:color w:val="1E4959"/>
          <w:sz w:val="28"/>
          <w:szCs w:val="22"/>
        </w:rPr>
        <w:t>Land Valuation Analysis</w:t>
      </w:r>
    </w:p>
    <w:p w14:paraId="2DA00A5E" w14:textId="77777777" w:rsidR="006E5354" w:rsidRPr="00DF0ADC" w:rsidRDefault="006E5354" w:rsidP="006E5354">
      <w:pPr>
        <w:rPr>
          <w:rFonts w:eastAsia="Calibri" w:cs="Arial"/>
          <w:bCs/>
          <w:iCs/>
          <w:color w:val="000000"/>
          <w:szCs w:val="22"/>
        </w:rPr>
      </w:pPr>
      <w:r w:rsidRPr="00DF0ADC">
        <w:rPr>
          <w:rFonts w:eastAsia="Calibri" w:cs="Arial"/>
          <w:bCs/>
          <w:iCs/>
          <w:color w:val="000000"/>
          <w:szCs w:val="22"/>
        </w:rPr>
        <w:t xml:space="preserve">Presented on a following page is a summary chart of the selected land transaction data. Our research found there to be few recent, larger acreage, </w:t>
      </w:r>
      <w:r w:rsidRPr="009B53B1">
        <w:rPr>
          <w:rFonts w:eastAsia="Calibri" w:cs="Arial"/>
          <w:bCs/>
          <w:iCs/>
          <w:color w:val="000000"/>
          <w:szCs w:val="22"/>
          <w:highlight w:val="yellow"/>
        </w:rPr>
        <w:t>industrial</w:t>
      </w:r>
      <w:r w:rsidRPr="00DF0ADC">
        <w:rPr>
          <w:rFonts w:eastAsia="Calibri" w:cs="Arial"/>
          <w:bCs/>
          <w:iCs/>
          <w:color w:val="000000"/>
          <w:szCs w:val="22"/>
        </w:rPr>
        <w:t xml:space="preserve"> zoned land sales with commercial potential in the immediate Hillsboro area.  Hence, in order to gather enough recent land transactions, the appraiser was forced to expand our search to include reasonably similar submarkets as proxy in estimating the subject’s current land value.  </w:t>
      </w:r>
      <w:r w:rsidRPr="00545ED7">
        <w:rPr>
          <w:rFonts w:eastAsia="Calibri" w:cs="Arial"/>
          <w:bCs/>
          <w:iCs/>
          <w:color w:val="000000"/>
          <w:szCs w:val="22"/>
          <w:highlight w:val="yellow"/>
        </w:rPr>
        <w:t>This resulted in an array of commercial sales from throughout the Portland metro area, including the Tigard, Wilsonville, Sherwood and Wood Village areas</w:t>
      </w:r>
      <w:r w:rsidRPr="00DF0ADC">
        <w:rPr>
          <w:rFonts w:eastAsia="Calibri" w:cs="Arial"/>
          <w:bCs/>
          <w:iCs/>
          <w:color w:val="000000"/>
          <w:szCs w:val="22"/>
        </w:rPr>
        <w:t xml:space="preserve">. In aggregate, they were considered sufficiently comparable to render a reasonable estimate of land value.  </w:t>
      </w:r>
    </w:p>
    <w:p w14:paraId="6FBA7AD5" w14:textId="77777777" w:rsidR="006E5354" w:rsidRPr="00DF0ADC" w:rsidRDefault="006E5354" w:rsidP="006E5354">
      <w:pPr>
        <w:rPr>
          <w:rFonts w:eastAsia="Calibri" w:cs="Arial"/>
          <w:bCs/>
          <w:iCs/>
          <w:color w:val="000000"/>
          <w:szCs w:val="22"/>
        </w:rPr>
      </w:pPr>
    </w:p>
    <w:p w14:paraId="6007308B" w14:textId="2E8AC773" w:rsidR="006E5354" w:rsidRDefault="006E5354" w:rsidP="006E5354">
      <w:pPr>
        <w:rPr>
          <w:rFonts w:eastAsia="Calibri" w:cs="Arial"/>
          <w:bCs/>
          <w:iCs/>
          <w:color w:val="000000"/>
          <w:szCs w:val="22"/>
        </w:rPr>
      </w:pPr>
      <w:r w:rsidRPr="00DF0ADC">
        <w:t xml:space="preserve">The land sales occurred between </w:t>
      </w:r>
      <w:r w:rsidRPr="00D410F0">
        <w:rPr>
          <w:highlight w:val="yellow"/>
        </w:rPr>
        <w:t>July 2017</w:t>
      </w:r>
      <w:r w:rsidRPr="00DF0ADC">
        <w:t xml:space="preserve"> and </w:t>
      </w:r>
      <w:r w:rsidRPr="00D410F0">
        <w:rPr>
          <w:highlight w:val="yellow"/>
        </w:rPr>
        <w:t>December 2018</w:t>
      </w:r>
      <w:r w:rsidRPr="00DF0ADC">
        <w:t xml:space="preserve">, plus one </w:t>
      </w:r>
      <w:r>
        <w:t xml:space="preserve">deal pending for </w:t>
      </w:r>
      <w:r w:rsidRPr="00D410F0">
        <w:rPr>
          <w:highlight w:val="yellow"/>
        </w:rPr>
        <w:t>June 2019</w:t>
      </w:r>
      <w:r w:rsidRPr="00DF0ADC">
        <w:t>. These comparables indicate adjusted prices ranging widely from $</w:t>
      </w:r>
      <w:r w:rsidRPr="00D410F0">
        <w:rPr>
          <w:highlight w:val="yellow"/>
        </w:rPr>
        <w:t>11.17 to $19.77 per SF</w:t>
      </w:r>
      <w:r w:rsidRPr="00DF0ADC">
        <w:t xml:space="preserve">. The properties range in size from </w:t>
      </w:r>
      <w:r w:rsidRPr="00930CD9">
        <w:rPr>
          <w:highlight w:val="yellow"/>
        </w:rPr>
        <w:t>5</w:t>
      </w:r>
      <w:r w:rsidRPr="00D410F0">
        <w:rPr>
          <w:highlight w:val="yellow"/>
        </w:rPr>
        <w:t>.74 to 15.85 net acres</w:t>
      </w:r>
      <w:r w:rsidRPr="00D410F0">
        <w:rPr>
          <w:rFonts w:eastAsia="Calibri" w:cs="Arial"/>
          <w:bCs/>
          <w:iCs/>
          <w:color w:val="000000"/>
          <w:szCs w:val="22"/>
          <w:highlight w:val="yellow"/>
        </w:rPr>
        <w:t>,</w:t>
      </w:r>
      <w:r w:rsidRPr="00DF0ADC">
        <w:rPr>
          <w:rFonts w:eastAsia="Calibri" w:cs="Arial"/>
          <w:bCs/>
          <w:iCs/>
          <w:color w:val="000000"/>
          <w:szCs w:val="22"/>
        </w:rPr>
        <w:t xml:space="preserve"> which brackets the subject site at </w:t>
      </w:r>
      <w:r w:rsidR="00D6746C" w:rsidRPr="00D6746C">
        <w:rPr>
          <w:rFonts w:eastAsia="Calibri" w:cs="Arial"/>
          <w:bCs/>
          <w:iCs/>
          <w:color w:val="000000"/>
          <w:szCs w:val="22"/>
        </w:rPr>
        <w:t>${</w:t>
      </w:r>
      <w:proofErr w:type="spellStart"/>
      <w:r w:rsidR="00D6746C" w:rsidRPr="00D6746C">
        <w:rPr>
          <w:rFonts w:eastAsia="Calibri" w:cs="Arial"/>
          <w:bCs/>
          <w:iCs/>
          <w:color w:val="000000"/>
          <w:szCs w:val="22"/>
        </w:rPr>
        <w:t>netacre</w:t>
      </w:r>
      <w:proofErr w:type="spellEnd"/>
      <w:r w:rsidR="00D6746C" w:rsidRPr="00D6746C">
        <w:rPr>
          <w:rFonts w:eastAsia="Calibri" w:cs="Arial"/>
          <w:bCs/>
          <w:iCs/>
          <w:color w:val="000000"/>
          <w:szCs w:val="22"/>
        </w:rPr>
        <w:t>}</w:t>
      </w:r>
      <w:r w:rsidRPr="00D6746C">
        <w:rPr>
          <w:rFonts w:eastAsia="Calibri" w:cs="Arial"/>
          <w:bCs/>
          <w:iCs/>
          <w:color w:val="000000"/>
          <w:szCs w:val="22"/>
        </w:rPr>
        <w:t xml:space="preserve"> </w:t>
      </w:r>
      <w:r w:rsidRPr="00D410F0">
        <w:rPr>
          <w:rFonts w:eastAsia="Calibri" w:cs="Arial"/>
          <w:bCs/>
          <w:iCs/>
          <w:color w:val="000000"/>
          <w:szCs w:val="22"/>
          <w:highlight w:val="yellow"/>
        </w:rPr>
        <w:t>acres</w:t>
      </w:r>
      <w:r w:rsidRPr="00DF0ADC">
        <w:rPr>
          <w:rFonts w:eastAsia="Calibri" w:cs="Arial"/>
          <w:bCs/>
          <w:iCs/>
          <w:color w:val="000000"/>
          <w:szCs w:val="22"/>
        </w:rPr>
        <w:t xml:space="preserve">, </w:t>
      </w:r>
      <w:r>
        <w:rPr>
          <w:rFonts w:eastAsia="Calibri" w:cs="Arial"/>
          <w:bCs/>
          <w:iCs/>
          <w:color w:val="000000"/>
          <w:szCs w:val="22"/>
        </w:rPr>
        <w:t>and</w:t>
      </w:r>
      <w:r w:rsidRPr="00DF0ADC">
        <w:rPr>
          <w:rFonts w:eastAsia="Calibri" w:cs="Arial"/>
          <w:bCs/>
          <w:iCs/>
          <w:color w:val="000000"/>
          <w:szCs w:val="22"/>
        </w:rPr>
        <w:t xml:space="preserve"> overall are considered sufficient and relevant for purposes of our analysis.  Presented following is our </w:t>
      </w:r>
      <w:r>
        <w:rPr>
          <w:rFonts w:eastAsia="Calibri" w:cs="Arial"/>
          <w:bCs/>
          <w:iCs/>
          <w:color w:val="000000"/>
          <w:szCs w:val="22"/>
        </w:rPr>
        <w:t xml:space="preserve">fee simple </w:t>
      </w:r>
      <w:r w:rsidRPr="00DF0ADC">
        <w:rPr>
          <w:rFonts w:eastAsia="Calibri" w:cs="Arial"/>
          <w:bCs/>
          <w:iCs/>
          <w:color w:val="000000"/>
          <w:szCs w:val="22"/>
        </w:rPr>
        <w:t>land valuation analysis.</w:t>
      </w:r>
      <w:r w:rsidRPr="009C0673">
        <w:rPr>
          <w:rFonts w:eastAsia="Calibri" w:cs="Arial"/>
          <w:bCs/>
          <w:iCs/>
          <w:color w:val="000000"/>
          <w:szCs w:val="22"/>
        </w:rPr>
        <w:t xml:space="preserve"> </w:t>
      </w:r>
    </w:p>
    <w:p w14:paraId="0EDE2562" w14:textId="74FC5BE9" w:rsidR="006E5354" w:rsidRDefault="006E5354" w:rsidP="006E5354">
      <w:pPr>
        <w:rPr>
          <w:rFonts w:eastAsia="Calibri" w:cs="Arial"/>
          <w:bCs/>
          <w:iCs/>
          <w:color w:val="000000"/>
          <w:szCs w:val="22"/>
        </w:rPr>
      </w:pPr>
    </w:p>
    <w:p w14:paraId="105EEB04" w14:textId="246AA530" w:rsidR="00D410F0" w:rsidRDefault="00D410F0" w:rsidP="006E5354">
      <w:pPr>
        <w:rPr>
          <w:rFonts w:eastAsia="Calibri" w:cs="Arial"/>
          <w:bCs/>
          <w:iCs/>
          <w:color w:val="000000"/>
          <w:szCs w:val="22"/>
        </w:rPr>
      </w:pPr>
    </w:p>
    <w:p w14:paraId="2A4FE6C6" w14:textId="5F3EACC4" w:rsidR="00D410F0" w:rsidRDefault="00D410F0" w:rsidP="006E5354">
      <w:pPr>
        <w:rPr>
          <w:rFonts w:eastAsia="Calibri" w:cs="Arial"/>
          <w:bCs/>
          <w:iCs/>
          <w:color w:val="000000"/>
          <w:szCs w:val="22"/>
        </w:rPr>
      </w:pPr>
      <w:r w:rsidRPr="007A000E">
        <w:rPr>
          <w:rFonts w:eastAsia="Calibri" w:cs="Arial"/>
          <w:bCs/>
          <w:iCs/>
          <w:color w:val="000000"/>
          <w:szCs w:val="22"/>
          <w:highlight w:val="green"/>
        </w:rPr>
        <w:t>Insert Data Analysis merge of individual comparables here</w:t>
      </w:r>
    </w:p>
    <w:p w14:paraId="16EA5501" w14:textId="77777777" w:rsidR="00D410F0" w:rsidRDefault="00D410F0" w:rsidP="006E5354">
      <w:pPr>
        <w:rPr>
          <w:rFonts w:eastAsia="Calibri" w:cs="Arial"/>
          <w:bCs/>
          <w:iCs/>
          <w:color w:val="000000"/>
          <w:szCs w:val="22"/>
        </w:rPr>
      </w:pPr>
    </w:p>
    <w:p w14:paraId="7983B99B" w14:textId="77777777" w:rsidR="006E5354" w:rsidRPr="00DC2E7A" w:rsidRDefault="006E5354" w:rsidP="006E5354">
      <w:pPr>
        <w:keepNext/>
        <w:keepLines/>
        <w:spacing w:before="260"/>
        <w:outlineLvl w:val="1"/>
        <w:rPr>
          <w:rFonts w:cs="Arial"/>
          <w:iCs/>
          <w:color w:val="1E4959"/>
          <w:sz w:val="28"/>
          <w:szCs w:val="22"/>
        </w:rPr>
      </w:pPr>
      <w:r w:rsidRPr="003E5086">
        <w:rPr>
          <w:rFonts w:cs="Arial"/>
          <w:iCs/>
          <w:color w:val="1E4959"/>
          <w:sz w:val="28"/>
          <w:szCs w:val="22"/>
        </w:rPr>
        <w:t>Additional Quantitative A</w:t>
      </w:r>
      <w:r w:rsidRPr="00DC2E7A">
        <w:rPr>
          <w:rFonts w:cs="Arial"/>
          <w:iCs/>
          <w:color w:val="1E4959"/>
          <w:sz w:val="28"/>
          <w:szCs w:val="22"/>
        </w:rPr>
        <w:t>nalysis</w:t>
      </w:r>
    </w:p>
    <w:p w14:paraId="4D747967" w14:textId="77777777" w:rsidR="006E5354" w:rsidRDefault="006E5354" w:rsidP="006E5354">
      <w:pPr>
        <w:pStyle w:val="Footer"/>
        <w:rPr>
          <w:rFonts w:cs="Arial"/>
          <w:kern w:val="20"/>
          <w:szCs w:val="22"/>
        </w:rPr>
      </w:pPr>
      <w:r w:rsidRPr="0088308F">
        <w:rPr>
          <w:rFonts w:cs="Arial"/>
          <w:kern w:val="20"/>
          <w:szCs w:val="22"/>
        </w:rPr>
        <w:t xml:space="preserve">In addition to the preceding, an adjustment grid for the comparable sales is provided as additional analysis following the summary chart. The adjusted comparables indicate an adjusted price per square foot between </w:t>
      </w:r>
      <w:r w:rsidRPr="00D410F0">
        <w:rPr>
          <w:rFonts w:cs="Arial"/>
          <w:kern w:val="20"/>
          <w:szCs w:val="22"/>
          <w:highlight w:val="yellow"/>
        </w:rPr>
        <w:t>$14.20 and $14.85</w:t>
      </w:r>
      <w:r w:rsidRPr="0088308F">
        <w:rPr>
          <w:rFonts w:cs="Arial"/>
          <w:kern w:val="20"/>
          <w:szCs w:val="22"/>
        </w:rPr>
        <w:t xml:space="preserve"> per SF with an average price of </w:t>
      </w:r>
      <w:r w:rsidRPr="00D410F0">
        <w:rPr>
          <w:rFonts w:cs="Arial"/>
          <w:kern w:val="20"/>
          <w:szCs w:val="22"/>
          <w:highlight w:val="yellow"/>
        </w:rPr>
        <w:t>$14.53</w:t>
      </w:r>
      <w:r w:rsidRPr="0088308F">
        <w:rPr>
          <w:rFonts w:cs="Arial"/>
          <w:kern w:val="20"/>
          <w:szCs w:val="22"/>
        </w:rPr>
        <w:t xml:space="preserve"> per SF and median price of </w:t>
      </w:r>
      <w:r w:rsidRPr="00D410F0">
        <w:rPr>
          <w:rFonts w:cs="Arial"/>
          <w:kern w:val="20"/>
          <w:szCs w:val="22"/>
          <w:highlight w:val="yellow"/>
        </w:rPr>
        <w:t>$14.50</w:t>
      </w:r>
      <w:r w:rsidRPr="0088308F">
        <w:rPr>
          <w:rFonts w:cs="Arial"/>
          <w:kern w:val="20"/>
          <w:szCs w:val="22"/>
        </w:rPr>
        <w:t xml:space="preserve"> per SF. </w:t>
      </w:r>
      <w:r>
        <w:rPr>
          <w:rFonts w:cs="Arial"/>
          <w:kern w:val="20"/>
          <w:szCs w:val="22"/>
        </w:rPr>
        <w:t xml:space="preserve"> </w:t>
      </w:r>
      <w:r w:rsidRPr="0088308F">
        <w:rPr>
          <w:rFonts w:cs="Arial"/>
          <w:kern w:val="20"/>
          <w:szCs w:val="22"/>
        </w:rPr>
        <w:t xml:space="preserve">Note that a market conditions adjustment of </w:t>
      </w:r>
      <w:r w:rsidRPr="00545ED7">
        <w:rPr>
          <w:rFonts w:cs="Arial"/>
          <w:kern w:val="20"/>
          <w:szCs w:val="22"/>
          <w:highlight w:val="yellow"/>
        </w:rPr>
        <w:t>2.0% per year</w:t>
      </w:r>
      <w:r w:rsidRPr="0088308F">
        <w:rPr>
          <w:rFonts w:cs="Arial"/>
          <w:kern w:val="20"/>
          <w:szCs w:val="22"/>
        </w:rPr>
        <w:t xml:space="preserve"> was applied in this analysis</w:t>
      </w:r>
      <w:r>
        <w:rPr>
          <w:rFonts w:cs="Arial"/>
          <w:kern w:val="20"/>
          <w:szCs w:val="22"/>
        </w:rPr>
        <w:t xml:space="preserve"> through the date of inspection. </w:t>
      </w:r>
      <w:r w:rsidRPr="0088308F">
        <w:rPr>
          <w:rFonts w:cs="Arial"/>
          <w:kern w:val="20"/>
          <w:szCs w:val="22"/>
        </w:rPr>
        <w:t xml:space="preserve">The adjusted value range provides additional support for the following final value conclusion. </w:t>
      </w:r>
    </w:p>
    <w:p w14:paraId="08623545" w14:textId="77777777" w:rsidR="006E5354" w:rsidRPr="005C2ECA" w:rsidRDefault="006E5354" w:rsidP="006E5354">
      <w:pPr>
        <w:keepNext/>
        <w:keepLines/>
        <w:spacing w:before="260"/>
        <w:outlineLvl w:val="1"/>
        <w:rPr>
          <w:rFonts w:cs="Arial"/>
          <w:iCs/>
          <w:color w:val="1E4959"/>
          <w:sz w:val="24"/>
          <w:szCs w:val="22"/>
          <w:u w:val="single"/>
        </w:rPr>
      </w:pPr>
      <w:r w:rsidRPr="005C2ECA">
        <w:rPr>
          <w:rFonts w:cs="Arial"/>
          <w:iCs/>
          <w:color w:val="1E4959"/>
          <w:sz w:val="24"/>
          <w:szCs w:val="22"/>
          <w:u w:val="single"/>
        </w:rPr>
        <w:t>Subject Land Sale Activity</w:t>
      </w:r>
    </w:p>
    <w:p w14:paraId="3AA24B2B" w14:textId="77777777" w:rsidR="006E5354" w:rsidRDefault="006E5354" w:rsidP="006E5354">
      <w:r>
        <w:t>None.</w:t>
      </w:r>
    </w:p>
    <w:p w14:paraId="7F2A85D0" w14:textId="77777777" w:rsidR="006E5354" w:rsidRDefault="006E5354" w:rsidP="006E5354"/>
    <w:p w14:paraId="7D70BC4C" w14:textId="77777777" w:rsidR="006E5354" w:rsidRPr="000754FA" w:rsidRDefault="006E5354" w:rsidP="006E5354">
      <w:pPr>
        <w:keepNext/>
        <w:numPr>
          <w:ilvl w:val="1"/>
          <w:numId w:val="0"/>
        </w:numPr>
        <w:spacing w:before="260"/>
        <w:outlineLvl w:val="2"/>
        <w:rPr>
          <w:rFonts w:cs="Arial"/>
          <w:bCs/>
          <w:color w:val="1E4959"/>
          <w:sz w:val="28"/>
          <w:szCs w:val="22"/>
        </w:rPr>
      </w:pPr>
      <w:r w:rsidRPr="000754FA">
        <w:rPr>
          <w:rFonts w:cs="Arial"/>
          <w:bCs/>
          <w:color w:val="1E4959"/>
          <w:sz w:val="28"/>
          <w:szCs w:val="22"/>
        </w:rPr>
        <w:t xml:space="preserve">Concluded </w:t>
      </w:r>
      <w:r>
        <w:rPr>
          <w:rFonts w:cs="Arial"/>
          <w:bCs/>
          <w:color w:val="1E4959"/>
          <w:sz w:val="28"/>
          <w:szCs w:val="22"/>
        </w:rPr>
        <w:t xml:space="preserve">Market </w:t>
      </w:r>
      <w:r w:rsidRPr="000754FA">
        <w:rPr>
          <w:rFonts w:cs="Arial"/>
          <w:bCs/>
          <w:color w:val="1E4959"/>
          <w:sz w:val="28"/>
          <w:szCs w:val="22"/>
        </w:rPr>
        <w:t xml:space="preserve">Land Value </w:t>
      </w:r>
    </w:p>
    <w:p w14:paraId="68F4B355" w14:textId="7CCF16B0" w:rsidR="006E5354" w:rsidRPr="00FD4842" w:rsidRDefault="006E5354" w:rsidP="006E5354">
      <w:pPr>
        <w:rPr>
          <w:rFonts w:cs="Arial"/>
          <w:bCs/>
          <w:iCs/>
          <w:color w:val="000000"/>
          <w:szCs w:val="22"/>
        </w:rPr>
      </w:pPr>
      <w:r w:rsidRPr="00545ED7">
        <w:rPr>
          <w:rFonts w:cs="Arial"/>
          <w:bCs/>
          <w:iCs/>
          <w:color w:val="000000"/>
          <w:szCs w:val="22"/>
          <w:highlight w:val="yellow"/>
        </w:rPr>
        <w:t>The subject site has a good broad highway frontage location with above average site access and exposure in close proximity amid a concentration of commercial retail and auto dealership uses in the southeast sector of the City of Hillsboro</w:t>
      </w:r>
      <w:r>
        <w:rPr>
          <w:rFonts w:cs="Arial"/>
          <w:bCs/>
          <w:iCs/>
          <w:color w:val="000000"/>
          <w:szCs w:val="22"/>
        </w:rPr>
        <w:t xml:space="preserve">.  </w:t>
      </w:r>
      <w:r w:rsidRPr="00CE67DE">
        <w:rPr>
          <w:rFonts w:cs="Arial"/>
          <w:bCs/>
          <w:iCs/>
          <w:color w:val="000000"/>
          <w:szCs w:val="22"/>
        </w:rPr>
        <w:t xml:space="preserve">Overall, </w:t>
      </w:r>
      <w:r w:rsidRPr="00FD4842">
        <w:rPr>
          <w:rFonts w:cs="Arial"/>
          <w:bCs/>
          <w:iCs/>
          <w:color w:val="000000"/>
          <w:szCs w:val="22"/>
        </w:rPr>
        <w:t xml:space="preserve">primary emphasis is placed near </w:t>
      </w:r>
      <w:r>
        <w:rPr>
          <w:rFonts w:cs="Arial"/>
          <w:bCs/>
          <w:iCs/>
          <w:color w:val="000000"/>
          <w:szCs w:val="22"/>
        </w:rPr>
        <w:t xml:space="preserve">the upper mid-range of </w:t>
      </w:r>
      <w:r w:rsidRPr="00D410F0">
        <w:rPr>
          <w:rFonts w:cs="Arial"/>
          <w:bCs/>
          <w:iCs/>
          <w:color w:val="000000"/>
          <w:szCs w:val="22"/>
          <w:highlight w:val="yellow"/>
        </w:rPr>
        <w:t>Land Sales 2, 3, 4 and 5 ($11.69, $11.17, $13.11 and $15.00 per SF).</w:t>
      </w:r>
      <w:r w:rsidRPr="00FD4842">
        <w:rPr>
          <w:rFonts w:cs="Arial"/>
          <w:bCs/>
          <w:iCs/>
          <w:color w:val="000000"/>
          <w:szCs w:val="22"/>
        </w:rPr>
        <w:t xml:space="preserve">  </w:t>
      </w:r>
      <w:r w:rsidRPr="0088308F">
        <w:rPr>
          <w:rFonts w:cs="Arial"/>
          <w:szCs w:val="22"/>
        </w:rPr>
        <w:t>S</w:t>
      </w:r>
      <w:r>
        <w:rPr>
          <w:rFonts w:cs="Arial"/>
          <w:szCs w:val="22"/>
        </w:rPr>
        <w:t>trong s</w:t>
      </w:r>
      <w:r w:rsidRPr="0088308F">
        <w:rPr>
          <w:rFonts w:cs="Arial"/>
          <w:szCs w:val="22"/>
        </w:rPr>
        <w:t xml:space="preserve">econdary consideration </w:t>
      </w:r>
      <w:r>
        <w:rPr>
          <w:rFonts w:cs="Arial"/>
          <w:szCs w:val="22"/>
        </w:rPr>
        <w:t>is also</w:t>
      </w:r>
      <w:r w:rsidRPr="0088308F">
        <w:rPr>
          <w:rFonts w:cs="Arial"/>
          <w:szCs w:val="22"/>
        </w:rPr>
        <w:t xml:space="preserve"> placed</w:t>
      </w:r>
      <w:r>
        <w:rPr>
          <w:rFonts w:cs="Arial"/>
          <w:szCs w:val="22"/>
        </w:rPr>
        <w:t xml:space="preserve"> on the</w:t>
      </w:r>
      <w:r w:rsidRPr="0088308F">
        <w:rPr>
          <w:rFonts w:cs="Arial"/>
          <w:szCs w:val="22"/>
        </w:rPr>
        <w:t xml:space="preserve"> average and median adjusted </w:t>
      </w:r>
      <w:r>
        <w:rPr>
          <w:rFonts w:cs="Arial"/>
          <w:szCs w:val="22"/>
        </w:rPr>
        <w:t>prices</w:t>
      </w:r>
      <w:r w:rsidRPr="0088308F">
        <w:rPr>
          <w:rFonts w:cs="Arial"/>
          <w:szCs w:val="22"/>
        </w:rPr>
        <w:t xml:space="preserve"> </w:t>
      </w:r>
      <w:r w:rsidRPr="00D410F0">
        <w:rPr>
          <w:rFonts w:cs="Arial"/>
          <w:szCs w:val="22"/>
          <w:highlight w:val="yellow"/>
        </w:rPr>
        <w:t xml:space="preserve">($14.50 </w:t>
      </w:r>
      <w:r w:rsidR="00D410F0" w:rsidRPr="00D410F0">
        <w:rPr>
          <w:rFonts w:cs="Arial"/>
          <w:szCs w:val="22"/>
          <w:highlight w:val="yellow"/>
        </w:rPr>
        <w:t xml:space="preserve">and $14.75 </w:t>
      </w:r>
      <w:r w:rsidRPr="00D410F0">
        <w:rPr>
          <w:rFonts w:cs="Arial"/>
          <w:szCs w:val="22"/>
          <w:highlight w:val="yellow"/>
        </w:rPr>
        <w:t>per SF</w:t>
      </w:r>
      <w:r w:rsidRPr="0088308F">
        <w:rPr>
          <w:rFonts w:cs="Arial"/>
          <w:szCs w:val="22"/>
        </w:rPr>
        <w:t>).</w:t>
      </w:r>
      <w:r>
        <w:rPr>
          <w:rFonts w:cs="Segoe UI"/>
        </w:rPr>
        <w:t xml:space="preserve"> </w:t>
      </w:r>
      <w:r w:rsidRPr="0088308F">
        <w:rPr>
          <w:rFonts w:cs="Segoe UI"/>
        </w:rPr>
        <w:t xml:space="preserve"> </w:t>
      </w:r>
      <w:r w:rsidRPr="0088308F">
        <w:rPr>
          <w:rFonts w:cs="Arial"/>
          <w:bCs/>
          <w:iCs/>
          <w:color w:val="000000"/>
          <w:szCs w:val="22"/>
        </w:rPr>
        <w:t xml:space="preserve">Hence, a unit land value of </w:t>
      </w:r>
      <w:r w:rsidRPr="00D410F0">
        <w:rPr>
          <w:rFonts w:cs="Arial"/>
          <w:b/>
          <w:bCs/>
          <w:iCs/>
          <w:color w:val="000000"/>
          <w:szCs w:val="22"/>
          <w:highlight w:val="yellow"/>
        </w:rPr>
        <w:t>$14.50</w:t>
      </w:r>
      <w:r w:rsidRPr="0088308F">
        <w:rPr>
          <w:rFonts w:cs="Arial"/>
          <w:b/>
          <w:bCs/>
          <w:iCs/>
          <w:color w:val="000000"/>
          <w:szCs w:val="22"/>
        </w:rPr>
        <w:t xml:space="preserve"> per SF</w:t>
      </w:r>
      <w:r w:rsidRPr="0088308F">
        <w:rPr>
          <w:rFonts w:cs="Arial"/>
          <w:bCs/>
          <w:iCs/>
          <w:color w:val="000000"/>
          <w:szCs w:val="22"/>
        </w:rPr>
        <w:t xml:space="preserve"> is concluded in this assignment.</w:t>
      </w:r>
    </w:p>
    <w:p w14:paraId="0E90AA4F" w14:textId="77777777" w:rsidR="006E5354" w:rsidRPr="00FD4842" w:rsidRDefault="006E5354" w:rsidP="006E5354">
      <w:pPr>
        <w:rPr>
          <w:rFonts w:cs="Arial"/>
          <w:bCs/>
          <w:iCs/>
          <w:color w:val="000000"/>
          <w:szCs w:val="22"/>
        </w:rPr>
      </w:pPr>
    </w:p>
    <w:p w14:paraId="5EE257CA" w14:textId="79D09A3B" w:rsidR="006E5354" w:rsidRPr="00FD4842" w:rsidRDefault="006E5354" w:rsidP="006E5354">
      <w:pPr>
        <w:rPr>
          <w:rFonts w:cs="Arial"/>
          <w:bCs/>
          <w:iCs/>
          <w:color w:val="000000"/>
          <w:szCs w:val="22"/>
        </w:rPr>
      </w:pPr>
      <w:r w:rsidRPr="00FD4842">
        <w:rPr>
          <w:rFonts w:cs="Arial"/>
          <w:bCs/>
          <w:iCs/>
          <w:color w:val="000000"/>
          <w:szCs w:val="22"/>
        </w:rPr>
        <w:t>Therefore, it is the appraiser’s opinion that the</w:t>
      </w:r>
      <w:r w:rsidRPr="00FD4842">
        <w:rPr>
          <w:rFonts w:cs="Arial"/>
          <w:b/>
          <w:bCs/>
          <w:iCs/>
          <w:color w:val="000000"/>
          <w:szCs w:val="22"/>
        </w:rPr>
        <w:t xml:space="preserve"> concluded market value </w:t>
      </w:r>
      <w:r w:rsidRPr="008960D3">
        <w:rPr>
          <w:rFonts w:cs="Arial"/>
          <w:bCs/>
          <w:iCs/>
          <w:color w:val="000000"/>
          <w:szCs w:val="22"/>
        </w:rPr>
        <w:t>of the</w:t>
      </w:r>
      <w:r>
        <w:rPr>
          <w:rFonts w:cs="Arial"/>
          <w:bCs/>
          <w:iCs/>
          <w:color w:val="000000"/>
          <w:szCs w:val="22"/>
        </w:rPr>
        <w:t xml:space="preserve"> fee simple interest in the</w:t>
      </w:r>
      <w:r w:rsidRPr="00FD4842">
        <w:rPr>
          <w:rFonts w:cs="Arial"/>
          <w:b/>
          <w:bCs/>
          <w:iCs/>
          <w:color w:val="000000"/>
          <w:szCs w:val="22"/>
        </w:rPr>
        <w:t xml:space="preserve"> subject </w:t>
      </w:r>
      <w:r>
        <w:rPr>
          <w:rFonts w:cs="Arial"/>
          <w:b/>
          <w:bCs/>
          <w:iCs/>
          <w:color w:val="000000"/>
          <w:szCs w:val="22"/>
        </w:rPr>
        <w:t>land</w:t>
      </w:r>
      <w:r w:rsidRPr="00FD4842">
        <w:rPr>
          <w:rFonts w:cs="Arial"/>
          <w:b/>
          <w:bCs/>
          <w:iCs/>
          <w:color w:val="000000"/>
          <w:szCs w:val="22"/>
        </w:rPr>
        <w:t xml:space="preserve"> </w:t>
      </w:r>
      <w:r w:rsidRPr="00FD4842">
        <w:rPr>
          <w:rFonts w:cs="Arial"/>
          <w:bCs/>
          <w:iCs/>
          <w:color w:val="000000"/>
          <w:szCs w:val="22"/>
        </w:rPr>
        <w:t>(</w:t>
      </w:r>
      <w:r w:rsidR="008A1EEB">
        <w:rPr>
          <w:rFonts w:cs="Arial"/>
          <w:bCs/>
          <w:iCs/>
          <w:color w:val="000000"/>
          <w:szCs w:val="22"/>
        </w:rPr>
        <w:t>${</w:t>
      </w:r>
      <w:proofErr w:type="spellStart"/>
      <w:r w:rsidR="008A1EEB">
        <w:rPr>
          <w:rFonts w:cs="Arial"/>
          <w:bCs/>
          <w:iCs/>
          <w:color w:val="000000"/>
          <w:szCs w:val="22"/>
        </w:rPr>
        <w:t>netsf</w:t>
      </w:r>
      <w:proofErr w:type="spellEnd"/>
      <w:r w:rsidR="008A1EEB">
        <w:rPr>
          <w:rFonts w:cs="Arial"/>
          <w:bCs/>
          <w:iCs/>
          <w:color w:val="000000"/>
          <w:szCs w:val="22"/>
        </w:rPr>
        <w:t>}</w:t>
      </w:r>
      <w:r w:rsidRPr="00FD4842">
        <w:rPr>
          <w:rFonts w:cs="Arial"/>
          <w:bCs/>
          <w:iCs/>
          <w:color w:val="000000"/>
          <w:szCs w:val="22"/>
        </w:rPr>
        <w:t xml:space="preserve"> SF land area) is rounded to:</w:t>
      </w:r>
    </w:p>
    <w:p w14:paraId="2C4EB7FA" w14:textId="77777777" w:rsidR="006E5354" w:rsidRDefault="006E5354" w:rsidP="006E5354">
      <w:pPr>
        <w:suppressAutoHyphens/>
        <w:rPr>
          <w:szCs w:val="22"/>
        </w:rPr>
      </w:pPr>
    </w:p>
    <w:p w14:paraId="62F4B242" w14:textId="77777777" w:rsidR="006E5354" w:rsidRPr="00FD4842" w:rsidRDefault="006E5354" w:rsidP="006E5354">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3569"/>
        <w:gridCol w:w="1890"/>
        <w:gridCol w:w="2366"/>
        <w:gridCol w:w="32"/>
      </w:tblGrid>
      <w:tr w:rsidR="006E5354" w:rsidRPr="00FD4842" w14:paraId="42C260A8" w14:textId="77777777" w:rsidTr="00FE402D">
        <w:trPr>
          <w:jc w:val="center"/>
        </w:trPr>
        <w:tc>
          <w:tcPr>
            <w:tcW w:w="3569" w:type="dxa"/>
            <w:tcBorders>
              <w:bottom w:val="single" w:sz="24" w:space="0" w:color="3FB44F"/>
            </w:tcBorders>
            <w:shd w:val="clear" w:color="auto" w:fill="1E4959"/>
          </w:tcPr>
          <w:p w14:paraId="60676FE8" w14:textId="77777777" w:rsidR="006E5354" w:rsidRPr="00FD4842" w:rsidRDefault="006E5354" w:rsidP="00FE402D">
            <w:pPr>
              <w:widowControl w:val="0"/>
              <w:tabs>
                <w:tab w:val="left" w:pos="0"/>
                <w:tab w:val="left" w:pos="259"/>
                <w:tab w:val="left" w:pos="518"/>
              </w:tabs>
              <w:spacing w:line="273" w:lineRule="exact"/>
              <w:rPr>
                <w:szCs w:val="22"/>
              </w:rPr>
            </w:pPr>
          </w:p>
        </w:tc>
        <w:tc>
          <w:tcPr>
            <w:tcW w:w="1890" w:type="dxa"/>
            <w:tcBorders>
              <w:bottom w:val="single" w:sz="24" w:space="0" w:color="3FB44F"/>
            </w:tcBorders>
            <w:shd w:val="clear" w:color="auto" w:fill="1E4959"/>
          </w:tcPr>
          <w:p w14:paraId="7B3D00A1" w14:textId="77777777" w:rsidR="006E5354" w:rsidRPr="00FD4842" w:rsidRDefault="006E5354" w:rsidP="00FE402D">
            <w:pPr>
              <w:widowControl w:val="0"/>
              <w:tabs>
                <w:tab w:val="left" w:pos="0"/>
                <w:tab w:val="left" w:pos="259"/>
                <w:tab w:val="left" w:pos="518"/>
              </w:tabs>
              <w:spacing w:line="273" w:lineRule="exact"/>
              <w:jc w:val="right"/>
              <w:rPr>
                <w:szCs w:val="22"/>
              </w:rPr>
            </w:pPr>
          </w:p>
        </w:tc>
        <w:tc>
          <w:tcPr>
            <w:tcW w:w="2398" w:type="dxa"/>
            <w:gridSpan w:val="2"/>
            <w:tcBorders>
              <w:bottom w:val="single" w:sz="24" w:space="0" w:color="3FB44F"/>
            </w:tcBorders>
            <w:shd w:val="clear" w:color="auto" w:fill="1E4959"/>
          </w:tcPr>
          <w:p w14:paraId="6E4E0929" w14:textId="77777777" w:rsidR="006E5354" w:rsidRPr="00FD4842" w:rsidRDefault="006E5354" w:rsidP="00FE402D">
            <w:pPr>
              <w:widowControl w:val="0"/>
              <w:tabs>
                <w:tab w:val="left" w:pos="0"/>
                <w:tab w:val="left" w:pos="259"/>
                <w:tab w:val="left" w:pos="518"/>
              </w:tabs>
              <w:spacing w:line="273" w:lineRule="exact"/>
              <w:jc w:val="right"/>
              <w:rPr>
                <w:szCs w:val="22"/>
              </w:rPr>
            </w:pPr>
          </w:p>
        </w:tc>
      </w:tr>
      <w:tr w:rsidR="006E5354" w:rsidRPr="000754FA" w14:paraId="417F4BD1" w14:textId="77777777" w:rsidTr="00FE402D">
        <w:trPr>
          <w:gridAfter w:val="1"/>
          <w:wAfter w:w="32" w:type="dxa"/>
          <w:jc w:val="center"/>
        </w:trPr>
        <w:tc>
          <w:tcPr>
            <w:tcW w:w="3569" w:type="dxa"/>
            <w:tcBorders>
              <w:top w:val="single" w:sz="24" w:space="0" w:color="3FB44F"/>
              <w:bottom w:val="double" w:sz="6" w:space="0" w:color="auto"/>
              <w:right w:val="single" w:sz="6" w:space="0" w:color="auto"/>
            </w:tcBorders>
          </w:tcPr>
          <w:p w14:paraId="3602E320" w14:textId="77777777" w:rsidR="006E5354" w:rsidRPr="00FD4842" w:rsidRDefault="006E5354" w:rsidP="00FE402D">
            <w:pPr>
              <w:widowControl w:val="0"/>
              <w:tabs>
                <w:tab w:val="left" w:pos="0"/>
                <w:tab w:val="left" w:pos="259"/>
                <w:tab w:val="left" w:pos="518"/>
              </w:tabs>
              <w:spacing w:after="58" w:line="480" w:lineRule="exact"/>
              <w:rPr>
                <w:rFonts w:cs="Arial"/>
                <w:b/>
                <w:szCs w:val="22"/>
              </w:rPr>
            </w:pPr>
            <w:r w:rsidRPr="00FD4842">
              <w:rPr>
                <w:rFonts w:cs="Arial"/>
                <w:b/>
                <w:szCs w:val="22"/>
              </w:rPr>
              <w:t xml:space="preserve">Concluded </w:t>
            </w:r>
            <w:r>
              <w:rPr>
                <w:rFonts w:cs="Arial"/>
                <w:b/>
                <w:szCs w:val="22"/>
              </w:rPr>
              <w:t xml:space="preserve">Market </w:t>
            </w:r>
            <w:r w:rsidRPr="00FD4842">
              <w:rPr>
                <w:rFonts w:cs="Arial"/>
                <w:b/>
                <w:szCs w:val="22"/>
              </w:rPr>
              <w:t>Land Value</w:t>
            </w:r>
          </w:p>
        </w:tc>
        <w:tc>
          <w:tcPr>
            <w:tcW w:w="1890" w:type="dxa"/>
            <w:tcBorders>
              <w:top w:val="single" w:sz="24" w:space="0" w:color="3FB44F"/>
              <w:bottom w:val="double" w:sz="6" w:space="0" w:color="auto"/>
              <w:right w:val="single" w:sz="6" w:space="0" w:color="auto"/>
            </w:tcBorders>
          </w:tcPr>
          <w:p w14:paraId="27D01127" w14:textId="77777777" w:rsidR="006E5354" w:rsidRPr="00FD4842" w:rsidRDefault="006E5354" w:rsidP="00FE402D">
            <w:pPr>
              <w:widowControl w:val="0"/>
              <w:tabs>
                <w:tab w:val="left" w:pos="0"/>
                <w:tab w:val="left" w:pos="259"/>
                <w:tab w:val="left" w:pos="518"/>
              </w:tabs>
              <w:spacing w:after="58" w:line="480" w:lineRule="exact"/>
              <w:jc w:val="center"/>
              <w:rPr>
                <w:rFonts w:cs="Arial"/>
                <w:b/>
                <w:szCs w:val="22"/>
              </w:rPr>
            </w:pPr>
            <w:r w:rsidRPr="00D410F0">
              <w:rPr>
                <w:rFonts w:cs="Arial"/>
                <w:b/>
                <w:szCs w:val="22"/>
                <w:highlight w:val="yellow"/>
              </w:rPr>
              <w:t>$14.50 / SF</w:t>
            </w:r>
          </w:p>
        </w:tc>
        <w:tc>
          <w:tcPr>
            <w:tcW w:w="2366" w:type="dxa"/>
            <w:tcBorders>
              <w:top w:val="single" w:sz="24" w:space="0" w:color="3FB44F"/>
              <w:left w:val="single" w:sz="6" w:space="0" w:color="auto"/>
              <w:bottom w:val="double" w:sz="6" w:space="0" w:color="auto"/>
            </w:tcBorders>
          </w:tcPr>
          <w:p w14:paraId="742EC66D" w14:textId="77777777" w:rsidR="006E5354" w:rsidRPr="000754FA" w:rsidRDefault="006E5354" w:rsidP="00FE402D">
            <w:pPr>
              <w:widowControl w:val="0"/>
              <w:tabs>
                <w:tab w:val="left" w:pos="0"/>
                <w:tab w:val="left" w:pos="259"/>
                <w:tab w:val="left" w:pos="518"/>
              </w:tabs>
              <w:spacing w:after="58" w:line="480" w:lineRule="exact"/>
              <w:jc w:val="center"/>
              <w:rPr>
                <w:rFonts w:cs="Arial"/>
                <w:b/>
                <w:szCs w:val="22"/>
              </w:rPr>
            </w:pPr>
            <w:r w:rsidRPr="00D410F0">
              <w:rPr>
                <w:rFonts w:cs="Arial"/>
                <w:b/>
                <w:szCs w:val="22"/>
                <w:highlight w:val="yellow"/>
              </w:rPr>
              <w:t>$8,370,000</w:t>
            </w:r>
          </w:p>
        </w:tc>
      </w:tr>
    </w:tbl>
    <w:p w14:paraId="4B8C7375" w14:textId="77777777" w:rsidR="006E5354" w:rsidRPr="000754FA" w:rsidRDefault="006E5354" w:rsidP="006E5354">
      <w:pPr>
        <w:rPr>
          <w:rFonts w:cs="Segoe UI"/>
          <w:szCs w:val="22"/>
        </w:rPr>
      </w:pPr>
    </w:p>
    <w:p w14:paraId="663623DF" w14:textId="77777777" w:rsidR="006E5354" w:rsidRPr="000754FA" w:rsidRDefault="006E5354" w:rsidP="006E5354">
      <w:pPr>
        <w:widowControl w:val="0"/>
        <w:rPr>
          <w:rFonts w:eastAsia="Calibri" w:cs="Arial"/>
          <w:bCs/>
          <w:iCs/>
          <w:color w:val="000000"/>
          <w:szCs w:val="22"/>
        </w:rPr>
      </w:pPr>
    </w:p>
    <w:p w14:paraId="460B1015" w14:textId="77777777" w:rsidR="006E5354" w:rsidRPr="000754FA" w:rsidRDefault="006E5354" w:rsidP="006E5354">
      <w:pPr>
        <w:rPr>
          <w:rFonts w:eastAsia="Calibri" w:cs="Arial"/>
          <w:color w:val="000000"/>
          <w:szCs w:val="22"/>
        </w:rPr>
        <w:sectPr w:rsidR="006E5354" w:rsidRPr="000754FA" w:rsidSect="00E64CFA">
          <w:headerReference w:type="default" r:id="rId13"/>
          <w:pgSz w:w="12240" w:h="15840"/>
          <w:pgMar w:top="1440" w:right="1440" w:bottom="720" w:left="1440" w:header="720" w:footer="720" w:gutter="0"/>
          <w:cols w:space="720"/>
          <w:docGrid w:linePitch="360"/>
        </w:sectPr>
      </w:pPr>
    </w:p>
    <w:p w14:paraId="3174C8F3" w14:textId="77777777" w:rsidR="006E5354" w:rsidRDefault="006E5354" w:rsidP="006E5354">
      <w:pPr>
        <w:ind w:left="-540"/>
        <w:jc w:val="center"/>
        <w:rPr>
          <w:rFonts w:eastAsia="Calibri"/>
        </w:rPr>
        <w:sectPr w:rsidR="006E5354" w:rsidSect="00E64CFA">
          <w:pgSz w:w="12240" w:h="15840" w:code="1"/>
          <w:pgMar w:top="1440" w:right="1440" w:bottom="720" w:left="1440" w:header="720" w:footer="720" w:gutter="0"/>
          <w:cols w:space="720"/>
          <w:vAlign w:val="center"/>
          <w:docGrid w:linePitch="360"/>
        </w:sectPr>
      </w:pPr>
      <w:r w:rsidRPr="00DF0ADC">
        <w:rPr>
          <w:rFonts w:eastAsia="Calibri"/>
          <w:noProof/>
        </w:rPr>
        <w:lastRenderedPageBreak/>
        <w:drawing>
          <wp:inline distT="0" distB="0" distL="0" distR="0" wp14:anchorId="7C05161F" wp14:editId="6A2EADBA">
            <wp:extent cx="6560127" cy="675847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6569221" cy="6767842"/>
                    </a:xfrm>
                    <a:prstGeom prst="rect">
                      <a:avLst/>
                    </a:prstGeom>
                    <a:noFill/>
                    <a:ln>
                      <a:noFill/>
                    </a:ln>
                  </pic:spPr>
                </pic:pic>
              </a:graphicData>
            </a:graphic>
          </wp:inline>
        </w:drawing>
      </w:r>
      <w:r w:rsidRPr="00DF0ADC">
        <w:rPr>
          <w:rFonts w:eastAsia="Calibri"/>
        </w:rPr>
        <w:t xml:space="preserve"> </w:t>
      </w:r>
      <w:r w:rsidRPr="008D1CA5">
        <w:rPr>
          <w:rFonts w:eastAsia="Calibri"/>
        </w:rPr>
        <w:t xml:space="preserve"> </w:t>
      </w:r>
      <w:r w:rsidRPr="00062251">
        <w:rPr>
          <w:rFonts w:eastAsia="Calibri"/>
        </w:rPr>
        <w:t xml:space="preserve"> </w:t>
      </w:r>
      <w:r w:rsidRPr="00F216B4">
        <w:rPr>
          <w:rFonts w:eastAsia="Calibri"/>
        </w:rPr>
        <w:t xml:space="preserve"> </w:t>
      </w:r>
    </w:p>
    <w:p w14:paraId="684DEB84" w14:textId="77777777" w:rsidR="006E5354" w:rsidRPr="000754FA" w:rsidRDefault="006E5354" w:rsidP="006E5354">
      <w:pPr>
        <w:ind w:left="-720"/>
        <w:jc w:val="center"/>
        <w:rPr>
          <w:rFonts w:eastAsia="Calibri" w:cs="Arial"/>
          <w:color w:val="000000"/>
          <w:szCs w:val="22"/>
        </w:rPr>
        <w:sectPr w:rsidR="006E5354" w:rsidRPr="000754FA" w:rsidSect="00E64CFA">
          <w:pgSz w:w="12240" w:h="15840" w:code="1"/>
          <w:pgMar w:top="1440" w:right="1440" w:bottom="720" w:left="1440" w:header="720" w:footer="720" w:gutter="0"/>
          <w:cols w:space="720"/>
          <w:vAlign w:val="center"/>
          <w:docGrid w:linePitch="360"/>
        </w:sectPr>
      </w:pPr>
      <w:r w:rsidRPr="003E5086">
        <w:rPr>
          <w:rFonts w:eastAsia="Calibri"/>
          <w:noProof/>
        </w:rPr>
        <w:lastRenderedPageBreak/>
        <w:drawing>
          <wp:inline distT="0" distB="0" distL="0" distR="0" wp14:anchorId="1BCBAC30" wp14:editId="6F996B53">
            <wp:extent cx="6823154" cy="6481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6837385" cy="6494785"/>
                    </a:xfrm>
                    <a:prstGeom prst="rect">
                      <a:avLst/>
                    </a:prstGeom>
                    <a:noFill/>
                    <a:ln>
                      <a:noFill/>
                    </a:ln>
                  </pic:spPr>
                </pic:pic>
              </a:graphicData>
            </a:graphic>
          </wp:inline>
        </w:drawing>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E5354" w:rsidRPr="000754FA" w14:paraId="1083C74E" w14:textId="77777777" w:rsidTr="00FE402D">
        <w:trPr>
          <w:jc w:val="center"/>
        </w:trPr>
        <w:tc>
          <w:tcPr>
            <w:tcW w:w="9548" w:type="dxa"/>
            <w:tcBorders>
              <w:top w:val="nil"/>
              <w:left w:val="nil"/>
              <w:bottom w:val="single" w:sz="24" w:space="0" w:color="3FB44F"/>
              <w:right w:val="nil"/>
            </w:tcBorders>
            <w:shd w:val="clear" w:color="auto" w:fill="1E4959"/>
          </w:tcPr>
          <w:p w14:paraId="10510D9C" w14:textId="77777777" w:rsidR="006E5354" w:rsidRPr="000754FA" w:rsidRDefault="006E5354" w:rsidP="00FE402D">
            <w:pPr>
              <w:tabs>
                <w:tab w:val="left" w:pos="3960"/>
              </w:tabs>
              <w:spacing w:before="120" w:after="60" w:line="20" w:lineRule="atLeast"/>
              <w:jc w:val="center"/>
              <w:rPr>
                <w:rFonts w:cs="Arial"/>
                <w:b/>
                <w:smallCaps/>
                <w:color w:val="FFFFFF" w:themeColor="background1"/>
                <w:sz w:val="28"/>
                <w:szCs w:val="22"/>
              </w:rPr>
            </w:pPr>
            <w:r w:rsidRPr="007A000E">
              <w:rPr>
                <w:rFonts w:cs="Arial"/>
                <w:b/>
                <w:smallCaps/>
                <w:color w:val="FFFFFF" w:themeColor="background1"/>
                <w:sz w:val="28"/>
                <w:szCs w:val="22"/>
                <w:highlight w:val="green"/>
              </w:rPr>
              <w:lastRenderedPageBreak/>
              <w:t>Land Sales Location Map</w:t>
            </w:r>
          </w:p>
        </w:tc>
      </w:tr>
      <w:tr w:rsidR="006E5354" w:rsidRPr="000754FA" w14:paraId="4FAB6A3D" w14:textId="77777777" w:rsidTr="00FE402D">
        <w:trPr>
          <w:trHeight w:hRule="exact" w:val="144"/>
          <w:jc w:val="center"/>
        </w:trPr>
        <w:tc>
          <w:tcPr>
            <w:tcW w:w="9548" w:type="dxa"/>
            <w:tcBorders>
              <w:top w:val="single" w:sz="24" w:space="0" w:color="3FB44F"/>
              <w:left w:val="nil"/>
              <w:bottom w:val="nil"/>
              <w:right w:val="nil"/>
            </w:tcBorders>
            <w:shd w:val="clear" w:color="auto" w:fill="auto"/>
          </w:tcPr>
          <w:p w14:paraId="2A81C691" w14:textId="77777777" w:rsidR="006E5354" w:rsidRPr="000754FA" w:rsidRDefault="006E5354" w:rsidP="00FE402D">
            <w:pPr>
              <w:tabs>
                <w:tab w:val="left" w:pos="3960"/>
              </w:tabs>
              <w:spacing w:before="120" w:line="20" w:lineRule="atLeast"/>
              <w:jc w:val="center"/>
              <w:rPr>
                <w:rFonts w:cs="Arial"/>
                <w:b/>
                <w:smallCaps/>
                <w:color w:val="FFFFFF" w:themeColor="background1"/>
                <w:sz w:val="28"/>
                <w:szCs w:val="22"/>
              </w:rPr>
            </w:pPr>
          </w:p>
        </w:tc>
      </w:tr>
      <w:tr w:rsidR="006E5354" w:rsidRPr="000754FA" w14:paraId="663775F0" w14:textId="77777777" w:rsidTr="00FE402D">
        <w:trPr>
          <w:trHeight w:hRule="exact" w:val="11808"/>
          <w:jc w:val="center"/>
        </w:trPr>
        <w:tc>
          <w:tcPr>
            <w:tcW w:w="9548" w:type="dxa"/>
            <w:tcBorders>
              <w:top w:val="nil"/>
              <w:left w:val="nil"/>
              <w:bottom w:val="nil"/>
              <w:right w:val="nil"/>
            </w:tcBorders>
            <w:shd w:val="clear" w:color="auto" w:fill="auto"/>
            <w:vAlign w:val="center"/>
          </w:tcPr>
          <w:p w14:paraId="7E177D86" w14:textId="77777777" w:rsidR="006E5354" w:rsidRPr="000754FA" w:rsidRDefault="006E5354" w:rsidP="00FE402D">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6BB750B3" wp14:editId="729FE57A">
                  <wp:extent cx="5544732" cy="6853906"/>
                  <wp:effectExtent l="38100" t="38100" r="37465" b="4254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screen">
                            <a:extLst>
                              <a:ext uri="{28A0092B-C50C-407E-A947-70E740481C1C}">
                                <a14:useLocalDpi xmlns:a14="http://schemas.microsoft.com/office/drawing/2010/main"/>
                              </a:ext>
                            </a:extLst>
                          </a:blip>
                          <a:stretch>
                            <a:fillRect/>
                          </a:stretch>
                        </pic:blipFill>
                        <pic:spPr bwMode="auto">
                          <a:xfrm>
                            <a:off x="0" y="0"/>
                            <a:ext cx="5544732" cy="6853906"/>
                          </a:xfrm>
                          <a:prstGeom prst="rect">
                            <a:avLst/>
                          </a:prstGeom>
                          <a:noFill/>
                          <a:ln w="28575">
                            <a:solidFill>
                              <a:srgbClr val="1E4959"/>
                            </a:solidFill>
                          </a:ln>
                        </pic:spPr>
                      </pic:pic>
                    </a:graphicData>
                  </a:graphic>
                </wp:inline>
              </w:drawing>
            </w:r>
          </w:p>
        </w:tc>
      </w:tr>
    </w:tbl>
    <w:p w14:paraId="78B4668E" w14:textId="77777777" w:rsidR="006E5354" w:rsidRPr="000754FA" w:rsidRDefault="006E5354" w:rsidP="006E5354">
      <w:pPr>
        <w:spacing w:after="200" w:line="276" w:lineRule="auto"/>
        <w:ind w:left="-90"/>
        <w:jc w:val="center"/>
        <w:rPr>
          <w:rFonts w:cs="Arial"/>
          <w:szCs w:val="22"/>
        </w:rPr>
        <w:sectPr w:rsidR="006E5354" w:rsidRPr="000754FA" w:rsidSect="00E64CFA">
          <w:pgSz w:w="12240" w:h="15840"/>
          <w:pgMar w:top="1080" w:right="1440" w:bottom="1080" w:left="1440" w:header="720" w:footer="720" w:gutter="0"/>
          <w:paperSrc w:first="15" w:other="15"/>
          <w:cols w:space="720"/>
          <w:noEndnote/>
        </w:sectPr>
      </w:pPr>
    </w:p>
    <w:p w14:paraId="29F5B908" w14:textId="1535BB77" w:rsidR="006E5354" w:rsidRDefault="00545ED7" w:rsidP="006E5354">
      <w:pPr>
        <w:widowControl w:val="0"/>
        <w:rPr>
          <w:rFonts w:eastAsia="Calibri" w:cs="Arial"/>
          <w:bCs/>
          <w:iCs/>
          <w:color w:val="000000"/>
          <w:szCs w:val="22"/>
        </w:rPr>
      </w:pPr>
      <w:r w:rsidRPr="007A000E">
        <w:rPr>
          <w:rFonts w:eastAsia="Calibri" w:cs="Arial"/>
          <w:bCs/>
          <w:iCs/>
          <w:color w:val="000000"/>
          <w:szCs w:val="22"/>
          <w:highlight w:val="green"/>
        </w:rPr>
        <w:lastRenderedPageBreak/>
        <w:t>Insert Land Sale Aerial Plats</w:t>
      </w:r>
      <w:r w:rsidR="00046A82" w:rsidRPr="007A000E">
        <w:rPr>
          <w:rFonts w:eastAsia="Calibri" w:cs="Arial"/>
          <w:bCs/>
          <w:iCs/>
          <w:color w:val="000000"/>
          <w:szCs w:val="22"/>
          <w:highlight w:val="green"/>
        </w:rPr>
        <w:t xml:space="preserve"> or Comp Write-ups</w:t>
      </w:r>
    </w:p>
    <w:p w14:paraId="49657B01" w14:textId="77777777" w:rsidR="00AA4ACB" w:rsidRPr="000754FA" w:rsidRDefault="00AA4ACB" w:rsidP="006E5354">
      <w:pPr>
        <w:widowControl w:val="0"/>
        <w:rPr>
          <w:rFonts w:eastAsia="Calibri" w:cs="Arial"/>
          <w:bCs/>
          <w:iCs/>
          <w:color w:val="000000"/>
          <w:szCs w:val="22"/>
        </w:rPr>
      </w:pPr>
    </w:p>
    <w:p w14:paraId="52C84424" w14:textId="77777777" w:rsidR="006E5354" w:rsidRPr="000754FA" w:rsidRDefault="006E5354" w:rsidP="006E5354">
      <w:pPr>
        <w:rPr>
          <w:rFonts w:eastAsia="Calibri" w:cs="Arial"/>
          <w:color w:val="000000"/>
          <w:szCs w:val="22"/>
        </w:rPr>
        <w:sectPr w:rsidR="006E5354" w:rsidRPr="000754FA" w:rsidSect="00E64CFA">
          <w:pgSz w:w="12240" w:h="15840"/>
          <w:pgMar w:top="1440" w:right="1440" w:bottom="720" w:left="1440" w:header="720" w:footer="720" w:gutter="0"/>
          <w:cols w:space="720"/>
          <w:docGrid w:linePitch="360"/>
        </w:sectPr>
      </w:pPr>
    </w:p>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E5354" w:rsidRPr="000754FA" w14:paraId="3EE86B57" w14:textId="77777777" w:rsidTr="00FE402D">
        <w:trPr>
          <w:trHeight w:hRule="exact" w:val="590"/>
        </w:trPr>
        <w:tc>
          <w:tcPr>
            <w:tcW w:w="9360" w:type="dxa"/>
            <w:vAlign w:val="center"/>
          </w:tcPr>
          <w:p w14:paraId="67EB09EB" w14:textId="77777777" w:rsidR="006E5354" w:rsidRPr="000754FA" w:rsidRDefault="006E5354" w:rsidP="00FE402D">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w:lastRenderedPageBreak/>
              <mc:AlternateContent>
                <mc:Choice Requires="wps">
                  <w:drawing>
                    <wp:anchor distT="0" distB="0" distL="114300" distR="114300" simplePos="0" relativeHeight="251661312" behindDoc="0" locked="0" layoutInCell="1" allowOverlap="1" wp14:anchorId="01B92711" wp14:editId="371C6B7A">
                      <wp:simplePos x="0" y="0"/>
                      <wp:positionH relativeFrom="column">
                        <wp:posOffset>-72390</wp:posOffset>
                      </wp:positionH>
                      <wp:positionV relativeFrom="paragraph">
                        <wp:posOffset>-19050</wp:posOffset>
                      </wp:positionV>
                      <wp:extent cx="5943600" cy="330200"/>
                      <wp:effectExtent l="0" t="0" r="0" b="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0200"/>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70FA094D" w14:textId="77777777" w:rsidR="006E5354" w:rsidRPr="00E03623" w:rsidRDefault="006E5354" w:rsidP="006E5354">
                                  <w:pPr>
                                    <w:pStyle w:val="AddendaHeading"/>
                                  </w:pPr>
                                  <w:bookmarkStart w:id="6" w:name="_Toc1571336"/>
                                  <w:r w:rsidRPr="00E64CFA">
                                    <w:t>Section 2 – Leased Fee Valuation</w:t>
                                  </w:r>
                                  <w:bookmarkEnd w:id="6"/>
                                </w:p>
                                <w:p w14:paraId="4343BDCB" w14:textId="77777777" w:rsidR="006E5354" w:rsidRPr="00E03623" w:rsidRDefault="006E5354" w:rsidP="006E5354">
                                  <w:pPr>
                                    <w:pStyle w:val="TOC1"/>
                                  </w:pPr>
                                </w:p>
                                <w:p w14:paraId="18D4E11A" w14:textId="77777777" w:rsidR="006E5354" w:rsidRPr="00883365" w:rsidRDefault="006E5354" w:rsidP="006E5354">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92711" id="_x0000_s1028" type="#_x0000_t202" style="position:absolute;margin-left:-5.7pt;margin-top:-1.5pt;width:468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" fillcolor="#1c4554" stroked="f">
                      <v:fill color2="#e3e3e3" angle="45" colors="0 #1c4554;51118f #1c4554" focus="100%" type="gradient">
                        <o:fill v:ext="view" type="gradientUnscaled"/>
                      </v:fill>
                      <v:textbox>
                        <w:txbxContent>
                          <w:p w14:paraId="70FA094D" w14:textId="77777777" w:rsidR="006E5354" w:rsidRPr="00E03623" w:rsidRDefault="006E5354" w:rsidP="006E5354">
                            <w:pPr>
                              <w:pStyle w:val="AddendaHeading"/>
                            </w:pPr>
                            <w:bookmarkStart w:id="9" w:name="_Toc1571336"/>
                            <w:r w:rsidRPr="00E64CFA">
                              <w:t>Section 2 – Leased Fee Valuation</w:t>
                            </w:r>
                            <w:bookmarkEnd w:id="9"/>
                          </w:p>
                          <w:p w14:paraId="4343BDCB" w14:textId="77777777" w:rsidR="006E5354" w:rsidRPr="00E03623" w:rsidRDefault="006E5354" w:rsidP="006E5354">
                            <w:pPr>
                              <w:pStyle w:val="TOC1"/>
                            </w:pPr>
                          </w:p>
                          <w:p w14:paraId="18D4E11A" w14:textId="77777777" w:rsidR="006E5354" w:rsidRPr="00883365" w:rsidRDefault="006E5354" w:rsidP="006E5354">
                            <w:pPr>
                              <w:rPr>
                                <w:rFonts w:ascii="Arial Narrow" w:hAnsi="Arial Narrow" w:cs="Arial"/>
                                <w:smallCaps/>
                                <w:color w:val="1E4959"/>
                                <w:sz w:val="28"/>
                                <w:szCs w:val="28"/>
                              </w:rPr>
                            </w:pPr>
                          </w:p>
                        </w:txbxContent>
                      </v:textbox>
                    </v:shape>
                  </w:pict>
                </mc:Fallback>
              </mc:AlternateContent>
            </w:r>
            <w:r w:rsidRPr="000754FA">
              <w:rPr>
                <w:szCs w:val="22"/>
              </w:rPr>
              <w:tab/>
            </w:r>
          </w:p>
        </w:tc>
      </w:tr>
    </w:tbl>
    <w:p w14:paraId="756AC2D1" w14:textId="77777777" w:rsidR="006E5354" w:rsidRPr="000754FA" w:rsidRDefault="006E5354" w:rsidP="006E5354">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Methodology</w:t>
      </w:r>
    </w:p>
    <w:p w14:paraId="1BC0C071" w14:textId="77777777" w:rsidR="006E5354" w:rsidRPr="00E64CFA" w:rsidRDefault="006E5354" w:rsidP="006E5354">
      <w:pPr>
        <w:widowControl w:val="0"/>
        <w:rPr>
          <w:rFonts w:cs="Arial"/>
          <w:szCs w:val="22"/>
        </w:rPr>
      </w:pPr>
      <w:r w:rsidRPr="00E64CFA">
        <w:rPr>
          <w:rFonts w:cs="Arial"/>
          <w:szCs w:val="22"/>
        </w:rPr>
        <w:t xml:space="preserve">There are two opposite methods an appraiser can employ in approaching the valuation of the subject leased fee interest, as encumbered by the existing ground lease.  In the first method, this involves allocations of value by direct deduction or addition of the tenant / lessee’s </w:t>
      </w:r>
      <w:r>
        <w:rPr>
          <w:rFonts w:cs="Arial"/>
          <w:szCs w:val="22"/>
        </w:rPr>
        <w:t xml:space="preserve">positive or negative </w:t>
      </w:r>
      <w:r w:rsidRPr="00E64CFA">
        <w:rPr>
          <w:rFonts w:cs="Arial"/>
          <w:szCs w:val="22"/>
        </w:rPr>
        <w:t xml:space="preserve">leasehold interest to the concluded fee simple land value in arriving at a leased fee value estimate for the subject.  In the second method, a discounted cash flow analysis involving the projection of the contract rent payable on the underlying ground lease over the remaining term of the ground lease (reasonably assumed over the </w:t>
      </w:r>
      <w:r w:rsidRPr="00D410F0">
        <w:rPr>
          <w:rFonts w:cs="Arial"/>
          <w:szCs w:val="22"/>
          <w:highlight w:val="yellow"/>
        </w:rPr>
        <w:t>30 years potentially remaining</w:t>
      </w:r>
      <w:r w:rsidRPr="00E64CFA">
        <w:rPr>
          <w:rFonts w:cs="Arial"/>
          <w:szCs w:val="22"/>
        </w:rPr>
        <w:t xml:space="preserve"> on the lease as </w:t>
      </w:r>
      <w:r w:rsidRPr="00D410F0">
        <w:rPr>
          <w:rFonts w:cs="Arial"/>
          <w:szCs w:val="22"/>
          <w:highlight w:val="yellow"/>
        </w:rPr>
        <w:t>of January 10, 2019</w:t>
      </w:r>
      <w:r w:rsidRPr="00E64CFA">
        <w:rPr>
          <w:rFonts w:cs="Arial"/>
          <w:szCs w:val="22"/>
        </w:rPr>
        <w:t xml:space="preserve">, which assumes the </w:t>
      </w:r>
      <w:r>
        <w:rPr>
          <w:rFonts w:cs="Arial"/>
          <w:szCs w:val="22"/>
        </w:rPr>
        <w:t xml:space="preserve">current </w:t>
      </w:r>
      <w:r w:rsidRPr="00D410F0">
        <w:rPr>
          <w:rFonts w:cs="Arial"/>
          <w:szCs w:val="22"/>
          <w:highlight w:val="yellow"/>
        </w:rPr>
        <w:t>5-year term plus the remaining [5] 5-year options to extend),</w:t>
      </w:r>
      <w:r w:rsidRPr="00E64CFA">
        <w:rPr>
          <w:rFonts w:cs="Arial"/>
          <w:szCs w:val="22"/>
        </w:rPr>
        <w:t xml:space="preserve"> and discounting this cash flow plus the reversionary interest in the subject land back to a present value equating the current leased fee interest. Finally, these two value estimates will be reconciled into a final market value of the subject leased fee interest.</w:t>
      </w:r>
    </w:p>
    <w:p w14:paraId="4CA373E9" w14:textId="77777777" w:rsidR="006E5354" w:rsidRPr="00E64CFA" w:rsidRDefault="006E5354" w:rsidP="006E5354">
      <w:pPr>
        <w:widowControl w:val="0"/>
        <w:rPr>
          <w:rFonts w:cs="Arial"/>
          <w:szCs w:val="22"/>
        </w:rPr>
      </w:pPr>
    </w:p>
    <w:p w14:paraId="35A288B6" w14:textId="77777777" w:rsidR="006E5354" w:rsidRDefault="006E5354" w:rsidP="006E5354">
      <w:pPr>
        <w:widowControl w:val="0"/>
        <w:rPr>
          <w:rFonts w:cs="Arial"/>
          <w:szCs w:val="22"/>
        </w:rPr>
      </w:pPr>
      <w:r w:rsidRPr="00E64CFA">
        <w:rPr>
          <w:rFonts w:cs="Arial"/>
          <w:szCs w:val="22"/>
        </w:rPr>
        <w:t>Based on the preceding, our leasehold analyses are provided as follows.</w:t>
      </w:r>
    </w:p>
    <w:p w14:paraId="37638A81" w14:textId="77777777" w:rsidR="006E5354" w:rsidRPr="000754FA" w:rsidRDefault="006E5354" w:rsidP="006E5354">
      <w:pPr>
        <w:pStyle w:val="Heading20"/>
        <w:rPr>
          <w:rFonts w:asciiTheme="minorHAnsi" w:hAnsiTheme="minorHAnsi" w:cs="Arial"/>
          <w:b w:val="0"/>
          <w:color w:val="1E4959"/>
          <w:spacing w:val="0"/>
          <w:kern w:val="20"/>
          <w:sz w:val="28"/>
          <w:szCs w:val="22"/>
        </w:rPr>
      </w:pPr>
      <w:r w:rsidRPr="00E64CFA">
        <w:rPr>
          <w:rFonts w:asciiTheme="minorHAnsi" w:hAnsiTheme="minorHAnsi" w:cs="Arial"/>
          <w:b w:val="0"/>
          <w:color w:val="1E4959"/>
          <w:spacing w:val="0"/>
          <w:kern w:val="20"/>
          <w:sz w:val="28"/>
          <w:szCs w:val="22"/>
        </w:rPr>
        <w:t>Method 1 – Allocation of Value</w:t>
      </w:r>
    </w:p>
    <w:p w14:paraId="00C54F48" w14:textId="48380025" w:rsidR="006E5354" w:rsidRPr="003918D5" w:rsidRDefault="006E5354" w:rsidP="006E5354">
      <w:pPr>
        <w:widowControl w:val="0"/>
        <w:rPr>
          <w:rFonts w:cstheme="minorHAnsi"/>
        </w:rPr>
      </w:pPr>
      <w:r w:rsidRPr="003918D5">
        <w:rPr>
          <w:rFonts w:cstheme="minorHAnsi"/>
        </w:rPr>
        <w:t xml:space="preserve">As noted, the subject site is currently 100% leased to one </w:t>
      </w:r>
      <w:r>
        <w:rPr>
          <w:rFonts w:cstheme="minorHAnsi"/>
        </w:rPr>
        <w:t>master ground Lessee</w:t>
      </w:r>
      <w:r w:rsidRPr="003918D5">
        <w:rPr>
          <w:rFonts w:cstheme="minorHAnsi"/>
        </w:rPr>
        <w:t xml:space="preserve">.  In estimating the leased fee value of the subject property (as of </w:t>
      </w:r>
      <w:r w:rsidR="00D6746C">
        <w:rPr>
          <w:rFonts w:cs="Arial"/>
          <w:szCs w:val="22"/>
        </w:rPr>
        <w:t>${</w:t>
      </w:r>
      <w:proofErr w:type="spellStart"/>
      <w:r w:rsidR="00D6746C" w:rsidRPr="00D6746C">
        <w:rPr>
          <w:rFonts w:cs="Arial"/>
          <w:szCs w:val="22"/>
        </w:rPr>
        <w:t>eff_date_value</w:t>
      </w:r>
      <w:proofErr w:type="spellEnd"/>
      <w:r w:rsidR="00D6746C">
        <w:rPr>
          <w:rFonts w:cs="Arial"/>
          <w:szCs w:val="22"/>
        </w:rPr>
        <w:t>}</w:t>
      </w:r>
      <w:r w:rsidRPr="003918D5">
        <w:rPr>
          <w:rFonts w:cstheme="minorHAnsi"/>
        </w:rPr>
        <w:t>), it is necessary to adjust its concluded fee simple value for the impact of the tenant's leasehold position caused by the payment of below or above-market, contract rent over their remaining lease terms.</w:t>
      </w:r>
    </w:p>
    <w:p w14:paraId="2C7F3D85" w14:textId="77777777" w:rsidR="006E5354" w:rsidRPr="003918D5" w:rsidRDefault="006E5354" w:rsidP="006E5354">
      <w:pPr>
        <w:widowControl w:val="0"/>
        <w:rPr>
          <w:rFonts w:cstheme="minorHAnsi"/>
        </w:rPr>
      </w:pPr>
    </w:p>
    <w:p w14:paraId="2867F248" w14:textId="46B7F685" w:rsidR="006E5354" w:rsidRPr="00772FBB" w:rsidRDefault="006E5354" w:rsidP="006E5354">
      <w:pPr>
        <w:widowControl w:val="0"/>
        <w:rPr>
          <w:rFonts w:cstheme="minorHAnsi"/>
        </w:rPr>
      </w:pPr>
      <w:r w:rsidRPr="00D410F0">
        <w:rPr>
          <w:rFonts w:cstheme="minorHAnsi"/>
          <w:highlight w:val="yellow"/>
        </w:rPr>
        <w:t xml:space="preserve">As previously discussed in the Sale History subsection, the subject ground lease is for an initial 20-year period to the lessee – Home Depot USA, Inc. (NYSE HD; Moody’s “A2” / S&amp;P’s “A” credit ratings), with the lessee having (6) 5-year options to extend.  The original 20-year term began February 1, 1999 and ended January 31, 2019 (shortly after the effective date of value of </w:t>
      </w:r>
      <w:r w:rsidR="00D6746C" w:rsidRPr="00D6746C">
        <w:rPr>
          <w:rFonts w:cstheme="minorHAnsi"/>
        </w:rPr>
        <w:t>${</w:t>
      </w:r>
      <w:proofErr w:type="spellStart"/>
      <w:r w:rsidR="00D6746C" w:rsidRPr="00D6746C">
        <w:rPr>
          <w:rFonts w:cstheme="minorHAnsi"/>
        </w:rPr>
        <w:t>eff_date_value</w:t>
      </w:r>
      <w:proofErr w:type="spellEnd"/>
      <w:r w:rsidR="00D6746C">
        <w:rPr>
          <w:rFonts w:cstheme="minorHAnsi"/>
        </w:rPr>
        <w:t>}</w:t>
      </w:r>
      <w:r w:rsidRPr="00D410F0">
        <w:rPr>
          <w:rFonts w:cstheme="minorHAnsi"/>
          <w:highlight w:val="yellow"/>
        </w:rPr>
        <w:t>). The terms are absolute triple net with tenant responsible for all expenses, including management and reserves for capital improvement replacement.  Pertinent excerpts of the ground lease are contained in the Addenda of this report.  A tenant rent roll relative to the master ground lease is provided below.</w:t>
      </w:r>
    </w:p>
    <w:p w14:paraId="36C686C4" w14:textId="77777777" w:rsidR="006E5354" w:rsidRPr="00772FBB" w:rsidRDefault="006E5354" w:rsidP="006E5354">
      <w:pPr>
        <w:widowControl w:val="0"/>
        <w:rPr>
          <w:rFonts w:cstheme="minorHAnsi"/>
        </w:rPr>
      </w:pPr>
    </w:p>
    <w:p w14:paraId="792CDDC9" w14:textId="77777777" w:rsidR="006E5354" w:rsidRDefault="006E5354" w:rsidP="006E5354">
      <w:pPr>
        <w:widowControl w:val="0"/>
        <w:ind w:left="-720"/>
        <w:rPr>
          <w:rFonts w:cstheme="minorHAnsi"/>
        </w:rPr>
      </w:pPr>
      <w:r w:rsidRPr="00D50FDF">
        <w:rPr>
          <w:noProof/>
        </w:rPr>
        <w:drawing>
          <wp:inline distT="0" distB="0" distL="0" distR="0" wp14:anchorId="5853F8EB" wp14:editId="288138CC">
            <wp:extent cx="6713977" cy="23993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6731941" cy="2405806"/>
                    </a:xfrm>
                    <a:prstGeom prst="rect">
                      <a:avLst/>
                    </a:prstGeom>
                    <a:noFill/>
                    <a:ln>
                      <a:noFill/>
                    </a:ln>
                  </pic:spPr>
                </pic:pic>
              </a:graphicData>
            </a:graphic>
          </wp:inline>
        </w:drawing>
      </w:r>
    </w:p>
    <w:p w14:paraId="4945629A" w14:textId="77777777" w:rsidR="006E5354" w:rsidRDefault="006E5354" w:rsidP="006E5354">
      <w:pPr>
        <w:widowControl w:val="0"/>
        <w:rPr>
          <w:rFonts w:cstheme="minorHAnsi"/>
          <w:highlight w:val="yellow"/>
        </w:rPr>
      </w:pPr>
    </w:p>
    <w:p w14:paraId="05E48E15" w14:textId="77777777" w:rsidR="006E5354" w:rsidRDefault="006E5354" w:rsidP="006E5354">
      <w:pPr>
        <w:widowControl w:val="0"/>
        <w:rPr>
          <w:rFonts w:cstheme="minorHAnsi"/>
          <w:highlight w:val="yellow"/>
        </w:rPr>
      </w:pPr>
    </w:p>
    <w:p w14:paraId="2C2B70D4" w14:textId="77777777" w:rsidR="006E5354" w:rsidRDefault="006E5354" w:rsidP="006E5354">
      <w:pPr>
        <w:widowControl w:val="0"/>
        <w:rPr>
          <w:rFonts w:cstheme="minorHAnsi"/>
        </w:rPr>
      </w:pPr>
      <w:r w:rsidRPr="00D410F0">
        <w:rPr>
          <w:rFonts w:cstheme="minorHAnsi"/>
          <w:highlight w:val="yellow"/>
        </w:rPr>
        <w:lastRenderedPageBreak/>
        <w:t>On February 1, 2014, the contract rent for the 5-year period which ended January 1, 2019 was fixed a monthly rate in advance at $48,054.20 per month ($576,650.40 per year), when ran through the end of the initial 20-year lease term.  Section 4.1 &amp; 4.2 of the original ground lease stipulated that every 5 years thereafter, the rent adjusts by the percentage increase in CPI – Urban Wage Earners and Clerical Workers (All Items, USA, 1982-1984 = 100), but in any event no greater than 12.5%. According to the ground lessor’s representative, the CPI increase over the prior 5 year period results in a contract rate for the 1st / current 5-year period beginning February 1, 2019 of $52,304.01 per month ($627,648.18 per year) or a +8.84% increase over the prior period (less than the maximum of 12.5%).  The tenant also has (5) remaining 5-year lease options to extend, or the potential for up to 25 years in option extensions beyond the current first renewal term.</w:t>
      </w:r>
      <w:r w:rsidRPr="002D7663">
        <w:rPr>
          <w:rFonts w:cstheme="minorHAnsi"/>
        </w:rPr>
        <w:t xml:space="preserve">  </w:t>
      </w:r>
      <w:r w:rsidRPr="003918D5">
        <w:rPr>
          <w:rFonts w:cstheme="minorHAnsi"/>
        </w:rPr>
        <w:t xml:space="preserve"> </w:t>
      </w:r>
    </w:p>
    <w:p w14:paraId="19944D82" w14:textId="77777777" w:rsidR="006E5354" w:rsidRDefault="006E5354" w:rsidP="006E5354">
      <w:pPr>
        <w:widowControl w:val="0"/>
        <w:rPr>
          <w:rFonts w:cstheme="minorHAnsi"/>
        </w:rPr>
      </w:pPr>
    </w:p>
    <w:p w14:paraId="696E3B8E" w14:textId="42B03D90" w:rsidR="006E5354" w:rsidRPr="003918D5" w:rsidRDefault="006E5354" w:rsidP="006E5354">
      <w:pPr>
        <w:widowControl w:val="0"/>
        <w:rPr>
          <w:rFonts w:cstheme="minorHAnsi"/>
        </w:rPr>
      </w:pPr>
      <w:r>
        <w:rPr>
          <w:rFonts w:cstheme="minorHAnsi"/>
        </w:rPr>
        <w:t xml:space="preserve">Overall, the current contract rent is considered </w:t>
      </w:r>
      <w:r w:rsidRPr="00545ED7">
        <w:rPr>
          <w:rFonts w:cstheme="minorHAnsi"/>
          <w:highlight w:val="yellow"/>
        </w:rPr>
        <w:t>slightly</w:t>
      </w:r>
      <w:r>
        <w:rPr>
          <w:rFonts w:cstheme="minorHAnsi"/>
        </w:rPr>
        <w:t xml:space="preserve"> </w:t>
      </w:r>
      <w:sdt>
        <w:sdtPr>
          <w:rPr>
            <w:rFonts w:cstheme="minorHAnsi"/>
            <w:highlight w:val="green"/>
          </w:rPr>
          <w:alias w:val="Contract Rent Position"/>
          <w:tag w:val="Contract Rent Position"/>
          <w:id w:val="1821689633"/>
          <w:placeholder>
            <w:docPart w:val="70DC3CF55DD942188D07CC561DAF286A"/>
          </w:placeholder>
          <w:dropDownList>
            <w:listItem w:value="Choose an item."/>
            <w:listItem w:displayText="below" w:value="below"/>
            <w:listItem w:displayText="above" w:value="above"/>
          </w:dropDownList>
        </w:sdtPr>
        <w:sdtEndPr/>
        <w:sdtContent>
          <w:r w:rsidR="00545ED7" w:rsidRPr="002B204F">
            <w:rPr>
              <w:rFonts w:cstheme="minorHAnsi"/>
              <w:highlight w:val="green"/>
            </w:rPr>
            <w:t>below</w:t>
          </w:r>
        </w:sdtContent>
      </w:sdt>
      <w:r w:rsidR="00545ED7">
        <w:rPr>
          <w:rFonts w:cstheme="minorHAnsi"/>
        </w:rPr>
        <w:t xml:space="preserve"> </w:t>
      </w:r>
      <w:r>
        <w:rPr>
          <w:rFonts w:cstheme="minorHAnsi"/>
        </w:rPr>
        <w:t xml:space="preserve">market with a measurable </w:t>
      </w:r>
      <w:sdt>
        <w:sdtPr>
          <w:rPr>
            <w:rFonts w:cstheme="minorHAnsi"/>
            <w:iCs/>
            <w:highlight w:val="green"/>
          </w:rPr>
          <w:alias w:val="LH Positioin"/>
          <w:tag w:val="LH Positioin"/>
          <w:id w:val="-1606644864"/>
          <w:placeholder>
            <w:docPart w:val="FB882C7688C1446AA632496834EC14A2"/>
          </w:placeholder>
          <w:dropDownList>
            <w:listItem w:value="Choose an item."/>
            <w:listItem w:displayText="positive" w:value="positive"/>
            <w:listItem w:displayText="negative" w:value="negative"/>
          </w:dropDownList>
        </w:sdtPr>
        <w:sdtEndPr/>
        <w:sdtContent>
          <w:r w:rsidR="00545ED7" w:rsidRPr="002B204F">
            <w:rPr>
              <w:rFonts w:cstheme="minorHAnsi"/>
              <w:iCs/>
              <w:highlight w:val="green"/>
            </w:rPr>
            <w:t>positive</w:t>
          </w:r>
        </w:sdtContent>
      </w:sdt>
      <w:r w:rsidR="00545ED7" w:rsidRPr="003918D5">
        <w:rPr>
          <w:rFonts w:cstheme="minorHAnsi"/>
          <w:iCs/>
        </w:rPr>
        <w:t xml:space="preserve"> </w:t>
      </w:r>
      <w:r>
        <w:rPr>
          <w:rFonts w:cstheme="minorHAnsi"/>
        </w:rPr>
        <w:t>leasehold interest</w:t>
      </w:r>
      <w:r w:rsidRPr="003918D5">
        <w:rPr>
          <w:rFonts w:cstheme="minorHAnsi"/>
        </w:rPr>
        <w:t xml:space="preserve">. Our leasehold analysis of the subject is presented in the chart following this subsection, and explained in the following narrative. </w:t>
      </w:r>
    </w:p>
    <w:p w14:paraId="44EFB3CB" w14:textId="77777777" w:rsidR="006E5354" w:rsidRPr="003918D5" w:rsidRDefault="006E5354" w:rsidP="006E5354">
      <w:pPr>
        <w:widowControl w:val="0"/>
        <w:rPr>
          <w:rFonts w:cstheme="minorHAnsi"/>
        </w:rPr>
      </w:pPr>
    </w:p>
    <w:p w14:paraId="3AD13A3A" w14:textId="202DC19F" w:rsidR="006E5354" w:rsidRPr="003918D5" w:rsidRDefault="006E5354" w:rsidP="006E5354">
      <w:pPr>
        <w:widowControl w:val="0"/>
        <w:rPr>
          <w:rFonts w:cstheme="minorHAnsi"/>
        </w:rPr>
      </w:pPr>
      <w:r w:rsidRPr="003918D5">
        <w:rPr>
          <w:rFonts w:cstheme="minorHAnsi"/>
        </w:rPr>
        <w:t xml:space="preserve">With respect to market rent escalations, we have anticipated future inflation at a rate of </w:t>
      </w:r>
      <w:r w:rsidRPr="00545ED7">
        <w:rPr>
          <w:rFonts w:cstheme="minorHAnsi"/>
          <w:highlight w:val="yellow"/>
        </w:rPr>
        <w:t>+2.0% per year</w:t>
      </w:r>
      <w:r w:rsidRPr="003918D5">
        <w:rPr>
          <w:rFonts w:cstheme="minorHAnsi"/>
        </w:rPr>
        <w:t xml:space="preserve">. This rate of </w:t>
      </w:r>
      <w:r w:rsidRPr="00740ADE">
        <w:rPr>
          <w:rFonts w:cstheme="minorHAnsi"/>
        </w:rPr>
        <w:t xml:space="preserve">appreciation is supported by investor expectations indicated by recent, long-term tenant leases in the Portland market.  Finally, as indicated in the following chart from the </w:t>
      </w:r>
      <w:r w:rsidRPr="00740ADE">
        <w:rPr>
          <w:rFonts w:cstheme="minorHAnsi"/>
          <w:u w:val="single"/>
        </w:rPr>
        <w:t>PwC Real Estate Investor Survey</w:t>
      </w:r>
      <w:r w:rsidRPr="00740ADE">
        <w:rPr>
          <w:rFonts w:cstheme="minorHAnsi"/>
        </w:rPr>
        <w:t xml:space="preserve"> – </w:t>
      </w:r>
      <w:r w:rsidRPr="00D410F0">
        <w:rPr>
          <w:rFonts w:cstheme="minorHAnsi"/>
          <w:highlight w:val="yellow"/>
        </w:rPr>
        <w:t>Q-4 20</w:t>
      </w:r>
      <w:r w:rsidR="00D410F0" w:rsidRPr="00D410F0">
        <w:rPr>
          <w:rFonts w:cstheme="minorHAnsi"/>
          <w:highlight w:val="yellow"/>
        </w:rPr>
        <w:t>20</w:t>
      </w:r>
      <w:r w:rsidR="00D410F0">
        <w:rPr>
          <w:rFonts w:cstheme="minorHAnsi"/>
        </w:rPr>
        <w:t xml:space="preserve"> </w:t>
      </w:r>
      <w:r w:rsidRPr="00740ADE">
        <w:rPr>
          <w:rFonts w:cstheme="minorHAnsi"/>
        </w:rPr>
        <w:t xml:space="preserve">this survey indicates current investor expectations for rent inflation range from </w:t>
      </w:r>
      <w:r w:rsidRPr="00D410F0">
        <w:rPr>
          <w:rFonts w:cstheme="minorHAnsi"/>
          <w:highlight w:val="yellow"/>
        </w:rPr>
        <w:t>0.0% to 4.0%</w:t>
      </w:r>
      <w:r w:rsidRPr="00740ADE">
        <w:rPr>
          <w:rFonts w:cstheme="minorHAnsi"/>
        </w:rPr>
        <w:t xml:space="preserve"> with an averag</w:t>
      </w:r>
      <w:r w:rsidRPr="003918D5">
        <w:rPr>
          <w:rFonts w:cstheme="minorHAnsi"/>
        </w:rPr>
        <w:t xml:space="preserve">e of </w:t>
      </w:r>
      <w:r w:rsidRPr="00D410F0">
        <w:rPr>
          <w:rFonts w:cstheme="minorHAnsi"/>
          <w:highlight w:val="yellow"/>
        </w:rPr>
        <w:t>2.0%</w:t>
      </w:r>
      <w:r w:rsidRPr="003918D5">
        <w:rPr>
          <w:rFonts w:cstheme="minorHAnsi"/>
        </w:rPr>
        <w:t xml:space="preserve"> for </w:t>
      </w:r>
      <w:r w:rsidRPr="00930CD9">
        <w:rPr>
          <w:rFonts w:cstheme="minorHAnsi"/>
          <w:highlight w:val="yellow"/>
        </w:rPr>
        <w:t>the National Net Lease Market</w:t>
      </w:r>
      <w:r w:rsidRPr="003918D5">
        <w:rPr>
          <w:rFonts w:cstheme="minorHAnsi"/>
        </w:rPr>
        <w:t xml:space="preserve">. </w:t>
      </w:r>
    </w:p>
    <w:p w14:paraId="07B3A7DA" w14:textId="77777777" w:rsidR="006E5354" w:rsidRDefault="006E5354" w:rsidP="006E5354">
      <w:pPr>
        <w:widowControl w:val="0"/>
        <w:rPr>
          <w:rFonts w:cstheme="minorHAnsi"/>
        </w:rPr>
      </w:pPr>
    </w:p>
    <w:p w14:paraId="123B1570" w14:textId="77777777" w:rsidR="006E5354" w:rsidRPr="003918D5" w:rsidRDefault="006E5354" w:rsidP="006E5354">
      <w:pPr>
        <w:widowControl w:val="0"/>
        <w:rPr>
          <w:rFonts w:cstheme="minorHAnsi"/>
        </w:rPr>
      </w:pPr>
      <w:r>
        <w:rPr>
          <w:noProof/>
        </w:rPr>
        <w:drawing>
          <wp:inline distT="0" distB="0" distL="0" distR="0" wp14:anchorId="006CB365" wp14:editId="36E244FE">
            <wp:extent cx="5969000" cy="2082800"/>
            <wp:effectExtent l="38100" t="38100" r="88900" b="88900"/>
            <wp:docPr id="137" name="Picture 13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screen">
                      <a:extLst>
                        <a:ext uri="{28A0092B-C50C-407E-A947-70E740481C1C}">
                          <a14:useLocalDpi xmlns:a14="http://schemas.microsoft.com/office/drawing/2010/main"/>
                        </a:ext>
                      </a:extLst>
                    </a:blip>
                    <a:stretch>
                      <a:fillRect/>
                    </a:stretch>
                  </pic:blipFill>
                  <pic:spPr>
                    <a:xfrm>
                      <a:off x="0" y="0"/>
                      <a:ext cx="5969000" cy="2082800"/>
                    </a:xfrm>
                    <a:prstGeom prst="rect">
                      <a:avLst/>
                    </a:prstGeom>
                    <a:effectLst>
                      <a:outerShdw blurRad="50800" dist="38100" dir="2700000" algn="tl" rotWithShape="0">
                        <a:prstClr val="black">
                          <a:alpha val="40000"/>
                        </a:prstClr>
                      </a:outerShdw>
                    </a:effectLst>
                  </pic:spPr>
                </pic:pic>
              </a:graphicData>
            </a:graphic>
          </wp:inline>
        </w:drawing>
      </w:r>
    </w:p>
    <w:p w14:paraId="7FB228D9" w14:textId="77777777" w:rsidR="006E5354" w:rsidRPr="003918D5" w:rsidRDefault="006E5354" w:rsidP="006E5354">
      <w:pPr>
        <w:widowControl w:val="0"/>
        <w:rPr>
          <w:rFonts w:cstheme="minorHAnsi"/>
        </w:rPr>
      </w:pPr>
    </w:p>
    <w:p w14:paraId="70D611C1" w14:textId="77777777" w:rsidR="006E5354" w:rsidRPr="003918D5" w:rsidRDefault="006E5354" w:rsidP="006E5354">
      <w:pPr>
        <w:widowControl w:val="0"/>
        <w:rPr>
          <w:rFonts w:cstheme="minorHAnsi"/>
        </w:rPr>
      </w:pPr>
      <w:r w:rsidRPr="003918D5">
        <w:rPr>
          <w:rFonts w:cstheme="minorHAnsi"/>
        </w:rPr>
        <w:t xml:space="preserve">Over the remaining term of the tenant lease, the positive (or negative) leasehold position held by the tenant is merely the sum of the present values of the monthly differential between market and contract rents.  Because the tenant's rent is payable on a monthly basis, it was necessary to project the rent differential on a monthly basis, much like an annuity. The periodic (monthly) rent differential between contract and market rent for the remaining months of the lease was brought back to a present value based on proper discount rate. </w:t>
      </w:r>
    </w:p>
    <w:p w14:paraId="5F73FBF1" w14:textId="77777777" w:rsidR="006E5354" w:rsidRPr="003918D5" w:rsidRDefault="006E5354" w:rsidP="006E5354">
      <w:pPr>
        <w:widowControl w:val="0"/>
        <w:rPr>
          <w:rFonts w:cstheme="minorHAnsi"/>
        </w:rPr>
      </w:pPr>
    </w:p>
    <w:p w14:paraId="7F953CDD" w14:textId="05B1B7C8" w:rsidR="006E5354" w:rsidRPr="003918D5" w:rsidRDefault="006E5354" w:rsidP="006E5354">
      <w:pPr>
        <w:widowControl w:val="0"/>
        <w:rPr>
          <w:rFonts w:cstheme="minorHAnsi"/>
        </w:rPr>
      </w:pPr>
      <w:r w:rsidRPr="003918D5">
        <w:rPr>
          <w:rFonts w:cstheme="minorHAnsi"/>
        </w:rPr>
        <w:t xml:space="preserve">Our determination of a proper, market supported discount rate is based on surveyed national risk rate criteria from the PwC Real Estate Investor Survey provided preceding. As of </w:t>
      </w:r>
      <w:r w:rsidRPr="00D410F0">
        <w:rPr>
          <w:rFonts w:cstheme="minorHAnsi"/>
          <w:highlight w:val="yellow"/>
        </w:rPr>
        <w:t>Q-4 20</w:t>
      </w:r>
      <w:r w:rsidR="00D410F0" w:rsidRPr="00D410F0">
        <w:rPr>
          <w:rFonts w:cstheme="minorHAnsi"/>
          <w:highlight w:val="yellow"/>
        </w:rPr>
        <w:t>20</w:t>
      </w:r>
      <w:r w:rsidRPr="00D410F0">
        <w:rPr>
          <w:rFonts w:cstheme="minorHAnsi"/>
          <w:highlight w:val="yellow"/>
        </w:rPr>
        <w:t>,</w:t>
      </w:r>
      <w:r w:rsidRPr="003918D5">
        <w:rPr>
          <w:rFonts w:cstheme="minorHAnsi"/>
        </w:rPr>
        <w:t xml:space="preserve"> this survey indicates current investor expectations of </w:t>
      </w:r>
      <w:r w:rsidRPr="00D410F0">
        <w:rPr>
          <w:rFonts w:cstheme="minorHAnsi"/>
          <w:highlight w:val="yellow"/>
        </w:rPr>
        <w:t>5.0% to 12.0% with an average of 8.40%</w:t>
      </w:r>
      <w:r w:rsidRPr="00772FBB">
        <w:rPr>
          <w:rFonts w:cstheme="minorHAnsi"/>
        </w:rPr>
        <w:t xml:space="preserve"> for the </w:t>
      </w:r>
      <w:r w:rsidRPr="00930CD9">
        <w:rPr>
          <w:rFonts w:cstheme="minorHAnsi"/>
          <w:highlight w:val="yellow"/>
        </w:rPr>
        <w:t>National Net Lease Market</w:t>
      </w:r>
      <w:r w:rsidRPr="00772FBB">
        <w:rPr>
          <w:rFonts w:cstheme="minorHAnsi"/>
        </w:rPr>
        <w:t xml:space="preserve">.  Overall, we have assumed an upper-range </w:t>
      </w:r>
      <w:r w:rsidRPr="00545ED7">
        <w:rPr>
          <w:rFonts w:cstheme="minorHAnsi"/>
          <w:highlight w:val="yellow"/>
        </w:rPr>
        <w:t>10.00% discount rate</w:t>
      </w:r>
      <w:r w:rsidRPr="00772FBB">
        <w:rPr>
          <w:rFonts w:cstheme="minorHAnsi"/>
        </w:rPr>
        <w:t xml:space="preserve"> for purposes of this cash flow. </w:t>
      </w:r>
      <w:r w:rsidRPr="00545ED7">
        <w:rPr>
          <w:rFonts w:cstheme="minorHAnsi"/>
          <w:highlight w:val="yellow"/>
        </w:rPr>
        <w:t>While the Lessee has a very strong credit rating, the uncertainty related to the short 5-year renewal periods is a more than offsetting factor suggesting an upper end discount rate is applicable</w:t>
      </w:r>
      <w:r>
        <w:rPr>
          <w:rFonts w:cstheme="minorHAnsi"/>
        </w:rPr>
        <w:t>.</w:t>
      </w:r>
      <w:r w:rsidRPr="003918D5">
        <w:rPr>
          <w:rFonts w:cstheme="minorHAnsi"/>
        </w:rPr>
        <w:t xml:space="preserve"> </w:t>
      </w:r>
    </w:p>
    <w:p w14:paraId="29D7AC1F" w14:textId="77777777" w:rsidR="00930CD9" w:rsidRPr="003918D5" w:rsidRDefault="00930CD9" w:rsidP="006E5354">
      <w:pPr>
        <w:widowControl w:val="0"/>
        <w:rPr>
          <w:rFonts w:cstheme="minorHAnsi"/>
        </w:rPr>
      </w:pPr>
    </w:p>
    <w:p w14:paraId="72679CBC" w14:textId="77777777" w:rsidR="006E5354" w:rsidRPr="003918D5" w:rsidRDefault="006E5354" w:rsidP="006E5354">
      <w:pPr>
        <w:widowControl w:val="0"/>
        <w:rPr>
          <w:rFonts w:cstheme="minorHAnsi"/>
        </w:rPr>
      </w:pPr>
      <w:r w:rsidRPr="003918D5">
        <w:rPr>
          <w:rFonts w:cstheme="minorHAnsi"/>
        </w:rPr>
        <w:t xml:space="preserve">The calculations relating to our valuation of the subject leasehold interest are provided in the following chart.  Note that market rents are forecast to increase at </w:t>
      </w:r>
      <w:r w:rsidRPr="00545ED7">
        <w:rPr>
          <w:rFonts w:cstheme="minorHAnsi"/>
          <w:highlight w:val="yellow"/>
        </w:rPr>
        <w:t>2.0% per year</w:t>
      </w:r>
      <w:r w:rsidRPr="003918D5">
        <w:rPr>
          <w:rFonts w:cstheme="minorHAnsi"/>
        </w:rPr>
        <w:t xml:space="preserve">.  </w:t>
      </w:r>
      <w:r w:rsidRPr="00D410F0">
        <w:rPr>
          <w:rFonts w:cstheme="minorHAnsi"/>
          <w:highlight w:val="yellow"/>
        </w:rPr>
        <w:t>However, contract rents are forecast to go up below a maximum rate of 12.5% every 5 years, as the formula states the rate of increase will be either the change in CPI, or no more than 12.5%.  For example, assuming a standard inflation rate of 2.0% over years, this would mean that CPI would be roughly a 10% increase. Hence, it is considered likely the contract bumps will continue to be below the maximum of 12.5% for each 5-year renewal, and remain at this level for each successive 5-year renewal period.</w:t>
      </w:r>
      <w:r w:rsidRPr="003918D5">
        <w:rPr>
          <w:rFonts w:cstheme="minorHAnsi"/>
        </w:rPr>
        <w:t xml:space="preserve"> </w:t>
      </w:r>
    </w:p>
    <w:p w14:paraId="0BF4D821" w14:textId="77777777" w:rsidR="006E5354" w:rsidRPr="003918D5" w:rsidRDefault="006E5354" w:rsidP="006E5354">
      <w:pPr>
        <w:widowControl w:val="0"/>
        <w:rPr>
          <w:rFonts w:cstheme="minorHAnsi"/>
        </w:rPr>
      </w:pPr>
    </w:p>
    <w:p w14:paraId="4B1418F8" w14:textId="7AE9FFA3" w:rsidR="006E5354" w:rsidRPr="003918D5" w:rsidRDefault="006E5354" w:rsidP="006E5354">
      <w:pPr>
        <w:widowControl w:val="0"/>
        <w:rPr>
          <w:rFonts w:cstheme="minorHAnsi"/>
        </w:rPr>
      </w:pPr>
      <w:r w:rsidRPr="003918D5">
        <w:rPr>
          <w:rFonts w:cstheme="minorHAnsi"/>
        </w:rPr>
        <w:t xml:space="preserve">Multiplying the estimated fee simple land value of </w:t>
      </w:r>
      <w:r w:rsidRPr="00D410F0">
        <w:rPr>
          <w:rFonts w:cstheme="minorHAnsi"/>
          <w:highlight w:val="yellow"/>
        </w:rPr>
        <w:t>$8,370,000</w:t>
      </w:r>
      <w:r w:rsidRPr="003918D5">
        <w:rPr>
          <w:rFonts w:cstheme="minorHAnsi"/>
        </w:rPr>
        <w:t xml:space="preserve"> by a reasonable return on land of </w:t>
      </w:r>
      <w:r w:rsidRPr="00930CD9">
        <w:rPr>
          <w:rFonts w:cstheme="minorHAnsi"/>
          <w:highlight w:val="yellow"/>
        </w:rPr>
        <w:t>8.0%,</w:t>
      </w:r>
      <w:r w:rsidRPr="003918D5">
        <w:rPr>
          <w:rFonts w:cstheme="minorHAnsi"/>
        </w:rPr>
        <w:t xml:space="preserve"> this equates to market ground rent of </w:t>
      </w:r>
      <w:r w:rsidRPr="00D410F0">
        <w:rPr>
          <w:rFonts w:cstheme="minorHAnsi"/>
          <w:highlight w:val="yellow"/>
        </w:rPr>
        <w:t>$55,800 per month</w:t>
      </w:r>
      <w:r w:rsidRPr="003918D5">
        <w:rPr>
          <w:rFonts w:cstheme="minorHAnsi"/>
        </w:rPr>
        <w:t xml:space="preserve">.  This is somewhat </w:t>
      </w:r>
      <w:sdt>
        <w:sdtPr>
          <w:rPr>
            <w:rFonts w:cstheme="minorHAnsi"/>
            <w:highlight w:val="green"/>
          </w:rPr>
          <w:alias w:val="more or less"/>
          <w:tag w:val="more or less"/>
          <w:id w:val="1688096123"/>
          <w:placeholder>
            <w:docPart w:val="DefaultPlaceholder_-1854013438"/>
          </w:placeholder>
          <w:dropDownList>
            <w:listItem w:value="Choose an item."/>
            <w:listItem w:displayText="more" w:value="more"/>
            <w:listItem w:displayText="less" w:value="less"/>
          </w:dropDownList>
        </w:sdtPr>
        <w:sdtEndPr/>
        <w:sdtContent>
          <w:r w:rsidR="00545ED7" w:rsidRPr="007A000E">
            <w:rPr>
              <w:rFonts w:cstheme="minorHAnsi"/>
              <w:highlight w:val="green"/>
            </w:rPr>
            <w:t>less</w:t>
          </w:r>
        </w:sdtContent>
      </w:sdt>
      <w:r w:rsidRPr="003918D5">
        <w:rPr>
          <w:rFonts w:cstheme="minorHAnsi"/>
        </w:rPr>
        <w:t xml:space="preserve"> than the </w:t>
      </w:r>
      <w:r>
        <w:rPr>
          <w:rFonts w:cstheme="minorHAnsi"/>
        </w:rPr>
        <w:t xml:space="preserve">current </w:t>
      </w:r>
      <w:r w:rsidRPr="003918D5">
        <w:rPr>
          <w:rFonts w:cstheme="minorHAnsi"/>
        </w:rPr>
        <w:t xml:space="preserve">contract ground rent of </w:t>
      </w:r>
      <w:r w:rsidRPr="00D410F0">
        <w:rPr>
          <w:rFonts w:cstheme="minorHAnsi"/>
          <w:highlight w:val="yellow"/>
        </w:rPr>
        <w:t>$52,304</w:t>
      </w:r>
      <w:r>
        <w:rPr>
          <w:rFonts w:cstheme="minorHAnsi"/>
        </w:rPr>
        <w:t xml:space="preserve"> </w:t>
      </w:r>
      <w:r w:rsidRPr="003918D5">
        <w:rPr>
          <w:rFonts w:cstheme="minorHAnsi"/>
        </w:rPr>
        <w:t xml:space="preserve">per month as of </w:t>
      </w:r>
      <w:r w:rsidRPr="00D410F0">
        <w:rPr>
          <w:rFonts w:cstheme="minorHAnsi"/>
          <w:highlight w:val="yellow"/>
        </w:rPr>
        <w:t>February 1, 2019</w:t>
      </w:r>
      <w:r w:rsidRPr="003918D5">
        <w:rPr>
          <w:rFonts w:cstheme="minorHAnsi"/>
        </w:rPr>
        <w:t xml:space="preserve"> (</w:t>
      </w:r>
      <w:r w:rsidRPr="003918D5">
        <w:rPr>
          <w:rFonts w:cstheme="minorHAnsi"/>
          <w:iCs/>
        </w:rPr>
        <w:t xml:space="preserve">i.e. there is measurable </w:t>
      </w:r>
      <w:sdt>
        <w:sdtPr>
          <w:rPr>
            <w:rFonts w:cstheme="minorHAnsi"/>
            <w:iCs/>
            <w:highlight w:val="green"/>
          </w:rPr>
          <w:alias w:val="LH Positioin"/>
          <w:tag w:val="LH Positioin"/>
          <w:id w:val="-1811543076"/>
          <w:placeholder>
            <w:docPart w:val="DefaultPlaceholder_-1854013438"/>
          </w:placeholder>
          <w:dropDownList>
            <w:listItem w:value="Choose an item."/>
            <w:listItem w:displayText="positive" w:value="positive"/>
            <w:listItem w:displayText="negative" w:value="negative"/>
          </w:dropDownList>
        </w:sdtPr>
        <w:sdtEndPr/>
        <w:sdtContent>
          <w:r w:rsidR="00930CD9" w:rsidRPr="007A000E">
            <w:rPr>
              <w:rFonts w:cstheme="minorHAnsi"/>
              <w:iCs/>
              <w:highlight w:val="green"/>
            </w:rPr>
            <w:t>positive</w:t>
          </w:r>
        </w:sdtContent>
      </w:sdt>
      <w:r w:rsidRPr="003918D5">
        <w:rPr>
          <w:rFonts w:cstheme="minorHAnsi"/>
          <w:iCs/>
        </w:rPr>
        <w:t xml:space="preserve"> tenant leasehold position), with this </w:t>
      </w:r>
      <w:sdt>
        <w:sdtPr>
          <w:rPr>
            <w:rFonts w:cstheme="minorHAnsi"/>
            <w:iCs/>
            <w:highlight w:val="yellow"/>
          </w:rPr>
          <w:alias w:val="LH Positioin"/>
          <w:tag w:val="LH Positioin"/>
          <w:id w:val="684951258"/>
          <w:placeholder>
            <w:docPart w:val="B003529C35D343C0BB75DD06C0B9CE68"/>
          </w:placeholder>
          <w:dropDownList>
            <w:listItem w:value="Choose an item."/>
            <w:listItem w:displayText="positive" w:value="positive"/>
            <w:listItem w:displayText="negative" w:value="negative"/>
          </w:dropDownList>
        </w:sdtPr>
        <w:sdtEndPr/>
        <w:sdtContent>
          <w:r w:rsidR="00930CD9">
            <w:rPr>
              <w:rFonts w:cstheme="minorHAnsi"/>
              <w:iCs/>
              <w:highlight w:val="yellow"/>
            </w:rPr>
            <w:t>positive</w:t>
          </w:r>
        </w:sdtContent>
      </w:sdt>
      <w:r w:rsidR="00930CD9" w:rsidRPr="003918D5">
        <w:rPr>
          <w:rFonts w:cstheme="minorHAnsi"/>
          <w:iCs/>
        </w:rPr>
        <w:t xml:space="preserve"> </w:t>
      </w:r>
      <w:r w:rsidRPr="003918D5">
        <w:rPr>
          <w:rFonts w:cstheme="minorHAnsi"/>
          <w:iCs/>
        </w:rPr>
        <w:t xml:space="preserve">position to continue over the remaining </w:t>
      </w:r>
      <w:r>
        <w:rPr>
          <w:rFonts w:cstheme="minorHAnsi"/>
          <w:iCs/>
        </w:rPr>
        <w:t>30 years</w:t>
      </w:r>
      <w:r w:rsidRPr="003918D5">
        <w:rPr>
          <w:rFonts w:cstheme="minorHAnsi"/>
          <w:iCs/>
        </w:rPr>
        <w:t xml:space="preserve"> of the lease ending</w:t>
      </w:r>
      <w:r w:rsidRPr="003918D5">
        <w:rPr>
          <w:rFonts w:cstheme="minorHAnsi"/>
        </w:rPr>
        <w:t xml:space="preserve"> </w:t>
      </w:r>
      <w:r w:rsidRPr="00930CD9">
        <w:rPr>
          <w:rFonts w:cstheme="minorHAnsi"/>
          <w:highlight w:val="yellow"/>
        </w:rPr>
        <w:t>January 31, 2049</w:t>
      </w:r>
      <w:r w:rsidRPr="003918D5">
        <w:rPr>
          <w:rFonts w:cstheme="minorHAnsi"/>
        </w:rPr>
        <w:t xml:space="preserve"> (again, assuming the </w:t>
      </w:r>
      <w:r>
        <w:rPr>
          <w:rFonts w:cstheme="minorHAnsi"/>
        </w:rPr>
        <w:t xml:space="preserve">remaining </w:t>
      </w:r>
      <w:r w:rsidRPr="00930CD9">
        <w:rPr>
          <w:rFonts w:cstheme="minorHAnsi"/>
          <w:highlight w:val="yellow"/>
        </w:rPr>
        <w:t>[5] 5-year options</w:t>
      </w:r>
      <w:r w:rsidRPr="003918D5">
        <w:rPr>
          <w:rFonts w:cstheme="minorHAnsi"/>
        </w:rPr>
        <w:t xml:space="preserve"> are exercised). </w:t>
      </w:r>
    </w:p>
    <w:p w14:paraId="5D0EB7A9" w14:textId="77777777" w:rsidR="006E5354" w:rsidRPr="003918D5" w:rsidRDefault="006E5354" w:rsidP="006E5354">
      <w:pPr>
        <w:widowControl w:val="0"/>
        <w:rPr>
          <w:rFonts w:cstheme="minorHAnsi"/>
        </w:rPr>
      </w:pPr>
    </w:p>
    <w:p w14:paraId="18A8B8DF" w14:textId="3FD9CC78" w:rsidR="006E5354" w:rsidRPr="003918D5" w:rsidRDefault="006E5354" w:rsidP="006E5354">
      <w:pPr>
        <w:widowControl w:val="0"/>
        <w:rPr>
          <w:rFonts w:cstheme="minorHAnsi"/>
        </w:rPr>
      </w:pPr>
      <w:r w:rsidRPr="003918D5">
        <w:rPr>
          <w:rFonts w:cstheme="minorHAnsi"/>
        </w:rPr>
        <w:t xml:space="preserve">The calculations relating to our valuation of the subject leasehold interest are provided in the following chart.  Based on this analysis, the </w:t>
      </w:r>
      <w:r w:rsidRPr="003918D5">
        <w:rPr>
          <w:rFonts w:cstheme="minorHAnsi"/>
          <w:b/>
        </w:rPr>
        <w:t xml:space="preserve">market value of the lessee’s </w:t>
      </w:r>
      <w:sdt>
        <w:sdtPr>
          <w:rPr>
            <w:rFonts w:cstheme="minorHAnsi"/>
            <w:b/>
            <w:bCs/>
            <w:iCs/>
            <w:highlight w:val="green"/>
            <w:u w:val="single"/>
          </w:rPr>
          <w:alias w:val="LH Positioin"/>
          <w:tag w:val="LH Positioin"/>
          <w:id w:val="1581559542"/>
          <w:placeholder>
            <w:docPart w:val="56A897B044174904BB4EBE10D663867E"/>
          </w:placeholder>
          <w:dropDownList>
            <w:listItem w:value="Choose an item."/>
            <w:listItem w:displayText="positive" w:value="positive"/>
            <w:listItem w:displayText="negative" w:value="negative"/>
          </w:dropDownList>
        </w:sdtPr>
        <w:sdtEndPr/>
        <w:sdtContent>
          <w:r w:rsidR="00930CD9" w:rsidRPr="007A000E">
            <w:rPr>
              <w:rFonts w:cstheme="minorHAnsi"/>
              <w:b/>
              <w:bCs/>
              <w:iCs/>
              <w:highlight w:val="green"/>
              <w:u w:val="single"/>
            </w:rPr>
            <w:t>positive</w:t>
          </w:r>
        </w:sdtContent>
      </w:sdt>
      <w:r w:rsidR="00930CD9" w:rsidRPr="003918D5">
        <w:rPr>
          <w:rFonts w:cstheme="minorHAnsi"/>
          <w:iCs/>
        </w:rPr>
        <w:t xml:space="preserve"> </w:t>
      </w:r>
      <w:r w:rsidRPr="003918D5">
        <w:rPr>
          <w:rFonts w:cstheme="minorHAnsi"/>
          <w:b/>
        </w:rPr>
        <w:t>leasehold interest</w:t>
      </w:r>
      <w:r w:rsidRPr="003918D5">
        <w:rPr>
          <w:rFonts w:cstheme="minorHAnsi"/>
        </w:rPr>
        <w:t xml:space="preserve"> in the subject property is concluded at </w:t>
      </w:r>
      <w:r w:rsidRPr="00930CD9">
        <w:rPr>
          <w:rFonts w:cstheme="minorHAnsi"/>
          <w:b/>
          <w:highlight w:val="yellow"/>
        </w:rPr>
        <w:t>$780,000</w:t>
      </w:r>
      <w:r w:rsidRPr="003918D5">
        <w:rPr>
          <w:rFonts w:cstheme="minorHAnsi"/>
        </w:rPr>
        <w:t>, which under this methodology would likely be recognized as a</w:t>
      </w:r>
      <w:r>
        <w:rPr>
          <w:rFonts w:cstheme="minorHAnsi"/>
        </w:rPr>
        <w:t xml:space="preserve"> </w:t>
      </w:r>
      <w:sdt>
        <w:sdtPr>
          <w:rPr>
            <w:rFonts w:cstheme="minorHAnsi"/>
            <w:highlight w:val="green"/>
          </w:rPr>
          <w:alias w:val="deduction - addition"/>
          <w:tag w:val="deduction - addition"/>
          <w:id w:val="1124816467"/>
          <w:placeholder>
            <w:docPart w:val="DefaultPlaceholder_-1854013438"/>
          </w:placeholder>
          <w:dropDownList>
            <w:listItem w:value="Choose an item."/>
            <w:listItem w:displayText="deduction in" w:value="deduction in"/>
            <w:listItem w:displayText="addition to" w:value="addition to"/>
          </w:dropDownList>
        </w:sdtPr>
        <w:sdtEndPr/>
        <w:sdtContent>
          <w:r w:rsidRPr="007A000E">
            <w:rPr>
              <w:rFonts w:cstheme="minorHAnsi"/>
              <w:highlight w:val="green"/>
            </w:rPr>
            <w:t>deduction in</w:t>
          </w:r>
        </w:sdtContent>
      </w:sdt>
      <w:r w:rsidRPr="003918D5">
        <w:rPr>
          <w:rFonts w:cstheme="minorHAnsi"/>
        </w:rPr>
        <w:t xml:space="preserve"> value </w:t>
      </w:r>
      <w:r>
        <w:rPr>
          <w:rFonts w:cstheme="minorHAnsi"/>
        </w:rPr>
        <w:t xml:space="preserve">relative </w:t>
      </w:r>
      <w:r w:rsidRPr="003918D5">
        <w:rPr>
          <w:rFonts w:cstheme="minorHAnsi"/>
        </w:rPr>
        <w:t xml:space="preserve">to the fee simple value by a potential investor to recognize the right to receive this </w:t>
      </w:r>
      <w:sdt>
        <w:sdtPr>
          <w:rPr>
            <w:rFonts w:cstheme="minorHAnsi"/>
            <w:highlight w:val="green"/>
          </w:rPr>
          <w:alias w:val="Contract Rent Position"/>
          <w:tag w:val="Contract Rent Position"/>
          <w:id w:val="1759328013"/>
          <w:placeholder>
            <w:docPart w:val="DefaultPlaceholder_-1854013438"/>
          </w:placeholder>
          <w:dropDownList>
            <w:listItem w:value="Choose an item."/>
            <w:listItem w:displayText="below" w:value="below"/>
            <w:listItem w:displayText="above" w:value="above"/>
          </w:dropDownList>
        </w:sdtPr>
        <w:sdtEndPr/>
        <w:sdtContent>
          <w:r w:rsidRPr="007A000E">
            <w:rPr>
              <w:rFonts w:cstheme="minorHAnsi"/>
              <w:highlight w:val="green"/>
            </w:rPr>
            <w:t>below</w:t>
          </w:r>
        </w:sdtContent>
      </w:sdt>
      <w:r w:rsidRPr="007A000E">
        <w:rPr>
          <w:rFonts w:cstheme="minorHAnsi"/>
          <w:highlight w:val="green"/>
        </w:rPr>
        <w:t>-</w:t>
      </w:r>
      <w:r w:rsidRPr="003918D5">
        <w:rPr>
          <w:rFonts w:cstheme="minorHAnsi"/>
        </w:rPr>
        <w:t xml:space="preserve">market cash flow for the remainder of the ground lease.  </w:t>
      </w:r>
    </w:p>
    <w:p w14:paraId="1BC8FAC3" w14:textId="77777777" w:rsidR="006E5354" w:rsidRPr="003918D5" w:rsidRDefault="006E5354" w:rsidP="006E5354">
      <w:pPr>
        <w:widowControl w:val="0"/>
        <w:rPr>
          <w:rFonts w:cstheme="minorHAnsi"/>
        </w:rPr>
      </w:pPr>
    </w:p>
    <w:p w14:paraId="0848C3B7" w14:textId="4502655F" w:rsidR="006E5354" w:rsidRPr="003918D5" w:rsidRDefault="00B4587A" w:rsidP="006E5354">
      <w:pPr>
        <w:widowControl w:val="0"/>
        <w:rPr>
          <w:rFonts w:cstheme="minorHAnsi"/>
        </w:rPr>
      </w:pPr>
      <w:sdt>
        <w:sdtPr>
          <w:rPr>
            <w:rFonts w:cstheme="minorHAnsi"/>
            <w:highlight w:val="green"/>
          </w:rPr>
          <w:alias w:val="LH Adjustment"/>
          <w:tag w:val="LH Adjustment"/>
          <w:id w:val="1058211101"/>
          <w:placeholder>
            <w:docPart w:val="DefaultPlaceholder_-1854013438"/>
          </w:placeholder>
          <w:dropDownList>
            <w:listItem w:value="Choose an item."/>
            <w:listItem w:displayText="Deducting" w:value="Deducting"/>
            <w:listItem w:displayText="Adding" w:value="Adding"/>
          </w:dropDownList>
        </w:sdtPr>
        <w:sdtEndPr/>
        <w:sdtContent>
          <w:r w:rsidR="006E5354" w:rsidRPr="007A000E">
            <w:rPr>
              <w:rFonts w:cstheme="minorHAnsi"/>
              <w:highlight w:val="green"/>
            </w:rPr>
            <w:t>Deducting</w:t>
          </w:r>
        </w:sdtContent>
      </w:sdt>
      <w:r w:rsidR="006E5354" w:rsidRPr="003918D5">
        <w:rPr>
          <w:rFonts w:cstheme="minorHAnsi"/>
        </w:rPr>
        <w:t xml:space="preserve"> the market value of the </w:t>
      </w:r>
      <w:sdt>
        <w:sdtPr>
          <w:rPr>
            <w:rFonts w:cstheme="minorHAnsi"/>
            <w:iCs/>
            <w:highlight w:val="green"/>
          </w:rPr>
          <w:alias w:val="LH Positioin"/>
          <w:tag w:val="LH Positioin"/>
          <w:id w:val="652405832"/>
          <w:placeholder>
            <w:docPart w:val="BB575EC0098C4D5FA521065A7E3208E4"/>
          </w:placeholder>
          <w:dropDownList>
            <w:listItem w:value="Choose an item."/>
            <w:listItem w:displayText="positive" w:value="positive"/>
            <w:listItem w:displayText="negative" w:value="negative"/>
          </w:dropDownList>
        </w:sdtPr>
        <w:sdtEndPr/>
        <w:sdtContent>
          <w:r w:rsidR="00930CD9" w:rsidRPr="007A000E">
            <w:rPr>
              <w:rFonts w:cstheme="minorHAnsi"/>
              <w:iCs/>
              <w:highlight w:val="green"/>
            </w:rPr>
            <w:t>positive</w:t>
          </w:r>
        </w:sdtContent>
      </w:sdt>
      <w:r w:rsidR="00930CD9" w:rsidRPr="003918D5">
        <w:rPr>
          <w:rFonts w:cstheme="minorHAnsi"/>
          <w:iCs/>
        </w:rPr>
        <w:t xml:space="preserve"> </w:t>
      </w:r>
      <w:r w:rsidR="00930CD9">
        <w:rPr>
          <w:rFonts w:cstheme="minorHAnsi"/>
          <w:iCs/>
        </w:rPr>
        <w:t>l</w:t>
      </w:r>
      <w:r w:rsidR="006E5354" w:rsidRPr="003918D5">
        <w:rPr>
          <w:rFonts w:cstheme="minorHAnsi"/>
        </w:rPr>
        <w:t xml:space="preserve">easehold interest in the subject property </w:t>
      </w:r>
      <w:sdt>
        <w:sdtPr>
          <w:rPr>
            <w:rFonts w:cstheme="minorHAnsi"/>
            <w:highlight w:val="green"/>
          </w:rPr>
          <w:alias w:val="from - to"/>
          <w:tag w:val="from - to"/>
          <w:id w:val="1639073588"/>
          <w:placeholder>
            <w:docPart w:val="DefaultPlaceholder_-1854013438"/>
          </w:placeholder>
          <w:dropDownList>
            <w:listItem w:value="Choose an item."/>
            <w:listItem w:displayText="from" w:value="from"/>
            <w:listItem w:displayText="to" w:value="to"/>
          </w:dropDownList>
        </w:sdtPr>
        <w:sdtEndPr/>
        <w:sdtContent>
          <w:r w:rsidR="006E5354" w:rsidRPr="007A000E">
            <w:rPr>
              <w:rFonts w:cstheme="minorHAnsi"/>
              <w:highlight w:val="green"/>
            </w:rPr>
            <w:t>from</w:t>
          </w:r>
        </w:sdtContent>
      </w:sdt>
      <w:r w:rsidR="006E5354" w:rsidRPr="003918D5">
        <w:rPr>
          <w:rFonts w:cstheme="minorHAnsi"/>
        </w:rPr>
        <w:t xml:space="preserve"> the concluded fee simple land value results in a </w:t>
      </w:r>
      <w:r w:rsidR="006E5354" w:rsidRPr="003918D5">
        <w:rPr>
          <w:rFonts w:cstheme="minorHAnsi"/>
          <w:b/>
        </w:rPr>
        <w:t xml:space="preserve">concluded market value </w:t>
      </w:r>
      <w:r w:rsidR="006E5354" w:rsidRPr="003918D5">
        <w:rPr>
          <w:rFonts w:cstheme="minorHAnsi"/>
        </w:rPr>
        <w:t>of the</w:t>
      </w:r>
      <w:r w:rsidR="006E5354" w:rsidRPr="003918D5">
        <w:rPr>
          <w:rFonts w:cstheme="minorHAnsi"/>
          <w:b/>
        </w:rPr>
        <w:t xml:space="preserve"> </w:t>
      </w:r>
      <w:r w:rsidR="006E5354" w:rsidRPr="003918D5">
        <w:rPr>
          <w:rFonts w:cstheme="minorHAnsi"/>
          <w:b/>
          <w:u w:val="single"/>
        </w:rPr>
        <w:t>leased fee</w:t>
      </w:r>
      <w:r w:rsidR="006E5354" w:rsidRPr="003918D5">
        <w:rPr>
          <w:rFonts w:cstheme="minorHAnsi"/>
        </w:rPr>
        <w:t xml:space="preserve"> interest</w:t>
      </w:r>
      <w:r w:rsidR="006E5354" w:rsidRPr="003918D5">
        <w:rPr>
          <w:rFonts w:cstheme="minorHAnsi"/>
          <w:b/>
        </w:rPr>
        <w:t xml:space="preserve"> </w:t>
      </w:r>
      <w:r w:rsidR="006E5354" w:rsidRPr="003918D5">
        <w:rPr>
          <w:rFonts w:cstheme="minorHAnsi"/>
        </w:rPr>
        <w:t xml:space="preserve">in the subject property </w:t>
      </w:r>
      <w:r w:rsidR="006E5354" w:rsidRPr="003918D5">
        <w:rPr>
          <w:rFonts w:cstheme="minorHAnsi"/>
          <w:u w:val="single"/>
        </w:rPr>
        <w:t>via leased fee  allocation analysis -  Method 1</w:t>
      </w:r>
      <w:r w:rsidR="006E5354" w:rsidRPr="003918D5">
        <w:rPr>
          <w:rFonts w:cstheme="minorHAnsi"/>
        </w:rPr>
        <w:t xml:space="preserve"> as indicated following: </w:t>
      </w:r>
    </w:p>
    <w:p w14:paraId="6A88F1C9" w14:textId="77777777" w:rsidR="006E5354" w:rsidRPr="003918D5" w:rsidRDefault="006E5354" w:rsidP="006E5354">
      <w:pPr>
        <w:widowControl w:val="0"/>
        <w:rPr>
          <w:rFonts w:cstheme="minorHAnsi"/>
          <w:szCs w:val="20"/>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230"/>
        <w:gridCol w:w="720"/>
        <w:gridCol w:w="1440"/>
        <w:gridCol w:w="287"/>
        <w:gridCol w:w="264"/>
        <w:gridCol w:w="2419"/>
      </w:tblGrid>
      <w:tr w:rsidR="006E5354" w:rsidRPr="00560BF9" w14:paraId="1F7A7947" w14:textId="77777777" w:rsidTr="00FE402D">
        <w:trPr>
          <w:jc w:val="center"/>
        </w:trPr>
        <w:tc>
          <w:tcPr>
            <w:tcW w:w="4230" w:type="dxa"/>
            <w:tcBorders>
              <w:top w:val="nil"/>
              <w:left w:val="nil"/>
              <w:bottom w:val="single" w:sz="24" w:space="0" w:color="3FB44F"/>
              <w:right w:val="nil"/>
            </w:tcBorders>
            <w:shd w:val="clear" w:color="auto" w:fill="1E4959"/>
          </w:tcPr>
          <w:p w14:paraId="22B08F9A" w14:textId="77777777" w:rsidR="006E5354" w:rsidRPr="00560BF9" w:rsidRDefault="006E5354" w:rsidP="00FE402D">
            <w:pPr>
              <w:tabs>
                <w:tab w:val="left" w:pos="3960"/>
              </w:tabs>
              <w:spacing w:before="120" w:line="20" w:lineRule="atLeast"/>
              <w:rPr>
                <w:rFonts w:cstheme="minorHAnsi"/>
                <w:b/>
                <w:color w:val="FFFFFF" w:themeColor="background1"/>
                <w:kern w:val="24"/>
                <w:sz w:val="20"/>
                <w:szCs w:val="20"/>
              </w:rPr>
            </w:pPr>
          </w:p>
        </w:tc>
        <w:tc>
          <w:tcPr>
            <w:tcW w:w="720" w:type="dxa"/>
            <w:tcBorders>
              <w:top w:val="nil"/>
              <w:left w:val="nil"/>
              <w:bottom w:val="single" w:sz="24" w:space="0" w:color="3FB44F"/>
              <w:right w:val="nil"/>
            </w:tcBorders>
            <w:shd w:val="clear" w:color="auto" w:fill="1E4959"/>
          </w:tcPr>
          <w:p w14:paraId="6A81C9C7" w14:textId="77777777" w:rsidR="006E5354" w:rsidRPr="00560BF9" w:rsidRDefault="006E5354" w:rsidP="00FE402D">
            <w:pPr>
              <w:tabs>
                <w:tab w:val="left" w:pos="3960"/>
              </w:tabs>
              <w:spacing w:before="120" w:line="20" w:lineRule="atLeast"/>
              <w:jc w:val="center"/>
              <w:rPr>
                <w:rFonts w:cstheme="minorHAnsi"/>
                <w:b/>
                <w:color w:val="FFFFFF" w:themeColor="background1"/>
                <w:kern w:val="24"/>
                <w:sz w:val="20"/>
                <w:szCs w:val="20"/>
              </w:rPr>
            </w:pPr>
          </w:p>
        </w:tc>
        <w:tc>
          <w:tcPr>
            <w:tcW w:w="1991" w:type="dxa"/>
            <w:gridSpan w:val="3"/>
            <w:tcBorders>
              <w:top w:val="nil"/>
              <w:left w:val="nil"/>
              <w:bottom w:val="single" w:sz="24" w:space="0" w:color="3FB44F"/>
              <w:right w:val="nil"/>
            </w:tcBorders>
            <w:shd w:val="clear" w:color="auto" w:fill="1E4959"/>
          </w:tcPr>
          <w:p w14:paraId="1026D866" w14:textId="77777777" w:rsidR="006E5354" w:rsidRPr="00560BF9" w:rsidRDefault="006E5354" w:rsidP="00FE402D">
            <w:pPr>
              <w:tabs>
                <w:tab w:val="left" w:pos="3960"/>
              </w:tabs>
              <w:spacing w:before="120" w:line="20" w:lineRule="atLeast"/>
              <w:jc w:val="center"/>
              <w:rPr>
                <w:rFonts w:cstheme="minorHAnsi"/>
                <w:b/>
                <w:color w:val="FFFFFF" w:themeColor="background1"/>
                <w:kern w:val="24"/>
                <w:sz w:val="20"/>
                <w:szCs w:val="20"/>
              </w:rPr>
            </w:pPr>
          </w:p>
        </w:tc>
        <w:tc>
          <w:tcPr>
            <w:tcW w:w="2419" w:type="dxa"/>
            <w:tcBorders>
              <w:top w:val="nil"/>
              <w:left w:val="nil"/>
              <w:bottom w:val="single" w:sz="24" w:space="0" w:color="3FB44F"/>
              <w:right w:val="nil"/>
            </w:tcBorders>
            <w:shd w:val="clear" w:color="auto" w:fill="1E4959"/>
          </w:tcPr>
          <w:p w14:paraId="3D487342" w14:textId="77777777" w:rsidR="006E5354" w:rsidRPr="00560BF9" w:rsidRDefault="006E5354" w:rsidP="00FE402D">
            <w:pPr>
              <w:tabs>
                <w:tab w:val="left" w:pos="3960"/>
              </w:tabs>
              <w:spacing w:before="120" w:line="20" w:lineRule="atLeast"/>
              <w:jc w:val="center"/>
              <w:rPr>
                <w:rFonts w:cstheme="minorHAnsi"/>
                <w:b/>
                <w:smallCaps/>
                <w:color w:val="FFFFFF" w:themeColor="background1"/>
                <w:kern w:val="24"/>
                <w:sz w:val="20"/>
                <w:szCs w:val="20"/>
              </w:rPr>
            </w:pPr>
            <w:r w:rsidRPr="00560BF9">
              <w:rPr>
                <w:rFonts w:cstheme="minorHAnsi"/>
                <w:b/>
                <w:smallCaps/>
                <w:color w:val="FFFFFF" w:themeColor="background1"/>
                <w:kern w:val="24"/>
                <w:sz w:val="20"/>
                <w:szCs w:val="20"/>
              </w:rPr>
              <w:t>Value Conclusion</w:t>
            </w:r>
          </w:p>
        </w:tc>
      </w:tr>
      <w:tr w:rsidR="006E5354" w:rsidRPr="00560BF9" w14:paraId="44DC26FA" w14:textId="77777777" w:rsidTr="00FE402D">
        <w:trPr>
          <w:trHeight w:val="80"/>
          <w:jc w:val="center"/>
        </w:trPr>
        <w:tc>
          <w:tcPr>
            <w:tcW w:w="6390" w:type="dxa"/>
            <w:gridSpan w:val="3"/>
            <w:tcBorders>
              <w:top w:val="single" w:sz="24" w:space="0" w:color="3FB44F"/>
              <w:left w:val="nil"/>
              <w:bottom w:val="nil"/>
              <w:right w:val="nil"/>
            </w:tcBorders>
          </w:tcPr>
          <w:p w14:paraId="388B6B84" w14:textId="77777777" w:rsidR="006E5354" w:rsidRPr="00795650" w:rsidRDefault="006E5354" w:rsidP="00FE402D">
            <w:pPr>
              <w:tabs>
                <w:tab w:val="left" w:pos="3960"/>
              </w:tabs>
              <w:spacing w:before="120" w:line="360" w:lineRule="auto"/>
              <w:rPr>
                <w:rFonts w:cstheme="minorHAnsi"/>
                <w:b/>
                <w:kern w:val="24"/>
                <w:szCs w:val="22"/>
              </w:rPr>
            </w:pPr>
            <w:r w:rsidRPr="00795650">
              <w:rPr>
                <w:rFonts w:cstheme="minorHAnsi"/>
                <w:b/>
                <w:kern w:val="24"/>
                <w:szCs w:val="22"/>
              </w:rPr>
              <w:t>Concluded Market Land Value – Fee Simple</w:t>
            </w:r>
          </w:p>
        </w:tc>
        <w:tc>
          <w:tcPr>
            <w:tcW w:w="287" w:type="dxa"/>
            <w:tcBorders>
              <w:top w:val="single" w:sz="24" w:space="0" w:color="3FB44F"/>
              <w:left w:val="nil"/>
              <w:bottom w:val="nil"/>
              <w:right w:val="nil"/>
            </w:tcBorders>
          </w:tcPr>
          <w:p w14:paraId="57A86ECF" w14:textId="77777777" w:rsidR="006E5354" w:rsidRPr="00795650" w:rsidRDefault="006E5354" w:rsidP="00FE402D">
            <w:pPr>
              <w:tabs>
                <w:tab w:val="left" w:pos="3960"/>
              </w:tabs>
              <w:spacing w:before="120" w:line="360" w:lineRule="auto"/>
              <w:jc w:val="left"/>
              <w:rPr>
                <w:rFonts w:cstheme="minorHAnsi"/>
                <w:b/>
                <w:kern w:val="24"/>
                <w:szCs w:val="22"/>
              </w:rPr>
            </w:pPr>
          </w:p>
        </w:tc>
        <w:tc>
          <w:tcPr>
            <w:tcW w:w="264" w:type="dxa"/>
            <w:tcBorders>
              <w:top w:val="single" w:sz="24" w:space="0" w:color="3FB44F"/>
              <w:left w:val="nil"/>
              <w:bottom w:val="nil"/>
              <w:right w:val="single" w:sz="6" w:space="0" w:color="auto"/>
            </w:tcBorders>
          </w:tcPr>
          <w:p w14:paraId="73AFDC74" w14:textId="77777777" w:rsidR="006E5354" w:rsidRPr="00795650" w:rsidRDefault="006E5354" w:rsidP="00FE402D">
            <w:pPr>
              <w:tabs>
                <w:tab w:val="left" w:pos="3960"/>
              </w:tabs>
              <w:spacing w:before="120" w:line="360" w:lineRule="auto"/>
              <w:jc w:val="center"/>
              <w:rPr>
                <w:rFonts w:cstheme="minorHAnsi"/>
                <w:b/>
                <w:kern w:val="24"/>
                <w:szCs w:val="22"/>
              </w:rPr>
            </w:pPr>
          </w:p>
        </w:tc>
        <w:tc>
          <w:tcPr>
            <w:tcW w:w="2419" w:type="dxa"/>
            <w:tcBorders>
              <w:top w:val="single" w:sz="24" w:space="0" w:color="3FB44F"/>
              <w:left w:val="nil"/>
              <w:bottom w:val="nil"/>
              <w:right w:val="nil"/>
            </w:tcBorders>
          </w:tcPr>
          <w:p w14:paraId="3CA94580" w14:textId="77777777" w:rsidR="006E5354" w:rsidRPr="00795650" w:rsidRDefault="006E5354" w:rsidP="00FE402D">
            <w:pPr>
              <w:tabs>
                <w:tab w:val="left" w:pos="3960"/>
              </w:tabs>
              <w:spacing w:before="120" w:line="360" w:lineRule="auto"/>
              <w:jc w:val="center"/>
              <w:rPr>
                <w:rFonts w:cstheme="minorHAnsi"/>
                <w:b/>
                <w:kern w:val="24"/>
                <w:szCs w:val="22"/>
                <w:highlight w:val="yellow"/>
              </w:rPr>
            </w:pPr>
            <w:r w:rsidRPr="00795650">
              <w:rPr>
                <w:rFonts w:cstheme="minorHAnsi"/>
                <w:b/>
                <w:kern w:val="24"/>
                <w:szCs w:val="22"/>
                <w:highlight w:val="yellow"/>
              </w:rPr>
              <w:t>$8,370,000</w:t>
            </w:r>
          </w:p>
        </w:tc>
      </w:tr>
      <w:tr w:rsidR="006E5354" w:rsidRPr="00A84F58" w14:paraId="0890DF99" w14:textId="77777777" w:rsidTr="00FE402D">
        <w:trPr>
          <w:trHeight w:val="80"/>
          <w:jc w:val="center"/>
        </w:trPr>
        <w:tc>
          <w:tcPr>
            <w:tcW w:w="6390" w:type="dxa"/>
            <w:gridSpan w:val="3"/>
            <w:tcBorders>
              <w:top w:val="nil"/>
              <w:left w:val="nil"/>
              <w:bottom w:val="single" w:sz="6" w:space="0" w:color="auto"/>
              <w:right w:val="nil"/>
            </w:tcBorders>
            <w:vAlign w:val="bottom"/>
          </w:tcPr>
          <w:p w14:paraId="4CD018BD" w14:textId="1CCA1545" w:rsidR="006E5354" w:rsidRPr="00795650" w:rsidRDefault="00B4587A" w:rsidP="00FE402D">
            <w:pPr>
              <w:tabs>
                <w:tab w:val="left" w:pos="3960"/>
              </w:tabs>
              <w:spacing w:before="120" w:line="360" w:lineRule="auto"/>
              <w:rPr>
                <w:rFonts w:cstheme="minorHAnsi"/>
                <w:kern w:val="24"/>
                <w:szCs w:val="22"/>
              </w:rPr>
            </w:pPr>
            <w:sdt>
              <w:sdtPr>
                <w:rPr>
                  <w:rFonts w:cstheme="minorHAnsi"/>
                  <w:kern w:val="24"/>
                  <w:szCs w:val="22"/>
                  <w:highlight w:val="green"/>
                </w:rPr>
                <w:alias w:val="Less - Add"/>
                <w:tag w:val="Less - Add"/>
                <w:id w:val="524135674"/>
                <w:placeholder>
                  <w:docPart w:val="DefaultPlaceholder_-1854013438"/>
                </w:placeholder>
                <w:dropDownList>
                  <w:listItem w:value="Choose an item."/>
                  <w:listItem w:displayText="Less:" w:value="Less:"/>
                  <w:listItem w:displayText="Add:" w:value="Add:"/>
                </w:dropDownList>
              </w:sdtPr>
              <w:sdtEndPr/>
              <w:sdtContent>
                <w:r w:rsidR="006E5354" w:rsidRPr="00795650">
                  <w:rPr>
                    <w:rFonts w:cstheme="minorHAnsi"/>
                    <w:kern w:val="24"/>
                    <w:szCs w:val="22"/>
                    <w:highlight w:val="green"/>
                  </w:rPr>
                  <w:t>Less:</w:t>
                </w:r>
              </w:sdtContent>
            </w:sdt>
            <w:r w:rsidR="006E5354" w:rsidRPr="00795650">
              <w:rPr>
                <w:rFonts w:cstheme="minorHAnsi"/>
                <w:kern w:val="24"/>
                <w:szCs w:val="22"/>
              </w:rPr>
              <w:t xml:space="preserve">  Value of </w:t>
            </w:r>
            <w:sdt>
              <w:sdtPr>
                <w:rPr>
                  <w:rFonts w:cstheme="minorHAnsi"/>
                  <w:iCs/>
                  <w:szCs w:val="22"/>
                  <w:highlight w:val="green"/>
                </w:rPr>
                <w:alias w:val="LH Positioin"/>
                <w:tag w:val="LH Positioin"/>
                <w:id w:val="610008592"/>
                <w:placeholder>
                  <w:docPart w:val="5D3C75A8063A47D6918A629D9B7A6140"/>
                </w:placeholder>
                <w:dropDownList>
                  <w:listItem w:value="Choose an item."/>
                  <w:listItem w:displayText="Positive" w:value="Positive"/>
                  <w:listItem w:displayText="Negative" w:value="Negative"/>
                </w:dropDownList>
              </w:sdtPr>
              <w:sdtEndPr/>
              <w:sdtContent>
                <w:r w:rsidR="00930CD9" w:rsidRPr="00795650">
                  <w:rPr>
                    <w:rFonts w:cstheme="minorHAnsi"/>
                    <w:iCs/>
                    <w:szCs w:val="22"/>
                    <w:highlight w:val="green"/>
                  </w:rPr>
                  <w:t>Positive</w:t>
                </w:r>
              </w:sdtContent>
            </w:sdt>
            <w:r w:rsidR="00930CD9" w:rsidRPr="00795650">
              <w:rPr>
                <w:rFonts w:cstheme="minorHAnsi"/>
                <w:iCs/>
                <w:szCs w:val="22"/>
              </w:rPr>
              <w:t xml:space="preserve"> </w:t>
            </w:r>
            <w:r w:rsidR="006E5354" w:rsidRPr="00795650">
              <w:rPr>
                <w:rFonts w:cstheme="minorHAnsi"/>
                <w:kern w:val="24"/>
                <w:szCs w:val="22"/>
              </w:rPr>
              <w:t xml:space="preserve">Leasehold Interest </w:t>
            </w:r>
          </w:p>
        </w:tc>
        <w:tc>
          <w:tcPr>
            <w:tcW w:w="287" w:type="dxa"/>
            <w:tcBorders>
              <w:top w:val="nil"/>
              <w:left w:val="nil"/>
              <w:bottom w:val="single" w:sz="6" w:space="0" w:color="auto"/>
              <w:right w:val="nil"/>
            </w:tcBorders>
          </w:tcPr>
          <w:p w14:paraId="6651F548" w14:textId="77777777" w:rsidR="006E5354" w:rsidRPr="00795650" w:rsidRDefault="006E5354" w:rsidP="00FE402D">
            <w:pPr>
              <w:tabs>
                <w:tab w:val="left" w:pos="3960"/>
              </w:tabs>
              <w:spacing w:line="360" w:lineRule="exact"/>
              <w:jc w:val="left"/>
              <w:rPr>
                <w:rFonts w:cstheme="minorHAnsi"/>
                <w:kern w:val="24"/>
                <w:szCs w:val="22"/>
              </w:rPr>
            </w:pPr>
          </w:p>
        </w:tc>
        <w:tc>
          <w:tcPr>
            <w:tcW w:w="264" w:type="dxa"/>
            <w:tcBorders>
              <w:top w:val="nil"/>
              <w:left w:val="nil"/>
              <w:bottom w:val="single" w:sz="6" w:space="0" w:color="auto"/>
              <w:right w:val="single" w:sz="6" w:space="0" w:color="auto"/>
            </w:tcBorders>
          </w:tcPr>
          <w:p w14:paraId="713BB733" w14:textId="77777777" w:rsidR="006E5354" w:rsidRPr="00795650" w:rsidRDefault="006E5354" w:rsidP="00FE402D">
            <w:pPr>
              <w:tabs>
                <w:tab w:val="left" w:pos="3960"/>
              </w:tabs>
              <w:spacing w:line="360" w:lineRule="exact"/>
              <w:jc w:val="center"/>
              <w:rPr>
                <w:rFonts w:cstheme="minorHAnsi"/>
                <w:kern w:val="24"/>
                <w:szCs w:val="22"/>
              </w:rPr>
            </w:pPr>
          </w:p>
        </w:tc>
        <w:tc>
          <w:tcPr>
            <w:tcW w:w="2419" w:type="dxa"/>
            <w:tcBorders>
              <w:top w:val="nil"/>
              <w:left w:val="nil"/>
              <w:bottom w:val="single" w:sz="6" w:space="0" w:color="auto"/>
              <w:right w:val="nil"/>
            </w:tcBorders>
          </w:tcPr>
          <w:p w14:paraId="1AF01CE3" w14:textId="77777777" w:rsidR="006E5354" w:rsidRPr="00795650" w:rsidRDefault="006E5354" w:rsidP="00FE402D">
            <w:pPr>
              <w:tabs>
                <w:tab w:val="left" w:pos="3960"/>
              </w:tabs>
              <w:spacing w:before="120" w:line="360" w:lineRule="auto"/>
              <w:jc w:val="center"/>
              <w:rPr>
                <w:rFonts w:cstheme="minorHAnsi"/>
                <w:b/>
                <w:kern w:val="24"/>
                <w:szCs w:val="22"/>
                <w:highlight w:val="yellow"/>
              </w:rPr>
            </w:pPr>
            <w:r w:rsidRPr="00795650">
              <w:rPr>
                <w:rFonts w:cstheme="minorHAnsi"/>
                <w:b/>
                <w:color w:val="FF0000"/>
                <w:kern w:val="24"/>
                <w:szCs w:val="22"/>
                <w:highlight w:val="yellow"/>
              </w:rPr>
              <w:t>($780,000)</w:t>
            </w:r>
          </w:p>
        </w:tc>
      </w:tr>
      <w:tr w:rsidR="006E5354" w:rsidRPr="00560BF9" w14:paraId="6A86CE8B" w14:textId="77777777" w:rsidTr="00FE402D">
        <w:trPr>
          <w:trHeight w:val="80"/>
          <w:jc w:val="center"/>
        </w:trPr>
        <w:tc>
          <w:tcPr>
            <w:tcW w:w="6390" w:type="dxa"/>
            <w:gridSpan w:val="3"/>
            <w:tcBorders>
              <w:top w:val="nil"/>
              <w:left w:val="nil"/>
              <w:bottom w:val="double" w:sz="6" w:space="0" w:color="auto"/>
              <w:right w:val="nil"/>
            </w:tcBorders>
          </w:tcPr>
          <w:p w14:paraId="38DEADB9" w14:textId="77777777" w:rsidR="006E5354" w:rsidRPr="00795650" w:rsidRDefault="006E5354" w:rsidP="00FE402D">
            <w:pPr>
              <w:tabs>
                <w:tab w:val="left" w:pos="3960"/>
              </w:tabs>
              <w:spacing w:before="120" w:line="360" w:lineRule="auto"/>
              <w:rPr>
                <w:rFonts w:cstheme="minorHAnsi"/>
                <w:b/>
                <w:kern w:val="24"/>
                <w:szCs w:val="22"/>
              </w:rPr>
            </w:pPr>
            <w:r w:rsidRPr="00795650">
              <w:rPr>
                <w:rFonts w:cstheme="minorHAnsi"/>
                <w:b/>
                <w:kern w:val="24"/>
                <w:szCs w:val="22"/>
              </w:rPr>
              <w:t>Method 1)  Leased Fee Market Value</w:t>
            </w:r>
          </w:p>
        </w:tc>
        <w:tc>
          <w:tcPr>
            <w:tcW w:w="287" w:type="dxa"/>
            <w:tcBorders>
              <w:top w:val="nil"/>
              <w:left w:val="nil"/>
              <w:bottom w:val="double" w:sz="6" w:space="0" w:color="auto"/>
              <w:right w:val="nil"/>
            </w:tcBorders>
          </w:tcPr>
          <w:p w14:paraId="51BB7470" w14:textId="77777777" w:rsidR="006E5354" w:rsidRPr="00795650" w:rsidRDefault="006E5354" w:rsidP="00FE402D">
            <w:pPr>
              <w:tabs>
                <w:tab w:val="left" w:pos="3960"/>
              </w:tabs>
              <w:spacing w:before="120" w:line="360" w:lineRule="auto"/>
              <w:jc w:val="left"/>
              <w:rPr>
                <w:rFonts w:cstheme="minorHAnsi"/>
                <w:b/>
                <w:kern w:val="24"/>
                <w:szCs w:val="22"/>
              </w:rPr>
            </w:pPr>
          </w:p>
        </w:tc>
        <w:tc>
          <w:tcPr>
            <w:tcW w:w="264" w:type="dxa"/>
            <w:tcBorders>
              <w:top w:val="nil"/>
              <w:left w:val="nil"/>
              <w:bottom w:val="double" w:sz="6" w:space="0" w:color="auto"/>
              <w:right w:val="single" w:sz="6" w:space="0" w:color="auto"/>
            </w:tcBorders>
          </w:tcPr>
          <w:p w14:paraId="1F6ECB8D" w14:textId="77777777" w:rsidR="006E5354" w:rsidRPr="00795650" w:rsidRDefault="006E5354" w:rsidP="00FE402D">
            <w:pPr>
              <w:tabs>
                <w:tab w:val="left" w:pos="3960"/>
              </w:tabs>
              <w:spacing w:before="120" w:line="360" w:lineRule="auto"/>
              <w:jc w:val="center"/>
              <w:rPr>
                <w:rFonts w:cstheme="minorHAnsi"/>
                <w:b/>
                <w:kern w:val="24"/>
                <w:szCs w:val="22"/>
              </w:rPr>
            </w:pPr>
          </w:p>
        </w:tc>
        <w:tc>
          <w:tcPr>
            <w:tcW w:w="2419" w:type="dxa"/>
            <w:tcBorders>
              <w:top w:val="nil"/>
              <w:left w:val="nil"/>
              <w:bottom w:val="double" w:sz="6" w:space="0" w:color="auto"/>
              <w:right w:val="nil"/>
            </w:tcBorders>
          </w:tcPr>
          <w:p w14:paraId="7883920C" w14:textId="77777777" w:rsidR="006E5354" w:rsidRPr="00795650" w:rsidRDefault="006E5354" w:rsidP="00FE402D">
            <w:pPr>
              <w:tabs>
                <w:tab w:val="left" w:pos="3960"/>
              </w:tabs>
              <w:spacing w:before="120" w:line="360" w:lineRule="auto"/>
              <w:jc w:val="center"/>
              <w:rPr>
                <w:rFonts w:cstheme="minorHAnsi"/>
                <w:b/>
                <w:kern w:val="24"/>
                <w:szCs w:val="22"/>
                <w:highlight w:val="yellow"/>
              </w:rPr>
            </w:pPr>
            <w:r w:rsidRPr="00795650">
              <w:rPr>
                <w:rFonts w:cstheme="minorHAnsi"/>
                <w:b/>
                <w:kern w:val="24"/>
                <w:szCs w:val="22"/>
                <w:highlight w:val="yellow"/>
              </w:rPr>
              <w:t>$7,590,000</w:t>
            </w:r>
          </w:p>
        </w:tc>
      </w:tr>
    </w:tbl>
    <w:p w14:paraId="50AE91D2" w14:textId="77777777" w:rsidR="006E5354" w:rsidRDefault="006E5354" w:rsidP="006E5354">
      <w:pPr>
        <w:widowControl w:val="0"/>
        <w:rPr>
          <w:rFonts w:cs="Arial"/>
          <w:szCs w:val="22"/>
        </w:rPr>
      </w:pPr>
    </w:p>
    <w:p w14:paraId="541D11A2" w14:textId="77777777" w:rsidR="006E5354" w:rsidRDefault="006E5354" w:rsidP="006E5354">
      <w:pPr>
        <w:widowControl w:val="0"/>
        <w:rPr>
          <w:rFonts w:cs="Arial"/>
          <w:szCs w:val="22"/>
        </w:rPr>
        <w:sectPr w:rsidR="006E5354" w:rsidSect="00EE36B3">
          <w:headerReference w:type="default" r:id="rId19"/>
          <w:pgSz w:w="12240" w:h="15840" w:code="1"/>
          <w:pgMar w:top="1440" w:right="1440" w:bottom="720" w:left="1440" w:header="720" w:footer="720" w:gutter="0"/>
          <w:cols w:space="720"/>
          <w:docGrid w:linePitch="360"/>
        </w:sectPr>
      </w:pPr>
    </w:p>
    <w:p w14:paraId="7A3A66B7" w14:textId="77777777" w:rsidR="006E5354" w:rsidRDefault="006E5354" w:rsidP="006E5354">
      <w:pPr>
        <w:widowControl w:val="0"/>
        <w:ind w:left="-720"/>
        <w:rPr>
          <w:rFonts w:cs="Arial"/>
          <w:szCs w:val="22"/>
        </w:rPr>
        <w:sectPr w:rsidR="006E5354" w:rsidSect="003918D5">
          <w:pgSz w:w="12240" w:h="15840" w:code="1"/>
          <w:pgMar w:top="1440" w:right="1440" w:bottom="720" w:left="1440" w:header="720" w:footer="720" w:gutter="0"/>
          <w:cols w:space="720"/>
          <w:vAlign w:val="center"/>
          <w:docGrid w:linePitch="360"/>
        </w:sectPr>
      </w:pPr>
      <w:r w:rsidRPr="00772FBB">
        <w:rPr>
          <w:noProof/>
        </w:rPr>
        <w:lastRenderedPageBreak/>
        <w:drawing>
          <wp:inline distT="0" distB="0" distL="0" distR="0" wp14:anchorId="366863D5" wp14:editId="5DCAB5FF">
            <wp:extent cx="6862908" cy="4842163"/>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6869623" cy="4846901"/>
                    </a:xfrm>
                    <a:prstGeom prst="rect">
                      <a:avLst/>
                    </a:prstGeom>
                    <a:noFill/>
                    <a:ln>
                      <a:noFill/>
                    </a:ln>
                  </pic:spPr>
                </pic:pic>
              </a:graphicData>
            </a:graphic>
          </wp:inline>
        </w:drawing>
      </w:r>
    </w:p>
    <w:p w14:paraId="2D8365C7" w14:textId="77777777" w:rsidR="006E5354" w:rsidRPr="000754FA" w:rsidRDefault="006E5354" w:rsidP="006E5354">
      <w:pPr>
        <w:pStyle w:val="Heading20"/>
        <w:rPr>
          <w:rFonts w:asciiTheme="minorHAnsi" w:hAnsiTheme="minorHAnsi" w:cs="Arial"/>
          <w:b w:val="0"/>
          <w:color w:val="1E4959"/>
          <w:spacing w:val="0"/>
          <w:kern w:val="20"/>
          <w:sz w:val="28"/>
          <w:szCs w:val="22"/>
        </w:rPr>
      </w:pPr>
      <w:r w:rsidRPr="00CE0BFC">
        <w:rPr>
          <w:rFonts w:asciiTheme="minorHAnsi" w:hAnsiTheme="minorHAnsi" w:cs="Arial"/>
          <w:b w:val="0"/>
          <w:color w:val="1E4959"/>
          <w:spacing w:val="0"/>
          <w:kern w:val="20"/>
          <w:sz w:val="28"/>
          <w:szCs w:val="22"/>
        </w:rPr>
        <w:lastRenderedPageBreak/>
        <w:t>Method 2 – Discounted Cash Flow Analysis</w:t>
      </w:r>
    </w:p>
    <w:p w14:paraId="24E46154" w14:textId="77777777" w:rsidR="006E5354" w:rsidRPr="00CE0BFC" w:rsidRDefault="006E5354" w:rsidP="006E5354">
      <w:pPr>
        <w:widowControl w:val="0"/>
        <w:rPr>
          <w:rFonts w:cstheme="minorHAnsi"/>
        </w:rPr>
      </w:pPr>
      <w:r w:rsidRPr="00CE0BFC">
        <w:rPr>
          <w:rFonts w:cstheme="minorHAnsi"/>
        </w:rPr>
        <w:t xml:space="preserve">A second approach to valuing the subject’s leased fee interest is to measure the value of the existing ground lease in place through a discounted cash flow analysis.  In conducting a Discounted Cash Flow Analysis, income and expenses are projected over a typical investor holding period, and expense projections are then subtracted from income projections, resulting in net operating income. Net operating income projections are then discounted for time to reflect their future receipt, and then added together, resulting in a present value of the income stream.  The reversionary value (net sales proceeds at the end of the holding period) of the property is estimated and discounted, resulting in a present value of the reversion.  The present value of the reversion is then added to the present value of the income stream, resulting in the overall improved property value via a discounted cash flow analysis. </w:t>
      </w:r>
    </w:p>
    <w:p w14:paraId="6876ABC7" w14:textId="77777777" w:rsidR="006E5354" w:rsidRPr="00CE0BFC" w:rsidRDefault="006E5354" w:rsidP="006E5354">
      <w:pPr>
        <w:widowControl w:val="0"/>
        <w:rPr>
          <w:rFonts w:cstheme="minorHAnsi"/>
        </w:rPr>
      </w:pPr>
    </w:p>
    <w:p w14:paraId="2BA8F073" w14:textId="77777777" w:rsidR="006E5354" w:rsidRPr="00772FBB" w:rsidRDefault="006E5354" w:rsidP="006E5354">
      <w:pPr>
        <w:widowControl w:val="0"/>
        <w:rPr>
          <w:rFonts w:cstheme="minorHAnsi"/>
        </w:rPr>
      </w:pPr>
      <w:r w:rsidRPr="00CE0BFC">
        <w:rPr>
          <w:rFonts w:cstheme="minorHAnsi"/>
        </w:rPr>
        <w:t xml:space="preserve">The following yield capitalization analysis will use much of the same data, analyses, and projections already set forth in the previous </w:t>
      </w:r>
      <w:r w:rsidRPr="00772FBB">
        <w:rPr>
          <w:rFonts w:cstheme="minorHAnsi"/>
        </w:rPr>
        <w:t>approach. Similar assumptions and projections are made about the growth in income, discount rates, occupancy, and reversion.  These projections and assumptions are made and presented following.</w:t>
      </w:r>
    </w:p>
    <w:p w14:paraId="0B1D289F" w14:textId="77777777" w:rsidR="006E5354" w:rsidRPr="00772FBB" w:rsidRDefault="006E5354" w:rsidP="006E5354">
      <w:pPr>
        <w:widowControl w:val="0"/>
        <w:rPr>
          <w:rFonts w:cstheme="minorHAnsi"/>
        </w:rPr>
      </w:pPr>
    </w:p>
    <w:p w14:paraId="78AC221E" w14:textId="77777777" w:rsidR="006E5354" w:rsidRPr="00772FBB" w:rsidRDefault="006E5354" w:rsidP="006E5354">
      <w:pPr>
        <w:widowControl w:val="0"/>
        <w:rPr>
          <w:rFonts w:cstheme="minorHAnsi"/>
        </w:rPr>
      </w:pPr>
      <w:r w:rsidRPr="00772FBB">
        <w:rPr>
          <w:rFonts w:cstheme="minorHAnsi"/>
        </w:rPr>
        <w:t xml:space="preserve">In the case of the subject property, the cash flow period is projected </w:t>
      </w:r>
      <w:r w:rsidRPr="00930CD9">
        <w:rPr>
          <w:rFonts w:cstheme="minorHAnsi"/>
          <w:highlight w:val="yellow"/>
        </w:rPr>
        <w:t>over 30 years or 360 months (February 1, 2019 through January 31, 2049), which reflects the remaining current 5-year term of the ground lease, plus a probable total of (5) 5-year extension options.  The contract rent as of February 1, 2019 is $52,304 per month, and per the terms of the ground lease, we have estimated the contract rate will step up by a projected rate of +10.0% every 5 years.</w:t>
      </w:r>
      <w:r w:rsidRPr="00772FBB">
        <w:rPr>
          <w:rFonts w:cstheme="minorHAnsi"/>
        </w:rPr>
        <w:t xml:space="preserve">  In remaining consistent with Method 1, we have assumed contract rent inflation of </w:t>
      </w:r>
      <w:r w:rsidRPr="00930CD9">
        <w:rPr>
          <w:rFonts w:cstheme="minorHAnsi"/>
          <w:highlight w:val="yellow"/>
        </w:rPr>
        <w:t>+2.0% per year</w:t>
      </w:r>
      <w:r w:rsidRPr="00772FBB">
        <w:rPr>
          <w:rFonts w:cstheme="minorHAnsi"/>
        </w:rPr>
        <w:t xml:space="preserve">.  As the subject lease is based on an absolute triple net expense structure, no expenses are deducted.  Also, no vacancy / credit loss deduction is considered appropriate based on the ground lease tenancy and tenant’s ownership interest in the improvements. Thus, it is unlikely the lessee would vacate the subject site before the end of their term, though certainly any risk in this regard is built into the selected high discount rate. </w:t>
      </w:r>
    </w:p>
    <w:p w14:paraId="7EA5C83D" w14:textId="77777777" w:rsidR="006E5354" w:rsidRPr="00772FBB" w:rsidRDefault="006E5354" w:rsidP="006E5354">
      <w:pPr>
        <w:widowControl w:val="0"/>
        <w:rPr>
          <w:rFonts w:cstheme="minorHAnsi"/>
        </w:rPr>
      </w:pPr>
    </w:p>
    <w:p w14:paraId="38FFC95E" w14:textId="77777777" w:rsidR="006E5354" w:rsidRPr="00CE0BFC" w:rsidRDefault="006E5354" w:rsidP="006E5354">
      <w:pPr>
        <w:widowControl w:val="0"/>
        <w:rPr>
          <w:rFonts w:cstheme="minorHAnsi"/>
        </w:rPr>
      </w:pPr>
      <w:r w:rsidRPr="00772FBB">
        <w:rPr>
          <w:rFonts w:cstheme="minorHAnsi"/>
        </w:rPr>
        <w:t xml:space="preserve">In this analysis, the reversion was calculated by appreciating the current estimated fee simple land value also by an annual rate of </w:t>
      </w:r>
      <w:r w:rsidRPr="00D8624C">
        <w:rPr>
          <w:rFonts w:cstheme="minorHAnsi"/>
          <w:highlight w:val="yellow"/>
        </w:rPr>
        <w:t>2.0% per year</w:t>
      </w:r>
      <w:r w:rsidRPr="00CE0BFC">
        <w:rPr>
          <w:rFonts w:cstheme="minorHAnsi"/>
        </w:rPr>
        <w:t xml:space="preserve">.  Sales commissions of 5.0% will be deducted as a reasonable cost to the owner at the end of the lease term.  In this analysis, a </w:t>
      </w:r>
      <w:r w:rsidRPr="00D8624C">
        <w:rPr>
          <w:rFonts w:cstheme="minorHAnsi"/>
          <w:highlight w:val="yellow"/>
        </w:rPr>
        <w:t>discount rate of 10.00%</w:t>
      </w:r>
      <w:r w:rsidRPr="00CE0BFC">
        <w:rPr>
          <w:rFonts w:cstheme="minorHAnsi"/>
        </w:rPr>
        <w:t xml:space="preserve"> will be used for both the cash flow and reversion, which is similar to the rate used in the previous analysis. The present value of the cash flow and reversion are added to indicate the total leased fee value.  </w:t>
      </w:r>
    </w:p>
    <w:p w14:paraId="47DCE2B4" w14:textId="77777777" w:rsidR="006E5354" w:rsidRPr="00CE0BFC" w:rsidRDefault="006E5354" w:rsidP="006E5354">
      <w:pPr>
        <w:widowControl w:val="0"/>
        <w:rPr>
          <w:rFonts w:cstheme="minorHAnsi"/>
        </w:rPr>
      </w:pPr>
    </w:p>
    <w:p w14:paraId="7FF1FF22" w14:textId="77777777" w:rsidR="006E5354" w:rsidRPr="00772FBB" w:rsidRDefault="006E5354" w:rsidP="006E5354">
      <w:pPr>
        <w:widowControl w:val="0"/>
        <w:rPr>
          <w:rFonts w:cstheme="minorHAnsi"/>
        </w:rPr>
      </w:pPr>
      <w:r w:rsidRPr="00CE0BFC">
        <w:rPr>
          <w:rFonts w:cstheme="minorHAnsi"/>
        </w:rPr>
        <w:t xml:space="preserve">The discounted cash flow calculations relating to our valuation of the subject leased fee interest are provided in </w:t>
      </w:r>
      <w:r w:rsidRPr="00772FBB">
        <w:rPr>
          <w:rFonts w:cstheme="minorHAnsi"/>
        </w:rPr>
        <w:t xml:space="preserve">following chart. </w:t>
      </w:r>
    </w:p>
    <w:p w14:paraId="01D5C333" w14:textId="77777777" w:rsidR="006E5354" w:rsidRPr="00772FBB" w:rsidRDefault="006E5354" w:rsidP="006E5354">
      <w:pPr>
        <w:widowControl w:val="0"/>
        <w:rPr>
          <w:rFonts w:cstheme="minorHAnsi"/>
        </w:rPr>
      </w:pPr>
    </w:p>
    <w:p w14:paraId="00AE3B25" w14:textId="77777777" w:rsidR="006E5354" w:rsidRPr="003918D5" w:rsidRDefault="006E5354" w:rsidP="006E5354">
      <w:pPr>
        <w:widowControl w:val="0"/>
        <w:rPr>
          <w:rFonts w:cstheme="minorHAnsi"/>
        </w:rPr>
      </w:pPr>
      <w:r w:rsidRPr="00772FBB">
        <w:rPr>
          <w:rFonts w:cstheme="minorHAnsi"/>
        </w:rPr>
        <w:t xml:space="preserve">Based on this analysis, the </w:t>
      </w:r>
      <w:r w:rsidRPr="00772FBB">
        <w:rPr>
          <w:rFonts w:cstheme="minorHAnsi"/>
          <w:b/>
        </w:rPr>
        <w:t xml:space="preserve">market value of the </w:t>
      </w:r>
      <w:r w:rsidRPr="00772FBB">
        <w:rPr>
          <w:rFonts w:cstheme="minorHAnsi"/>
          <w:b/>
          <w:u w:val="single"/>
        </w:rPr>
        <w:t>leased fee</w:t>
      </w:r>
      <w:r w:rsidRPr="00772FBB">
        <w:rPr>
          <w:rFonts w:cstheme="minorHAnsi"/>
          <w:b/>
        </w:rPr>
        <w:t xml:space="preserve"> </w:t>
      </w:r>
      <w:r w:rsidRPr="00772FBB">
        <w:rPr>
          <w:rFonts w:cstheme="minorHAnsi"/>
        </w:rPr>
        <w:t xml:space="preserve">interest in the subject property via </w:t>
      </w:r>
      <w:r w:rsidRPr="00772FBB">
        <w:rPr>
          <w:rFonts w:cstheme="minorHAnsi"/>
          <w:u w:val="single"/>
        </w:rPr>
        <w:t>discounted cash flow analysis – Method 2</w:t>
      </w:r>
      <w:r w:rsidRPr="00772FBB">
        <w:rPr>
          <w:rFonts w:cstheme="minorHAnsi"/>
        </w:rPr>
        <w:t xml:space="preserve">, is concluded at </w:t>
      </w:r>
      <w:r w:rsidRPr="00D8624C">
        <w:rPr>
          <w:rFonts w:cstheme="minorHAnsi"/>
          <w:b/>
          <w:highlight w:val="yellow"/>
        </w:rPr>
        <w:t>$7,550,000</w:t>
      </w:r>
      <w:r w:rsidRPr="00772FBB">
        <w:rPr>
          <w:rFonts w:cstheme="minorHAnsi"/>
        </w:rPr>
        <w:t>.</w:t>
      </w:r>
    </w:p>
    <w:p w14:paraId="371FB616" w14:textId="77777777" w:rsidR="006E5354" w:rsidRPr="003918D5" w:rsidRDefault="006E5354" w:rsidP="006E5354">
      <w:pPr>
        <w:widowControl w:val="0"/>
        <w:rPr>
          <w:rFonts w:cstheme="minorHAnsi"/>
        </w:rPr>
      </w:pPr>
    </w:p>
    <w:p w14:paraId="56994AF1" w14:textId="77777777" w:rsidR="006E5354" w:rsidRPr="00692184" w:rsidRDefault="006E5354" w:rsidP="006E5354">
      <w:pPr>
        <w:widowControl w:val="0"/>
        <w:rPr>
          <w:rFonts w:cs="Arial"/>
          <w:szCs w:val="22"/>
        </w:rPr>
      </w:pPr>
    </w:p>
    <w:p w14:paraId="51DCEE4B" w14:textId="77777777" w:rsidR="006E5354" w:rsidRDefault="006E5354" w:rsidP="006E5354">
      <w:pPr>
        <w:rPr>
          <w:rFonts w:eastAsia="Calibri" w:cs="Arial"/>
          <w:color w:val="000000"/>
          <w:szCs w:val="22"/>
        </w:rPr>
        <w:sectPr w:rsidR="006E5354" w:rsidSect="00EE36B3">
          <w:pgSz w:w="12240" w:h="15840" w:code="1"/>
          <w:pgMar w:top="1440" w:right="1440" w:bottom="720" w:left="1440" w:header="720" w:footer="720" w:gutter="0"/>
          <w:cols w:space="720"/>
          <w:docGrid w:linePitch="360"/>
        </w:sectPr>
      </w:pPr>
    </w:p>
    <w:p w14:paraId="23AE9EEC" w14:textId="77777777" w:rsidR="006E5354" w:rsidRDefault="006E5354" w:rsidP="006E5354">
      <w:pPr>
        <w:rPr>
          <w:rFonts w:eastAsia="Calibri" w:cs="Arial"/>
          <w:color w:val="000000"/>
          <w:szCs w:val="22"/>
        </w:rPr>
        <w:sectPr w:rsidR="006E5354" w:rsidSect="00CE0BFC">
          <w:pgSz w:w="12240" w:h="15840" w:code="1"/>
          <w:pgMar w:top="1440" w:right="1440" w:bottom="720" w:left="1440" w:header="720" w:footer="720" w:gutter="0"/>
          <w:cols w:space="720"/>
          <w:vAlign w:val="center"/>
          <w:docGrid w:linePitch="360"/>
        </w:sectPr>
      </w:pPr>
      <w:r w:rsidRPr="00772FBB">
        <w:rPr>
          <w:rFonts w:eastAsia="Calibri"/>
          <w:noProof/>
        </w:rPr>
        <w:lastRenderedPageBreak/>
        <w:drawing>
          <wp:inline distT="0" distB="0" distL="0" distR="0" wp14:anchorId="44B4ECC0" wp14:editId="6BEB57EA">
            <wp:extent cx="5943600" cy="6021705"/>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5943600" cy="6021705"/>
                    </a:xfrm>
                    <a:prstGeom prst="rect">
                      <a:avLst/>
                    </a:prstGeom>
                    <a:noFill/>
                    <a:ln>
                      <a:noFill/>
                    </a:ln>
                  </pic:spPr>
                </pic:pic>
              </a:graphicData>
            </a:graphic>
          </wp:inline>
        </w:drawing>
      </w:r>
    </w:p>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E5354" w:rsidRPr="000754FA" w14:paraId="6EEB031F" w14:textId="77777777" w:rsidTr="00FE402D">
        <w:trPr>
          <w:trHeight w:hRule="exact" w:val="590"/>
        </w:trPr>
        <w:tc>
          <w:tcPr>
            <w:tcW w:w="9360" w:type="dxa"/>
            <w:vAlign w:val="center"/>
          </w:tcPr>
          <w:p w14:paraId="7D1377E2" w14:textId="77777777" w:rsidR="006E5354" w:rsidRPr="000754FA" w:rsidRDefault="006E5354" w:rsidP="00FE402D">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w:lastRenderedPageBreak/>
              <mc:AlternateContent>
                <mc:Choice Requires="wps">
                  <w:drawing>
                    <wp:anchor distT="0" distB="0" distL="114300" distR="114300" simplePos="0" relativeHeight="251660288" behindDoc="0" locked="0" layoutInCell="1" allowOverlap="1" wp14:anchorId="3E98A7DD" wp14:editId="5CDAAD47">
                      <wp:simplePos x="0" y="0"/>
                      <wp:positionH relativeFrom="leftMargin">
                        <wp:posOffset>0</wp:posOffset>
                      </wp:positionH>
                      <wp:positionV relativeFrom="paragraph">
                        <wp:posOffset>-22225</wp:posOffset>
                      </wp:positionV>
                      <wp:extent cx="5943600" cy="329184"/>
                      <wp:effectExtent l="0" t="0" r="0" b="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F902A53" w14:textId="77777777" w:rsidR="006E5354" w:rsidRPr="00E03623" w:rsidRDefault="006E5354" w:rsidP="006E5354">
                                  <w:pPr>
                                    <w:pStyle w:val="AddendaHeading"/>
                                  </w:pPr>
                                  <w:bookmarkStart w:id="7" w:name="_Toc1571337"/>
                                  <w:r w:rsidRPr="009D10BC">
                                    <w:t>Section 3 – Reconciliation and Final Conclusion</w:t>
                                  </w:r>
                                  <w:bookmarkEnd w:id="7"/>
                                </w:p>
                                <w:p w14:paraId="08B4B009" w14:textId="77777777" w:rsidR="006E5354" w:rsidRPr="00E03623" w:rsidRDefault="006E5354" w:rsidP="006E5354">
                                  <w:pPr>
                                    <w:pStyle w:val="TOC1"/>
                                  </w:pPr>
                                </w:p>
                                <w:p w14:paraId="16D202BE" w14:textId="77777777" w:rsidR="006E5354" w:rsidRPr="00883365" w:rsidRDefault="006E5354" w:rsidP="006E5354">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98A7DD" id="_x0000_t202" coordsize="21600,21600" o:spt="202" path="m,l,21600r21600,l21600,xe">
                      <v:stroke joinstyle="miter"/>
                      <v:path gradientshapeok="t" o:connecttype="rect"/>
                    </v:shapetype>
                    <v:shape id="_x0000_s1029" type="#_x0000_t202" style="position:absolute;margin-left:0;margin-top:-1.75pt;width:468pt;height:25.9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" fillcolor="#1c4554" stroked="f">
                      <v:fill color2="#e3e3e3" angle="45" colors="0 #1c4554;51118f #1c4554" focus="100%" type="gradient">
                        <o:fill v:ext="view" type="gradientUnscaled"/>
                      </v:fill>
                      <v:textbox>
                        <w:txbxContent>
                          <w:p w14:paraId="6F902A53" w14:textId="77777777" w:rsidR="006E5354" w:rsidRPr="00E03623" w:rsidRDefault="006E5354" w:rsidP="006E5354">
                            <w:pPr>
                              <w:pStyle w:val="AddendaHeading"/>
                            </w:pPr>
                            <w:bookmarkStart w:id="8" w:name="_Toc1571337"/>
                            <w:r w:rsidRPr="009D10BC">
                              <w:t>Section 3 – Reconciliation and Final Conclusion</w:t>
                            </w:r>
                            <w:bookmarkEnd w:id="8"/>
                          </w:p>
                          <w:p w14:paraId="08B4B009" w14:textId="77777777" w:rsidR="006E5354" w:rsidRPr="00E03623" w:rsidRDefault="006E5354" w:rsidP="006E5354">
                            <w:pPr>
                              <w:pStyle w:val="TOC1"/>
                            </w:pPr>
                          </w:p>
                          <w:p w14:paraId="16D202BE" w14:textId="77777777" w:rsidR="006E5354" w:rsidRPr="00883365" w:rsidRDefault="006E5354" w:rsidP="006E5354">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48E3BD5D" w14:textId="77777777" w:rsidR="006E5354" w:rsidRPr="00772FBB" w:rsidRDefault="006E5354" w:rsidP="006E5354">
      <w:pPr>
        <w:pStyle w:val="Heading20"/>
        <w:rPr>
          <w:rFonts w:asciiTheme="minorHAnsi" w:hAnsiTheme="minorHAnsi" w:cs="Arial"/>
          <w:b w:val="0"/>
          <w:color w:val="1E4959"/>
          <w:spacing w:val="0"/>
          <w:kern w:val="20"/>
          <w:sz w:val="28"/>
          <w:szCs w:val="22"/>
        </w:rPr>
      </w:pPr>
      <w:r w:rsidRPr="00772FBB">
        <w:rPr>
          <w:rFonts w:asciiTheme="minorHAnsi" w:hAnsiTheme="minorHAnsi" w:cs="Arial"/>
          <w:b w:val="0"/>
          <w:color w:val="1E4959"/>
          <w:spacing w:val="0"/>
          <w:kern w:val="20"/>
          <w:sz w:val="28"/>
          <w:szCs w:val="22"/>
        </w:rPr>
        <w:t>Concluded As Is Market Value – Leased Fee</w:t>
      </w:r>
    </w:p>
    <w:p w14:paraId="63E4716C" w14:textId="77777777" w:rsidR="006E5354" w:rsidRDefault="006E5354" w:rsidP="006E5354">
      <w:pPr>
        <w:suppressAutoHyphens/>
        <w:rPr>
          <w:rFonts w:cs="Arial"/>
          <w:szCs w:val="22"/>
        </w:rPr>
      </w:pPr>
      <w:r>
        <w:rPr>
          <w:rFonts w:cs="Arial"/>
          <w:szCs w:val="22"/>
        </w:rPr>
        <w:t>A summary of the two methodologies used to estimate the current market value of the subject leased fee interest is provided in the following chart.</w:t>
      </w:r>
    </w:p>
    <w:p w14:paraId="4DE037DE" w14:textId="77777777" w:rsidR="006E5354" w:rsidRDefault="006E5354" w:rsidP="006E5354"/>
    <w:tbl>
      <w:tblPr>
        <w:tblW w:w="936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690"/>
        <w:gridCol w:w="2430"/>
        <w:gridCol w:w="1440"/>
        <w:gridCol w:w="1800"/>
      </w:tblGrid>
      <w:tr w:rsidR="006E5354" w:rsidRPr="000754FA" w14:paraId="66183766" w14:textId="77777777" w:rsidTr="00FE402D">
        <w:tc>
          <w:tcPr>
            <w:tcW w:w="3690" w:type="dxa"/>
            <w:tcBorders>
              <w:top w:val="nil"/>
              <w:left w:val="nil"/>
              <w:bottom w:val="single" w:sz="18" w:space="0" w:color="3FB44F"/>
              <w:right w:val="nil"/>
            </w:tcBorders>
            <w:shd w:val="clear" w:color="auto" w:fill="1E4959"/>
          </w:tcPr>
          <w:p w14:paraId="2DCC0E40" w14:textId="77777777" w:rsidR="006E5354" w:rsidRPr="000754FA" w:rsidRDefault="006E5354" w:rsidP="00FE402D">
            <w:pPr>
              <w:tabs>
                <w:tab w:val="left" w:pos="3960"/>
              </w:tabs>
              <w:spacing w:after="60"/>
              <w:rPr>
                <w:rFonts w:cs="Arial"/>
                <w:b/>
                <w:smallCaps/>
                <w:color w:val="FFFFFF" w:themeColor="background1"/>
                <w:szCs w:val="22"/>
              </w:rPr>
            </w:pPr>
            <w:r w:rsidRPr="000754FA">
              <w:rPr>
                <w:rFonts w:cs="Arial"/>
                <w:b/>
                <w:smallCaps/>
                <w:color w:val="FFFFFF" w:themeColor="background1"/>
                <w:szCs w:val="22"/>
              </w:rPr>
              <w:br/>
              <w:t>Valuation Approach</w:t>
            </w:r>
          </w:p>
        </w:tc>
        <w:tc>
          <w:tcPr>
            <w:tcW w:w="2430" w:type="dxa"/>
            <w:tcBorders>
              <w:top w:val="nil"/>
              <w:left w:val="nil"/>
              <w:bottom w:val="single" w:sz="18" w:space="0" w:color="3FB44F"/>
              <w:right w:val="nil"/>
            </w:tcBorders>
            <w:shd w:val="clear" w:color="auto" w:fill="1E4959"/>
          </w:tcPr>
          <w:p w14:paraId="084B757C" w14:textId="77777777" w:rsidR="006E5354" w:rsidRPr="000754FA" w:rsidRDefault="006E5354" w:rsidP="00FE402D">
            <w:pPr>
              <w:tabs>
                <w:tab w:val="left" w:pos="3960"/>
              </w:tabs>
              <w:spacing w:after="60"/>
              <w:jc w:val="center"/>
              <w:rPr>
                <w:rFonts w:cs="Arial"/>
                <w:b/>
                <w:smallCaps/>
                <w:color w:val="FFFFFF" w:themeColor="background1"/>
                <w:szCs w:val="22"/>
              </w:rPr>
            </w:pPr>
            <w:r>
              <w:rPr>
                <w:rFonts w:cs="Arial"/>
                <w:b/>
                <w:smallCaps/>
                <w:color w:val="FFFFFF" w:themeColor="background1"/>
                <w:szCs w:val="22"/>
              </w:rPr>
              <w:br/>
            </w:r>
          </w:p>
        </w:tc>
        <w:tc>
          <w:tcPr>
            <w:tcW w:w="1440" w:type="dxa"/>
            <w:tcBorders>
              <w:top w:val="nil"/>
              <w:left w:val="nil"/>
              <w:bottom w:val="single" w:sz="18" w:space="0" w:color="3FB44F"/>
              <w:right w:val="nil"/>
            </w:tcBorders>
            <w:shd w:val="clear" w:color="auto" w:fill="1E4959"/>
          </w:tcPr>
          <w:p w14:paraId="51E6CD6B" w14:textId="77777777" w:rsidR="006E5354" w:rsidRPr="000754FA" w:rsidRDefault="006E5354" w:rsidP="00FE402D">
            <w:pPr>
              <w:tabs>
                <w:tab w:val="left" w:pos="3960"/>
              </w:tabs>
              <w:spacing w:after="60"/>
              <w:jc w:val="center"/>
              <w:rPr>
                <w:rFonts w:cs="Arial"/>
                <w:b/>
                <w:smallCaps/>
                <w:color w:val="FFFFFF" w:themeColor="background1"/>
                <w:szCs w:val="22"/>
              </w:rPr>
            </w:pPr>
            <w:r>
              <w:rPr>
                <w:rFonts w:cs="Arial"/>
                <w:b/>
                <w:smallCaps/>
                <w:color w:val="FFFFFF" w:themeColor="background1"/>
                <w:szCs w:val="22"/>
              </w:rPr>
              <w:br/>
            </w:r>
          </w:p>
        </w:tc>
        <w:tc>
          <w:tcPr>
            <w:tcW w:w="1800" w:type="dxa"/>
            <w:tcBorders>
              <w:top w:val="nil"/>
              <w:left w:val="nil"/>
              <w:bottom w:val="single" w:sz="18" w:space="0" w:color="3FB44F"/>
              <w:right w:val="nil"/>
            </w:tcBorders>
            <w:shd w:val="clear" w:color="auto" w:fill="1E4959"/>
          </w:tcPr>
          <w:p w14:paraId="1E6364A1" w14:textId="77777777" w:rsidR="006E5354" w:rsidRPr="000754FA" w:rsidRDefault="006E5354" w:rsidP="00FE402D">
            <w:pPr>
              <w:tabs>
                <w:tab w:val="left" w:pos="3960"/>
              </w:tabs>
              <w:spacing w:after="60"/>
              <w:jc w:val="center"/>
              <w:rPr>
                <w:rFonts w:cs="Arial"/>
                <w:b/>
                <w:smallCaps/>
                <w:color w:val="FFFFFF" w:themeColor="background1"/>
                <w:szCs w:val="22"/>
              </w:rPr>
            </w:pPr>
            <w:r w:rsidRPr="000754FA">
              <w:rPr>
                <w:rFonts w:cs="Arial"/>
                <w:b/>
                <w:smallCaps/>
                <w:color w:val="FFFFFF" w:themeColor="background1"/>
                <w:szCs w:val="22"/>
              </w:rPr>
              <w:t>Value</w:t>
            </w:r>
            <w:r w:rsidRPr="000754FA">
              <w:rPr>
                <w:rFonts w:cs="Arial"/>
                <w:b/>
                <w:smallCaps/>
                <w:color w:val="FFFFFF" w:themeColor="background1"/>
                <w:szCs w:val="22"/>
              </w:rPr>
              <w:br/>
              <w:t>Conclusion</w:t>
            </w:r>
          </w:p>
        </w:tc>
      </w:tr>
      <w:tr w:rsidR="006E5354" w:rsidRPr="00D70AAD" w14:paraId="423E2F66" w14:textId="77777777" w:rsidTr="00FE402D">
        <w:trPr>
          <w:trHeight w:val="507"/>
        </w:trPr>
        <w:tc>
          <w:tcPr>
            <w:tcW w:w="3690" w:type="dxa"/>
            <w:tcBorders>
              <w:top w:val="single" w:sz="6" w:space="0" w:color="auto"/>
              <w:left w:val="nil"/>
              <w:bottom w:val="single" w:sz="6" w:space="0" w:color="auto"/>
              <w:right w:val="nil"/>
            </w:tcBorders>
          </w:tcPr>
          <w:p w14:paraId="4A1225C3" w14:textId="77777777" w:rsidR="006E5354" w:rsidRPr="00D70AAD" w:rsidRDefault="006E5354" w:rsidP="00FE402D">
            <w:pPr>
              <w:tabs>
                <w:tab w:val="left" w:pos="3960"/>
              </w:tabs>
              <w:spacing w:before="120" w:line="360" w:lineRule="auto"/>
              <w:rPr>
                <w:rFonts w:cs="Arial"/>
                <w:b/>
                <w:szCs w:val="22"/>
              </w:rPr>
            </w:pPr>
            <w:r>
              <w:rPr>
                <w:rFonts w:cs="Arial"/>
                <w:b/>
                <w:szCs w:val="22"/>
              </w:rPr>
              <w:t>Method 1 – Allocation of Value</w:t>
            </w:r>
          </w:p>
        </w:tc>
        <w:tc>
          <w:tcPr>
            <w:tcW w:w="2430" w:type="dxa"/>
            <w:tcBorders>
              <w:top w:val="single" w:sz="6" w:space="0" w:color="auto"/>
              <w:left w:val="nil"/>
              <w:bottom w:val="single" w:sz="6" w:space="0" w:color="auto"/>
              <w:right w:val="nil"/>
            </w:tcBorders>
          </w:tcPr>
          <w:p w14:paraId="353F7E49" w14:textId="0E4EC930" w:rsidR="006E5354" w:rsidRPr="00D70AAD" w:rsidRDefault="006E5354" w:rsidP="00FE402D">
            <w:pPr>
              <w:tabs>
                <w:tab w:val="left" w:pos="3960"/>
              </w:tabs>
              <w:spacing w:before="120" w:line="360" w:lineRule="auto"/>
              <w:jc w:val="left"/>
              <w:rPr>
                <w:rFonts w:cs="Arial"/>
                <w:szCs w:val="22"/>
              </w:rPr>
            </w:pPr>
            <w:r>
              <w:rPr>
                <w:rFonts w:cs="Arial"/>
                <w:szCs w:val="22"/>
              </w:rPr>
              <w:t>Fee Simple Land Value:</w:t>
            </w:r>
            <w:r>
              <w:rPr>
                <w:rFonts w:cs="Arial"/>
                <w:szCs w:val="22"/>
              </w:rPr>
              <w:br/>
            </w:r>
            <w:sdt>
              <w:sdtPr>
                <w:rPr>
                  <w:rFonts w:cstheme="minorHAnsi"/>
                  <w:kern w:val="24"/>
                  <w:sz w:val="20"/>
                  <w:szCs w:val="20"/>
                  <w:highlight w:val="green"/>
                </w:rPr>
                <w:alias w:val="Less - Add"/>
                <w:tag w:val="Less - Add"/>
                <w:id w:val="-42829416"/>
                <w:placeholder>
                  <w:docPart w:val="9AC3918C9C02453782DCC5348C454185"/>
                </w:placeholder>
                <w:dropDownList>
                  <w:listItem w:value="Choose an item."/>
                  <w:listItem w:displayText="Less:" w:value="Less:"/>
                  <w:listItem w:displayText="Add:" w:value="Add:"/>
                </w:dropDownList>
              </w:sdtPr>
              <w:sdtEndPr/>
              <w:sdtContent>
                <w:r w:rsidR="00D8624C" w:rsidRPr="007A000E">
                  <w:rPr>
                    <w:rFonts w:cstheme="minorHAnsi"/>
                    <w:kern w:val="24"/>
                    <w:sz w:val="20"/>
                    <w:szCs w:val="20"/>
                    <w:highlight w:val="green"/>
                  </w:rPr>
                  <w:t>Less:</w:t>
                </w:r>
              </w:sdtContent>
            </w:sdt>
            <w:r w:rsidR="00D8624C" w:rsidRPr="00A84F58">
              <w:rPr>
                <w:rFonts w:cstheme="minorHAnsi"/>
                <w:kern w:val="24"/>
                <w:sz w:val="20"/>
                <w:szCs w:val="20"/>
              </w:rPr>
              <w:t xml:space="preserve">  </w:t>
            </w:r>
            <w:sdt>
              <w:sdtPr>
                <w:rPr>
                  <w:rFonts w:cstheme="minorHAnsi"/>
                  <w:iCs/>
                  <w:highlight w:val="green"/>
                </w:rPr>
                <w:alias w:val="LH Positioin"/>
                <w:tag w:val="LH Positioin"/>
                <w:id w:val="1171141503"/>
                <w:placeholder>
                  <w:docPart w:val="1EAA8E3E256542789C3205299A381FBD"/>
                </w:placeholder>
                <w:dropDownList>
                  <w:listItem w:value="Choose an item."/>
                  <w:listItem w:displayText="Positive" w:value="Positive"/>
                  <w:listItem w:displayText="Negative" w:value="Negative"/>
                </w:dropDownList>
              </w:sdtPr>
              <w:sdtEndPr/>
              <w:sdtContent>
                <w:r w:rsidR="00D8624C" w:rsidRPr="007A000E">
                  <w:rPr>
                    <w:rFonts w:cstheme="minorHAnsi"/>
                    <w:iCs/>
                    <w:highlight w:val="green"/>
                  </w:rPr>
                  <w:t>Positive</w:t>
                </w:r>
              </w:sdtContent>
            </w:sdt>
            <w:r w:rsidR="00D8624C" w:rsidRPr="003918D5">
              <w:rPr>
                <w:rFonts w:cstheme="minorHAnsi"/>
                <w:iCs/>
              </w:rPr>
              <w:t xml:space="preserve"> </w:t>
            </w:r>
            <w:r>
              <w:rPr>
                <w:rFonts w:cs="Arial"/>
                <w:szCs w:val="22"/>
              </w:rPr>
              <w:t>LH Value:</w:t>
            </w:r>
          </w:p>
        </w:tc>
        <w:tc>
          <w:tcPr>
            <w:tcW w:w="1440" w:type="dxa"/>
            <w:tcBorders>
              <w:top w:val="single" w:sz="6" w:space="0" w:color="auto"/>
              <w:left w:val="nil"/>
              <w:bottom w:val="single" w:sz="6" w:space="0" w:color="auto"/>
              <w:right w:val="single" w:sz="6" w:space="0" w:color="auto"/>
            </w:tcBorders>
          </w:tcPr>
          <w:p w14:paraId="5FDC8531" w14:textId="77777777" w:rsidR="006E5354" w:rsidRPr="00A77469" w:rsidRDefault="006E5354" w:rsidP="00FE402D">
            <w:pPr>
              <w:tabs>
                <w:tab w:val="left" w:pos="3960"/>
              </w:tabs>
              <w:spacing w:before="120" w:line="360" w:lineRule="auto"/>
              <w:jc w:val="center"/>
              <w:rPr>
                <w:rFonts w:cs="Arial"/>
                <w:szCs w:val="22"/>
              </w:rPr>
            </w:pPr>
            <w:r w:rsidRPr="002B204F">
              <w:rPr>
                <w:rFonts w:cs="Arial"/>
                <w:szCs w:val="22"/>
                <w:highlight w:val="yellow"/>
              </w:rPr>
              <w:t>$8,</w:t>
            </w:r>
            <w:r w:rsidRPr="00D8624C">
              <w:rPr>
                <w:rFonts w:cs="Arial"/>
                <w:szCs w:val="22"/>
                <w:highlight w:val="yellow"/>
              </w:rPr>
              <w:t>370,000</w:t>
            </w:r>
            <w:r w:rsidRPr="00D8624C">
              <w:rPr>
                <w:rFonts w:cs="Arial"/>
                <w:szCs w:val="22"/>
                <w:highlight w:val="yellow"/>
              </w:rPr>
              <w:br/>
            </w:r>
            <w:r w:rsidRPr="00D8624C">
              <w:rPr>
                <w:rFonts w:cs="Arial"/>
                <w:color w:val="FF0000"/>
                <w:szCs w:val="22"/>
                <w:highlight w:val="yellow"/>
              </w:rPr>
              <w:t>($780,000</w:t>
            </w:r>
            <w:r w:rsidRPr="00A77469">
              <w:rPr>
                <w:rFonts w:cs="Arial"/>
                <w:color w:val="FF0000"/>
                <w:szCs w:val="22"/>
              </w:rPr>
              <w:t>)</w:t>
            </w:r>
          </w:p>
        </w:tc>
        <w:tc>
          <w:tcPr>
            <w:tcW w:w="1800" w:type="dxa"/>
            <w:tcBorders>
              <w:top w:val="single" w:sz="6" w:space="0" w:color="auto"/>
              <w:left w:val="nil"/>
              <w:bottom w:val="single" w:sz="6" w:space="0" w:color="auto"/>
              <w:right w:val="nil"/>
            </w:tcBorders>
          </w:tcPr>
          <w:p w14:paraId="29EE9E5D" w14:textId="77777777" w:rsidR="006E5354" w:rsidRPr="00D8624C" w:rsidRDefault="006E5354" w:rsidP="00FE402D">
            <w:pPr>
              <w:tabs>
                <w:tab w:val="left" w:pos="3960"/>
              </w:tabs>
              <w:spacing w:before="120" w:line="360" w:lineRule="auto"/>
              <w:jc w:val="center"/>
              <w:rPr>
                <w:rFonts w:cs="Arial"/>
                <w:b/>
                <w:szCs w:val="22"/>
                <w:highlight w:val="yellow"/>
              </w:rPr>
            </w:pPr>
            <w:r w:rsidRPr="00D8624C">
              <w:rPr>
                <w:rFonts w:cs="Arial"/>
                <w:b/>
                <w:szCs w:val="22"/>
                <w:highlight w:val="yellow"/>
              </w:rPr>
              <w:br/>
              <w:t>$7,590,000</w:t>
            </w:r>
          </w:p>
        </w:tc>
      </w:tr>
      <w:tr w:rsidR="006E5354" w:rsidRPr="00D70AAD" w14:paraId="0174C36A" w14:textId="77777777" w:rsidTr="00FE402D">
        <w:trPr>
          <w:trHeight w:val="80"/>
        </w:trPr>
        <w:tc>
          <w:tcPr>
            <w:tcW w:w="3690" w:type="dxa"/>
            <w:tcBorders>
              <w:top w:val="single" w:sz="6" w:space="0" w:color="auto"/>
              <w:left w:val="nil"/>
              <w:bottom w:val="double" w:sz="4" w:space="0" w:color="auto"/>
              <w:right w:val="nil"/>
            </w:tcBorders>
          </w:tcPr>
          <w:p w14:paraId="66AD3F2F" w14:textId="77777777" w:rsidR="006E5354" w:rsidRPr="00D70AAD" w:rsidRDefault="006E5354" w:rsidP="00FE402D">
            <w:pPr>
              <w:tabs>
                <w:tab w:val="left" w:pos="3960"/>
              </w:tabs>
              <w:spacing w:before="120" w:line="360" w:lineRule="auto"/>
              <w:rPr>
                <w:rFonts w:cs="Arial"/>
                <w:b/>
                <w:szCs w:val="22"/>
              </w:rPr>
            </w:pPr>
            <w:r>
              <w:rPr>
                <w:rFonts w:cs="Arial"/>
                <w:b/>
                <w:szCs w:val="22"/>
              </w:rPr>
              <w:t>Method 2 – Discounted Cash Flow</w:t>
            </w:r>
            <w:r w:rsidRPr="00D70AAD">
              <w:rPr>
                <w:rFonts w:cs="Arial"/>
                <w:b/>
                <w:szCs w:val="22"/>
              </w:rPr>
              <w:t xml:space="preserve"> </w:t>
            </w:r>
          </w:p>
        </w:tc>
        <w:tc>
          <w:tcPr>
            <w:tcW w:w="2430" w:type="dxa"/>
            <w:tcBorders>
              <w:top w:val="single" w:sz="6" w:space="0" w:color="auto"/>
              <w:left w:val="nil"/>
              <w:bottom w:val="double" w:sz="4" w:space="0" w:color="auto"/>
              <w:right w:val="nil"/>
            </w:tcBorders>
          </w:tcPr>
          <w:p w14:paraId="1F5DD3D4" w14:textId="77777777" w:rsidR="006E5354" w:rsidRPr="00D70AAD" w:rsidRDefault="006E5354" w:rsidP="00FE402D">
            <w:pPr>
              <w:tabs>
                <w:tab w:val="left" w:pos="3960"/>
              </w:tabs>
              <w:spacing w:before="120" w:line="360" w:lineRule="auto"/>
              <w:jc w:val="left"/>
              <w:rPr>
                <w:rFonts w:cs="Arial"/>
                <w:szCs w:val="22"/>
              </w:rPr>
            </w:pPr>
            <w:r>
              <w:rPr>
                <w:rFonts w:cs="Arial"/>
                <w:szCs w:val="22"/>
              </w:rPr>
              <w:t>Leased Fee Value:</w:t>
            </w:r>
          </w:p>
        </w:tc>
        <w:tc>
          <w:tcPr>
            <w:tcW w:w="1440" w:type="dxa"/>
            <w:tcBorders>
              <w:top w:val="single" w:sz="6" w:space="0" w:color="auto"/>
              <w:left w:val="nil"/>
              <w:bottom w:val="double" w:sz="4" w:space="0" w:color="auto"/>
              <w:right w:val="single" w:sz="6" w:space="0" w:color="auto"/>
            </w:tcBorders>
          </w:tcPr>
          <w:p w14:paraId="6D94391D" w14:textId="77777777" w:rsidR="006E5354" w:rsidRPr="00D70AAD" w:rsidRDefault="006E5354" w:rsidP="00FE402D">
            <w:pPr>
              <w:tabs>
                <w:tab w:val="left" w:pos="3960"/>
              </w:tabs>
              <w:spacing w:before="120" w:line="360" w:lineRule="auto"/>
              <w:jc w:val="center"/>
              <w:rPr>
                <w:rFonts w:cs="Arial"/>
                <w:b/>
                <w:szCs w:val="22"/>
              </w:rPr>
            </w:pPr>
          </w:p>
        </w:tc>
        <w:tc>
          <w:tcPr>
            <w:tcW w:w="1800" w:type="dxa"/>
            <w:tcBorders>
              <w:top w:val="single" w:sz="6" w:space="0" w:color="auto"/>
              <w:left w:val="nil"/>
              <w:bottom w:val="double" w:sz="4" w:space="0" w:color="auto"/>
              <w:right w:val="nil"/>
            </w:tcBorders>
          </w:tcPr>
          <w:p w14:paraId="6A600A37" w14:textId="77777777" w:rsidR="006E5354" w:rsidRPr="00D8624C" w:rsidRDefault="006E5354" w:rsidP="00FE402D">
            <w:pPr>
              <w:tabs>
                <w:tab w:val="left" w:pos="3960"/>
              </w:tabs>
              <w:spacing w:before="120" w:line="360" w:lineRule="auto"/>
              <w:jc w:val="center"/>
              <w:rPr>
                <w:rFonts w:cs="Arial"/>
                <w:b/>
                <w:szCs w:val="22"/>
                <w:highlight w:val="yellow"/>
              </w:rPr>
            </w:pPr>
            <w:r w:rsidRPr="00D8624C">
              <w:rPr>
                <w:rFonts w:cs="Arial"/>
                <w:b/>
                <w:szCs w:val="22"/>
                <w:highlight w:val="yellow"/>
              </w:rPr>
              <w:t>$7,550,000</w:t>
            </w:r>
          </w:p>
        </w:tc>
      </w:tr>
    </w:tbl>
    <w:p w14:paraId="77796E67" w14:textId="77777777" w:rsidR="006E5354" w:rsidRDefault="006E5354" w:rsidP="006E5354">
      <w:pPr>
        <w:suppressAutoHyphens/>
        <w:rPr>
          <w:rFonts w:cs="Arial"/>
          <w:szCs w:val="22"/>
        </w:rPr>
      </w:pPr>
    </w:p>
    <w:p w14:paraId="088D6EC4" w14:textId="77777777" w:rsidR="006E5354" w:rsidRPr="00772FBB" w:rsidRDefault="006E5354" w:rsidP="006E5354">
      <w:pPr>
        <w:suppressAutoHyphens/>
        <w:rPr>
          <w:rFonts w:cs="Arial"/>
          <w:szCs w:val="22"/>
        </w:rPr>
      </w:pPr>
      <w:r w:rsidRPr="00772FBB">
        <w:rPr>
          <w:rFonts w:cs="Arial"/>
          <w:szCs w:val="22"/>
        </w:rPr>
        <w:t xml:space="preserve">The preceding two methodologies indicate a </w:t>
      </w:r>
      <w:r>
        <w:rPr>
          <w:rFonts w:cs="Arial"/>
          <w:szCs w:val="22"/>
        </w:rPr>
        <w:t xml:space="preserve">relatively narrow </w:t>
      </w:r>
      <w:r w:rsidRPr="00772FBB">
        <w:rPr>
          <w:rFonts w:cs="Arial"/>
          <w:szCs w:val="22"/>
        </w:rPr>
        <w:t xml:space="preserve">range of leased fee value </w:t>
      </w:r>
      <w:r>
        <w:rPr>
          <w:rFonts w:cs="Arial"/>
          <w:szCs w:val="22"/>
        </w:rPr>
        <w:t>for the subject property</w:t>
      </w:r>
      <w:r w:rsidRPr="00772FBB">
        <w:rPr>
          <w:rFonts w:cs="Arial"/>
          <w:szCs w:val="22"/>
        </w:rPr>
        <w:t xml:space="preserve">. Overall, </w:t>
      </w:r>
      <w:r w:rsidRPr="00D8624C">
        <w:rPr>
          <w:rFonts w:cs="Arial"/>
          <w:szCs w:val="22"/>
          <w:highlight w:val="yellow"/>
        </w:rPr>
        <w:t>the slightly lower value indicated by the discounted cash analysis (Method 2 – discounted cash flow analysis) is considered more credible and reliable as it basically mirrors the investment decisions making process of a typical leased fee buyer</w:t>
      </w:r>
      <w:r w:rsidRPr="00772FBB">
        <w:rPr>
          <w:rFonts w:cs="Arial"/>
          <w:szCs w:val="22"/>
        </w:rPr>
        <w:t xml:space="preserve">. </w:t>
      </w:r>
    </w:p>
    <w:p w14:paraId="34DF1245" w14:textId="77777777" w:rsidR="006E5354" w:rsidRPr="00772FBB" w:rsidRDefault="006E5354" w:rsidP="006E5354">
      <w:pPr>
        <w:suppressAutoHyphens/>
        <w:rPr>
          <w:rFonts w:cs="Arial"/>
          <w:szCs w:val="22"/>
        </w:rPr>
      </w:pPr>
    </w:p>
    <w:p w14:paraId="6CCCBC54" w14:textId="740C2B5A" w:rsidR="006E5354" w:rsidRPr="009D10BC" w:rsidRDefault="006E5354" w:rsidP="006E5354">
      <w:pPr>
        <w:suppressAutoHyphens/>
        <w:rPr>
          <w:rFonts w:cs="Arial"/>
          <w:szCs w:val="22"/>
        </w:rPr>
      </w:pPr>
      <w:r>
        <w:rPr>
          <w:rFonts w:cs="Arial"/>
          <w:szCs w:val="22"/>
        </w:rPr>
        <w:t>Based on the preceding,</w:t>
      </w:r>
      <w:r w:rsidRPr="00772FBB">
        <w:rPr>
          <w:rFonts w:cs="Arial"/>
          <w:szCs w:val="22"/>
        </w:rPr>
        <w:t xml:space="preserve"> it is the appraiser’s opinion that the </w:t>
      </w:r>
      <w:r w:rsidRPr="00772FBB">
        <w:rPr>
          <w:rFonts w:cs="Arial"/>
          <w:b/>
          <w:szCs w:val="22"/>
        </w:rPr>
        <w:t>concluded as is market value</w:t>
      </w:r>
      <w:r w:rsidRPr="00772FBB">
        <w:rPr>
          <w:rFonts w:cs="Arial"/>
          <w:szCs w:val="22"/>
        </w:rPr>
        <w:t xml:space="preserve"> of the </w:t>
      </w:r>
      <w:r w:rsidRPr="00772FBB">
        <w:rPr>
          <w:rFonts w:cs="Arial"/>
          <w:szCs w:val="22"/>
          <w:u w:val="single"/>
        </w:rPr>
        <w:t>leased fee</w:t>
      </w:r>
      <w:r w:rsidRPr="00772FBB">
        <w:rPr>
          <w:rFonts w:cs="Arial"/>
          <w:szCs w:val="22"/>
        </w:rPr>
        <w:t xml:space="preserve"> interest in the </w:t>
      </w:r>
      <w:r w:rsidRPr="00772FBB">
        <w:rPr>
          <w:rFonts w:cs="Arial"/>
          <w:b/>
          <w:szCs w:val="22"/>
        </w:rPr>
        <w:t>subject property</w:t>
      </w:r>
      <w:r w:rsidRPr="00772FBB">
        <w:rPr>
          <w:rFonts w:cs="Arial"/>
          <w:szCs w:val="22"/>
        </w:rPr>
        <w:t xml:space="preserve">, as of </w:t>
      </w:r>
      <w:r w:rsidR="00D6746C">
        <w:rPr>
          <w:rFonts w:cs="Arial"/>
          <w:szCs w:val="22"/>
        </w:rPr>
        <w:t>${</w:t>
      </w:r>
      <w:proofErr w:type="spellStart"/>
      <w:r w:rsidR="00D6746C" w:rsidRPr="00D6746C">
        <w:rPr>
          <w:rFonts w:cs="Arial"/>
          <w:szCs w:val="22"/>
        </w:rPr>
        <w:t>eff_date_value</w:t>
      </w:r>
      <w:proofErr w:type="spellEnd"/>
      <w:r w:rsidR="00D6746C">
        <w:rPr>
          <w:rFonts w:cs="Arial"/>
          <w:szCs w:val="22"/>
        </w:rPr>
        <w:t>}</w:t>
      </w:r>
      <w:r w:rsidRPr="00772FBB">
        <w:rPr>
          <w:rFonts w:cs="Arial"/>
          <w:szCs w:val="22"/>
        </w:rPr>
        <w:t>, is as follows:</w:t>
      </w:r>
    </w:p>
    <w:p w14:paraId="0561C580" w14:textId="77777777" w:rsidR="006E5354" w:rsidRPr="009D10BC" w:rsidRDefault="006E5354" w:rsidP="006E5354">
      <w:pPr>
        <w:suppressAutoHyphens/>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6547"/>
        <w:gridCol w:w="1665"/>
      </w:tblGrid>
      <w:tr w:rsidR="006E5354" w:rsidRPr="00185C85" w14:paraId="4FE2A401" w14:textId="77777777" w:rsidTr="00FE402D">
        <w:trPr>
          <w:jc w:val="center"/>
        </w:trPr>
        <w:tc>
          <w:tcPr>
            <w:tcW w:w="6547" w:type="dxa"/>
            <w:tcBorders>
              <w:bottom w:val="single" w:sz="24" w:space="0" w:color="3FB44F"/>
            </w:tcBorders>
            <w:shd w:val="clear" w:color="auto" w:fill="1E4959"/>
          </w:tcPr>
          <w:p w14:paraId="12E27108" w14:textId="77777777" w:rsidR="006E5354" w:rsidRPr="00185C85" w:rsidRDefault="006E5354" w:rsidP="00FE402D">
            <w:pPr>
              <w:widowControl w:val="0"/>
              <w:tabs>
                <w:tab w:val="left" w:pos="0"/>
                <w:tab w:val="left" w:pos="259"/>
                <w:tab w:val="left" w:pos="518"/>
              </w:tabs>
              <w:spacing w:line="273" w:lineRule="exact"/>
              <w:rPr>
                <w:rFonts w:ascii="Segoe UI" w:hAnsi="Segoe UI"/>
                <w:sz w:val="21"/>
              </w:rPr>
            </w:pPr>
          </w:p>
        </w:tc>
        <w:tc>
          <w:tcPr>
            <w:tcW w:w="1665" w:type="dxa"/>
            <w:tcBorders>
              <w:bottom w:val="single" w:sz="24" w:space="0" w:color="3FB44F"/>
            </w:tcBorders>
            <w:shd w:val="clear" w:color="auto" w:fill="1E4959"/>
          </w:tcPr>
          <w:p w14:paraId="1416F5DC" w14:textId="77777777" w:rsidR="006E5354" w:rsidRPr="00185C85" w:rsidRDefault="006E5354" w:rsidP="00FE402D">
            <w:pPr>
              <w:widowControl w:val="0"/>
              <w:tabs>
                <w:tab w:val="left" w:pos="0"/>
                <w:tab w:val="left" w:pos="259"/>
                <w:tab w:val="left" w:pos="518"/>
              </w:tabs>
              <w:spacing w:line="273" w:lineRule="exact"/>
              <w:jc w:val="right"/>
              <w:rPr>
                <w:rFonts w:ascii="Segoe UI" w:hAnsi="Segoe UI"/>
                <w:sz w:val="21"/>
              </w:rPr>
            </w:pPr>
          </w:p>
        </w:tc>
      </w:tr>
      <w:tr w:rsidR="006E5354" w:rsidRPr="00185C85" w14:paraId="6AF932E1" w14:textId="77777777" w:rsidTr="00FE402D">
        <w:trPr>
          <w:jc w:val="center"/>
        </w:trPr>
        <w:tc>
          <w:tcPr>
            <w:tcW w:w="6547" w:type="dxa"/>
            <w:tcBorders>
              <w:bottom w:val="double" w:sz="6" w:space="0" w:color="auto"/>
              <w:right w:val="single" w:sz="6" w:space="0" w:color="auto"/>
            </w:tcBorders>
          </w:tcPr>
          <w:p w14:paraId="44BAA536" w14:textId="77777777" w:rsidR="006E5354" w:rsidRPr="00185C85" w:rsidRDefault="006E5354" w:rsidP="00FE402D">
            <w:pPr>
              <w:widowControl w:val="0"/>
              <w:tabs>
                <w:tab w:val="left" w:pos="0"/>
                <w:tab w:val="left" w:pos="259"/>
                <w:tab w:val="left" w:pos="518"/>
              </w:tabs>
              <w:spacing w:after="58" w:line="480" w:lineRule="exact"/>
              <w:rPr>
                <w:b/>
              </w:rPr>
            </w:pPr>
            <w:r w:rsidRPr="00185C85">
              <w:rPr>
                <w:b/>
              </w:rPr>
              <w:t xml:space="preserve">Concluded </w:t>
            </w:r>
            <w:r>
              <w:rPr>
                <w:b/>
              </w:rPr>
              <w:t xml:space="preserve">As Is Market Value – Leased Fee </w:t>
            </w:r>
            <w:r w:rsidRPr="00185C85">
              <w:rPr>
                <w:b/>
              </w:rPr>
              <w:t xml:space="preserve"> </w:t>
            </w:r>
          </w:p>
        </w:tc>
        <w:tc>
          <w:tcPr>
            <w:tcW w:w="1665" w:type="dxa"/>
            <w:tcBorders>
              <w:left w:val="nil"/>
              <w:bottom w:val="double" w:sz="6" w:space="0" w:color="auto"/>
            </w:tcBorders>
          </w:tcPr>
          <w:p w14:paraId="4760E335" w14:textId="77777777" w:rsidR="006E5354" w:rsidRPr="00185C85" w:rsidRDefault="006E5354" w:rsidP="00FE402D">
            <w:pPr>
              <w:widowControl w:val="0"/>
              <w:tabs>
                <w:tab w:val="left" w:pos="0"/>
                <w:tab w:val="left" w:pos="259"/>
                <w:tab w:val="left" w:pos="518"/>
              </w:tabs>
              <w:spacing w:after="58" w:line="480" w:lineRule="exact"/>
              <w:jc w:val="center"/>
              <w:rPr>
                <w:b/>
              </w:rPr>
            </w:pPr>
            <w:r w:rsidRPr="00D8624C">
              <w:rPr>
                <w:rFonts w:cs="Arial"/>
                <w:b/>
                <w:szCs w:val="22"/>
                <w:highlight w:val="yellow"/>
              </w:rPr>
              <w:t>$7,550,000</w:t>
            </w:r>
          </w:p>
        </w:tc>
      </w:tr>
    </w:tbl>
    <w:p w14:paraId="7521DEA4" w14:textId="77777777" w:rsidR="006E5354" w:rsidRPr="00E30CB4" w:rsidRDefault="006E5354" w:rsidP="006E5354">
      <w:pPr>
        <w:rPr>
          <w:rFonts w:cs="Arial"/>
          <w:szCs w:val="22"/>
        </w:rPr>
      </w:pPr>
    </w:p>
    <w:p w14:paraId="2F6731FD" w14:textId="77777777" w:rsidR="006E5354" w:rsidRPr="000754FA" w:rsidRDefault="006E5354" w:rsidP="006E5354">
      <w:pPr>
        <w:pStyle w:val="Heading30"/>
        <w:spacing w:before="240" w:line="228" w:lineRule="auto"/>
        <w:rPr>
          <w:rFonts w:cs="Arial"/>
          <w:b/>
          <w:color w:val="1E4959"/>
          <w:kern w:val="20"/>
          <w:sz w:val="28"/>
          <w:szCs w:val="22"/>
        </w:rPr>
      </w:pPr>
      <w:r w:rsidRPr="006B62CE">
        <w:rPr>
          <w:rFonts w:cs="Arial"/>
          <w:color w:val="1E4959"/>
          <w:kern w:val="20"/>
          <w:sz w:val="24"/>
          <w:szCs w:val="22"/>
        </w:rPr>
        <w:t>Extraordinary</w:t>
      </w:r>
      <w:r w:rsidRPr="000754FA">
        <w:rPr>
          <w:rFonts w:cs="Arial"/>
          <w:color w:val="1E4959"/>
          <w:kern w:val="20"/>
          <w:sz w:val="24"/>
          <w:szCs w:val="22"/>
        </w:rPr>
        <w:t xml:space="preserve"> Assumptions:</w:t>
      </w:r>
    </w:p>
    <w:p w14:paraId="24F58CDB" w14:textId="787C88B5" w:rsidR="006E5354" w:rsidRPr="00736225" w:rsidRDefault="006E5354" w:rsidP="006E5354">
      <w:pPr>
        <w:pStyle w:val="ListParagraph"/>
        <w:numPr>
          <w:ilvl w:val="0"/>
          <w:numId w:val="26"/>
        </w:numPr>
        <w:rPr>
          <w:rFonts w:cs="Arial"/>
          <w:kern w:val="20"/>
          <w:szCs w:val="22"/>
        </w:rPr>
      </w:pPr>
      <w:r w:rsidRPr="00E55825">
        <w:rPr>
          <w:rFonts w:cs="Arial"/>
          <w:bCs w:val="0"/>
          <w:iCs w:val="0"/>
          <w:kern w:val="20"/>
          <w:szCs w:val="22"/>
        </w:rPr>
        <w:t xml:space="preserve">This report is based on a retrospective date of </w:t>
      </w:r>
      <w:r w:rsidR="00D6746C">
        <w:rPr>
          <w:rFonts w:cs="Arial"/>
          <w:bCs w:val="0"/>
          <w:iCs w:val="0"/>
          <w:kern w:val="20"/>
          <w:szCs w:val="22"/>
        </w:rPr>
        <w:t>${</w:t>
      </w:r>
      <w:proofErr w:type="spellStart"/>
      <w:r w:rsidR="00D6746C" w:rsidRPr="00D6746C">
        <w:rPr>
          <w:rFonts w:cs="Arial"/>
          <w:bCs w:val="0"/>
          <w:iCs w:val="0"/>
          <w:kern w:val="20"/>
          <w:szCs w:val="22"/>
        </w:rPr>
        <w:t>eff_date_value</w:t>
      </w:r>
      <w:proofErr w:type="spellEnd"/>
      <w:r w:rsidR="00D6746C">
        <w:rPr>
          <w:rFonts w:cs="Arial"/>
          <w:bCs w:val="0"/>
          <w:iCs w:val="0"/>
          <w:kern w:val="20"/>
          <w:szCs w:val="22"/>
        </w:rPr>
        <w:t>}</w:t>
      </w:r>
      <w:r w:rsidRPr="00E55825">
        <w:rPr>
          <w:rFonts w:cs="Arial"/>
          <w:bCs w:val="0"/>
          <w:iCs w:val="0"/>
          <w:kern w:val="20"/>
          <w:szCs w:val="22"/>
        </w:rPr>
        <w:t xml:space="preserve">.  The condition and status of the property on the retrospective date was confirmed with the client.  The appraiser inspected the subject on </w:t>
      </w:r>
      <w:r w:rsidR="00D6746C">
        <w:rPr>
          <w:rFonts w:cs="Arial"/>
          <w:bCs w:val="0"/>
          <w:iCs w:val="0"/>
          <w:kern w:val="20"/>
          <w:szCs w:val="22"/>
        </w:rPr>
        <w:t>${</w:t>
      </w:r>
      <w:proofErr w:type="spellStart"/>
      <w:r w:rsidR="00D6746C" w:rsidRPr="00D6746C">
        <w:rPr>
          <w:rFonts w:cs="Arial"/>
          <w:bCs w:val="0"/>
          <w:iCs w:val="0"/>
          <w:kern w:val="20"/>
          <w:szCs w:val="22"/>
        </w:rPr>
        <w:t>inspect_date</w:t>
      </w:r>
      <w:proofErr w:type="spellEnd"/>
      <w:r w:rsidR="00D6746C">
        <w:rPr>
          <w:rFonts w:cs="Arial"/>
          <w:bCs w:val="0"/>
          <w:iCs w:val="0"/>
          <w:kern w:val="20"/>
          <w:szCs w:val="22"/>
        </w:rPr>
        <w:t>}</w:t>
      </w:r>
      <w:r w:rsidRPr="00E55825">
        <w:rPr>
          <w:rFonts w:cs="Arial"/>
          <w:bCs w:val="0"/>
          <w:iCs w:val="0"/>
          <w:kern w:val="20"/>
          <w:szCs w:val="22"/>
        </w:rPr>
        <w:t>.  Overall, the owner representative’s confirmation appears to be accurate.  Any significant deviation from the assumption could have an impact on the final value conclusion</w:t>
      </w:r>
      <w:r w:rsidRPr="000C6DA7">
        <w:rPr>
          <w:rFonts w:cs="Arial"/>
          <w:bCs w:val="0"/>
          <w:iCs w:val="0"/>
          <w:kern w:val="20"/>
          <w:szCs w:val="22"/>
        </w:rPr>
        <w:t>.</w:t>
      </w:r>
    </w:p>
    <w:p w14:paraId="7B296E25" w14:textId="77777777" w:rsidR="006E5354" w:rsidRPr="000754FA" w:rsidRDefault="006E5354" w:rsidP="006E5354">
      <w:pPr>
        <w:pStyle w:val="Heading30"/>
        <w:spacing w:line="228" w:lineRule="auto"/>
        <w:rPr>
          <w:rFonts w:cs="Arial"/>
          <w:b/>
          <w:color w:val="1E4959"/>
          <w:kern w:val="20"/>
          <w:sz w:val="28"/>
          <w:szCs w:val="22"/>
        </w:rPr>
      </w:pPr>
      <w:r w:rsidRPr="000754FA">
        <w:rPr>
          <w:rFonts w:cs="Arial"/>
          <w:color w:val="1E4959"/>
          <w:kern w:val="20"/>
          <w:sz w:val="24"/>
          <w:szCs w:val="22"/>
        </w:rPr>
        <w:t>Hypothetical Conditions:</w:t>
      </w:r>
    </w:p>
    <w:p w14:paraId="7F73714E" w14:textId="77777777" w:rsidR="006E5354" w:rsidRDefault="006E5354" w:rsidP="006E5354">
      <w:pPr>
        <w:pStyle w:val="ListParagraph"/>
        <w:numPr>
          <w:ilvl w:val="0"/>
          <w:numId w:val="26"/>
        </w:numPr>
        <w:spacing w:after="120"/>
        <w:contextualSpacing w:val="0"/>
        <w:rPr>
          <w:rFonts w:cs="Arial"/>
          <w:kern w:val="20"/>
          <w:szCs w:val="22"/>
        </w:rPr>
      </w:pPr>
      <w:r w:rsidRPr="000754FA">
        <w:rPr>
          <w:rFonts w:cs="Arial"/>
          <w:kern w:val="20"/>
          <w:szCs w:val="22"/>
        </w:rPr>
        <w:t>None.</w:t>
      </w:r>
    </w:p>
    <w:p w14:paraId="0ACEC4E3" w14:textId="77777777" w:rsidR="006E5354" w:rsidRPr="009B6E44" w:rsidRDefault="006E5354" w:rsidP="006E5354">
      <w:pPr>
        <w:keepNext/>
        <w:spacing w:before="240" w:line="228" w:lineRule="auto"/>
        <w:ind w:left="2880" w:hanging="2880"/>
        <w:outlineLvl w:val="2"/>
        <w:rPr>
          <w:rFonts w:cs="Arial"/>
          <w:iCs/>
          <w:color w:val="1E4959"/>
          <w:sz w:val="28"/>
          <w:szCs w:val="22"/>
        </w:rPr>
      </w:pPr>
      <w:r w:rsidRPr="009B6E44">
        <w:rPr>
          <w:rFonts w:cs="Arial"/>
          <w:iCs/>
          <w:color w:val="1E4959"/>
          <w:sz w:val="28"/>
          <w:szCs w:val="22"/>
        </w:rPr>
        <w:t>Exposure Time and Marketing Periods</w:t>
      </w:r>
    </w:p>
    <w:p w14:paraId="3963DC35" w14:textId="77777777" w:rsidR="006E5354" w:rsidRDefault="006E5354" w:rsidP="006E5354">
      <w:pPr>
        <w:pStyle w:val="Footer"/>
        <w:tabs>
          <w:tab w:val="clear" w:pos="4320"/>
          <w:tab w:val="clear" w:pos="8640"/>
        </w:tabs>
      </w:pPr>
      <w:r w:rsidRPr="009B6E44">
        <w:rPr>
          <w:rFonts w:eastAsia="Calibri" w:cs="Arial"/>
          <w:color w:val="000000"/>
          <w:kern w:val="20"/>
          <w:szCs w:val="22"/>
        </w:rPr>
        <w:t xml:space="preserve">Based on statistical information about days on market, escrow length, and marketing times gathered through national investor surveys, sales verification, and interviews of market participants, marketing and exposure time estimates of up to </w:t>
      </w:r>
      <w:r>
        <w:rPr>
          <w:rFonts w:eastAsia="Calibri" w:cs="Arial"/>
          <w:color w:val="000000"/>
          <w:kern w:val="20"/>
          <w:szCs w:val="22"/>
        </w:rPr>
        <w:t>6</w:t>
      </w:r>
      <w:r w:rsidRPr="009B6E44">
        <w:rPr>
          <w:rFonts w:eastAsia="Calibri" w:cs="Arial"/>
          <w:color w:val="000000"/>
          <w:kern w:val="20"/>
          <w:szCs w:val="22"/>
        </w:rPr>
        <w:t xml:space="preserve"> months, respectively, is considered reasonable and appropriate for the subject property.</w:t>
      </w:r>
      <w:r>
        <w:t xml:space="preserve"> </w:t>
      </w:r>
    </w:p>
    <w:p w14:paraId="4703A962" w14:textId="77777777" w:rsidR="006E5354" w:rsidRDefault="006E5354" w:rsidP="006E5354">
      <w:pPr>
        <w:pStyle w:val="Footer"/>
        <w:tabs>
          <w:tab w:val="clear" w:pos="4320"/>
          <w:tab w:val="clear" w:pos="8640"/>
        </w:tabs>
        <w:rPr>
          <w:rFonts w:cs="Arial"/>
          <w:szCs w:val="22"/>
        </w:rPr>
        <w:sectPr w:rsidR="006E5354" w:rsidSect="006E5354">
          <w:headerReference w:type="default" r:id="rId22"/>
          <w:endnotePr>
            <w:numFmt w:val="decimal"/>
          </w:endnotePr>
          <w:pgSz w:w="12240" w:h="15840"/>
          <w:pgMar w:top="1440" w:right="1440" w:bottom="1440" w:left="1440" w:header="720" w:footer="720" w:gutter="0"/>
          <w:paperSrc w:first="15" w:other="15"/>
          <w:cols w:space="720"/>
          <w:noEndnote/>
        </w:sectPr>
      </w:pPr>
    </w:p>
    <w:p w14:paraId="09D9FBF0" w14:textId="77777777" w:rsidR="001F2654" w:rsidRPr="006E5354" w:rsidRDefault="001F2654" w:rsidP="006E5354"/>
    <w:sectPr w:rsidR="001F2654" w:rsidRPr="006E5354" w:rsidSect="006E5354">
      <w:headerReference w:type="default" r:id="rId23"/>
      <w:endnotePr>
        <w:numFmt w:val="decimal"/>
      </w:endnotePr>
      <w:pgSz w:w="12240" w:h="15840"/>
      <w:pgMar w:top="1440" w:right="1440" w:bottom="1440" w:left="1440" w:header="720" w:footer="720" w:gutter="0"/>
      <w:paperSrc w:first="15" w:other="15"/>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9110C" w14:textId="77777777" w:rsidR="00A16DA6" w:rsidRDefault="00A16DA6">
      <w:r>
        <w:separator/>
      </w:r>
    </w:p>
  </w:endnote>
  <w:endnote w:type="continuationSeparator" w:id="0">
    <w:p w14:paraId="267CFB0F" w14:textId="77777777" w:rsidR="00A16DA6" w:rsidRDefault="00A16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A534C" w14:textId="1EB30D48" w:rsidR="006F12DA" w:rsidRDefault="006F12DA" w:rsidP="006F12DA">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2B204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8C63C7">
      <w:rPr>
        <w:rFonts w:cs="Segoe UI"/>
        <w:bCs/>
        <w:iCs/>
        <w:kern w:val="0"/>
        <w:sz w:val="20"/>
        <w:szCs w:val="18"/>
      </w:rPr>
      <w:t>${reportname}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5C4BC" w14:textId="77777777" w:rsidR="00A16DA6" w:rsidRDefault="00A16DA6">
      <w:r>
        <w:separator/>
      </w:r>
    </w:p>
  </w:footnote>
  <w:footnote w:type="continuationSeparator" w:id="0">
    <w:p w14:paraId="4EE39151" w14:textId="77777777" w:rsidR="00A16DA6" w:rsidRDefault="00A16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4460"/>
    </w:tblGrid>
    <w:tr w:rsidR="006E5354" w:rsidRPr="006C283F" w14:paraId="530C8614" w14:textId="77777777" w:rsidTr="007312BF">
      <w:trPr>
        <w:trHeight w:val="800"/>
      </w:trPr>
      <w:tc>
        <w:tcPr>
          <w:tcW w:w="5223" w:type="dxa"/>
        </w:tcPr>
        <w:p w14:paraId="4130837C" w14:textId="77777777" w:rsidR="006E5354" w:rsidRDefault="006E5354" w:rsidP="00492705">
          <w:pPr>
            <w:pStyle w:val="ValbridgeHeader"/>
            <w:spacing w:line="240" w:lineRule="auto"/>
            <w:jc w:val="left"/>
          </w:pPr>
          <w:r w:rsidRPr="006C283F">
            <w:rPr>
              <w:noProof/>
            </w:rPr>
            <w:drawing>
              <wp:inline distT="0" distB="0" distL="0" distR="0" wp14:anchorId="0219D816" wp14:editId="34838196">
                <wp:extent cx="2231136" cy="493776"/>
                <wp:effectExtent l="0" t="0" r="0" b="190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5" w:type="dxa"/>
          <w:vAlign w:val="center"/>
        </w:tcPr>
        <w:p w14:paraId="5C040F50" w14:textId="77777777" w:rsidR="00D410F0" w:rsidRPr="000E23F3" w:rsidRDefault="00D410F0" w:rsidP="00D410F0">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5CDE310C" w14:textId="77777777" w:rsidR="006E5354" w:rsidRPr="00883365" w:rsidRDefault="006E5354" w:rsidP="00BE6BC1">
          <w:pPr>
            <w:pStyle w:val="ValbridgeHeader"/>
            <w:spacing w:line="240" w:lineRule="auto"/>
            <w:rPr>
              <w:rFonts w:ascii="Arial Narrow" w:hAnsi="Arial Narrow" w:cs="Arial"/>
            </w:rPr>
          </w:pPr>
          <w:r>
            <w:rPr>
              <w:rFonts w:asciiTheme="minorHAnsi" w:hAnsiTheme="minorHAnsi"/>
              <w:color w:val="auto"/>
              <w:sz w:val="20"/>
            </w:rPr>
            <w:t>VALUATION METHODOLGY</w:t>
          </w:r>
        </w:p>
      </w:tc>
    </w:tr>
  </w:tbl>
  <w:p w14:paraId="22809C9C" w14:textId="77777777" w:rsidR="006E5354" w:rsidRDefault="006E5354" w:rsidP="00C716B5">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6E5354" w:rsidRPr="006C283F" w14:paraId="0B8FDF27" w14:textId="77777777" w:rsidTr="00683A85">
      <w:trPr>
        <w:trHeight w:val="800"/>
      </w:trPr>
      <w:tc>
        <w:tcPr>
          <w:tcW w:w="5222" w:type="dxa"/>
        </w:tcPr>
        <w:p w14:paraId="459346B1" w14:textId="77777777" w:rsidR="006E5354" w:rsidRDefault="006E5354" w:rsidP="00492705">
          <w:pPr>
            <w:pStyle w:val="ValbridgeHeader"/>
            <w:spacing w:line="240" w:lineRule="auto"/>
            <w:jc w:val="left"/>
          </w:pPr>
          <w:r w:rsidRPr="006C283F">
            <w:rPr>
              <w:noProof/>
            </w:rPr>
            <w:drawing>
              <wp:inline distT="0" distB="0" distL="0" distR="0" wp14:anchorId="340F16CF" wp14:editId="41EAE056">
                <wp:extent cx="2231136" cy="493776"/>
                <wp:effectExtent l="0" t="0" r="0" b="1905"/>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0BB7F0EE" w14:textId="77777777" w:rsidR="00D410F0" w:rsidRPr="000E23F3" w:rsidRDefault="00D410F0" w:rsidP="00D410F0">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68CFEBA4" w14:textId="77777777" w:rsidR="006E5354" w:rsidRPr="00883365" w:rsidRDefault="006E5354" w:rsidP="00E64CFA">
          <w:pPr>
            <w:pStyle w:val="ValbridgeHeader"/>
            <w:spacing w:line="240" w:lineRule="auto"/>
            <w:rPr>
              <w:rFonts w:ascii="Arial Narrow" w:hAnsi="Arial Narrow" w:cs="Arial"/>
            </w:rPr>
          </w:pPr>
          <w:r>
            <w:rPr>
              <w:rFonts w:asciiTheme="minorHAnsi" w:hAnsiTheme="minorHAnsi"/>
              <w:color w:val="auto"/>
              <w:sz w:val="20"/>
            </w:rPr>
            <w:t xml:space="preserve">FEE SIMPLE </w:t>
          </w:r>
          <w:r w:rsidRPr="00F01ADE">
            <w:rPr>
              <w:rFonts w:asciiTheme="minorHAnsi" w:hAnsiTheme="minorHAnsi"/>
              <w:color w:val="auto"/>
              <w:sz w:val="20"/>
            </w:rPr>
            <w:t>LAND VALUATION</w:t>
          </w:r>
        </w:p>
      </w:tc>
    </w:tr>
  </w:tbl>
  <w:p w14:paraId="29709637" w14:textId="77777777" w:rsidR="006E5354" w:rsidRDefault="006E5354" w:rsidP="00CE5C66">
    <w:pPr>
      <w:pStyle w:val="ValbridgeHeader"/>
      <w:tabs>
        <w:tab w:val="left" w:pos="2235"/>
        <w:tab w:val="right" w:pos="9360"/>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4460"/>
    </w:tblGrid>
    <w:tr w:rsidR="006E5354" w:rsidRPr="006C283F" w14:paraId="4CCF954F" w14:textId="77777777" w:rsidTr="007312BF">
      <w:trPr>
        <w:trHeight w:val="800"/>
      </w:trPr>
      <w:tc>
        <w:tcPr>
          <w:tcW w:w="5223" w:type="dxa"/>
        </w:tcPr>
        <w:p w14:paraId="20672462" w14:textId="77777777" w:rsidR="006E5354" w:rsidRDefault="006E5354" w:rsidP="00492705">
          <w:pPr>
            <w:pStyle w:val="ValbridgeHeader"/>
            <w:spacing w:line="240" w:lineRule="auto"/>
            <w:jc w:val="left"/>
          </w:pPr>
          <w:r w:rsidRPr="006C283F">
            <w:rPr>
              <w:noProof/>
            </w:rPr>
            <w:drawing>
              <wp:inline distT="0" distB="0" distL="0" distR="0" wp14:anchorId="6AAD149D" wp14:editId="0CFCAEEB">
                <wp:extent cx="2231136" cy="493776"/>
                <wp:effectExtent l="0" t="0" r="0" b="190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5" w:type="dxa"/>
          <w:vAlign w:val="center"/>
        </w:tcPr>
        <w:p w14:paraId="1AE95DD8" w14:textId="77777777" w:rsidR="00D410F0" w:rsidRPr="000E23F3" w:rsidRDefault="00D410F0" w:rsidP="00D410F0">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7B321EAC" w14:textId="77777777" w:rsidR="006E5354" w:rsidRPr="00BA6391" w:rsidRDefault="006E5354" w:rsidP="00F703BB">
          <w:pPr>
            <w:pStyle w:val="ValbridgeHeader"/>
            <w:spacing w:line="240" w:lineRule="auto"/>
            <w:rPr>
              <w:rFonts w:asciiTheme="minorHAnsi" w:hAnsiTheme="minorHAnsi" w:cs="Arial"/>
              <w:sz w:val="20"/>
              <w:szCs w:val="20"/>
            </w:rPr>
          </w:pPr>
          <w:r>
            <w:rPr>
              <w:rFonts w:asciiTheme="minorHAnsi" w:hAnsiTheme="minorHAnsi" w:cs="Arial"/>
              <w:sz w:val="20"/>
              <w:szCs w:val="20"/>
            </w:rPr>
            <w:t>LEASED FEE VALUATION</w:t>
          </w:r>
        </w:p>
      </w:tc>
    </w:tr>
  </w:tbl>
  <w:p w14:paraId="529FD608" w14:textId="77777777" w:rsidR="006E5354" w:rsidRDefault="006E5354" w:rsidP="00C716B5">
    <w:pPr>
      <w:pStyle w:val="ValbridgeHeader"/>
      <w:tabs>
        <w:tab w:val="left" w:pos="2235"/>
        <w:tab w:val="right" w:pos="9360"/>
      </w:tabs>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6E5354" w:rsidRPr="006C283F" w14:paraId="26F5F827" w14:textId="77777777" w:rsidTr="00CA3661">
      <w:trPr>
        <w:trHeight w:val="800"/>
      </w:trPr>
      <w:tc>
        <w:tcPr>
          <w:tcW w:w="5125" w:type="dxa"/>
        </w:tcPr>
        <w:p w14:paraId="1379C5AB" w14:textId="77777777" w:rsidR="006E5354" w:rsidRDefault="006E5354" w:rsidP="00492705">
          <w:pPr>
            <w:pStyle w:val="ValbridgeHeader"/>
            <w:spacing w:line="240" w:lineRule="auto"/>
            <w:jc w:val="left"/>
          </w:pPr>
          <w:r w:rsidRPr="006C283F">
            <w:rPr>
              <w:noProof/>
            </w:rPr>
            <w:drawing>
              <wp:inline distT="0" distB="0" distL="0" distR="0" wp14:anchorId="54CF25B7" wp14:editId="29E6CE19">
                <wp:extent cx="2231136" cy="493776"/>
                <wp:effectExtent l="0" t="0" r="0" b="1905"/>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3" w:type="dxa"/>
          <w:vAlign w:val="center"/>
        </w:tcPr>
        <w:p w14:paraId="59B2E34C" w14:textId="77777777" w:rsidR="00D8624C" w:rsidRPr="000E23F3" w:rsidRDefault="00D8624C" w:rsidP="00D8624C">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560F6080" w14:textId="77777777" w:rsidR="006E5354" w:rsidRPr="00883365" w:rsidRDefault="006E5354" w:rsidP="00F703BB">
          <w:pPr>
            <w:pStyle w:val="ValbridgeHeader"/>
            <w:spacing w:line="240" w:lineRule="auto"/>
            <w:rPr>
              <w:rFonts w:ascii="Arial Narrow" w:hAnsi="Arial Narrow" w:cs="Arial"/>
            </w:rPr>
          </w:pPr>
          <w:r w:rsidRPr="009D10BC">
            <w:rPr>
              <w:rFonts w:asciiTheme="minorHAnsi" w:hAnsiTheme="minorHAnsi"/>
              <w:color w:val="auto"/>
              <w:sz w:val="20"/>
            </w:rPr>
            <w:t>RECONCILIATION AND FINAL CONCLUSION</w:t>
          </w:r>
        </w:p>
      </w:tc>
    </w:tr>
  </w:tbl>
  <w:p w14:paraId="453DA7FD" w14:textId="77777777" w:rsidR="006E5354" w:rsidRDefault="006E5354" w:rsidP="00FE229A">
    <w:pPr>
      <w:pStyle w:val="ValbridgeHeader"/>
      <w:tabs>
        <w:tab w:val="left" w:pos="2235"/>
        <w:tab w:val="right" w:pos="9360"/>
      </w:tabs>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76B474A7"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30"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A82"/>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22"/>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04F"/>
    <w:rsid w:val="002B2429"/>
    <w:rsid w:val="002B2977"/>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A8F"/>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48B"/>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5ED7"/>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354"/>
    <w:rsid w:val="006E54F9"/>
    <w:rsid w:val="006E5542"/>
    <w:rsid w:val="006E57CE"/>
    <w:rsid w:val="006E5A86"/>
    <w:rsid w:val="006E643A"/>
    <w:rsid w:val="006E686C"/>
    <w:rsid w:val="006E7903"/>
    <w:rsid w:val="006E7F0B"/>
    <w:rsid w:val="006F003D"/>
    <w:rsid w:val="006F0D38"/>
    <w:rsid w:val="006F1179"/>
    <w:rsid w:val="006F12DA"/>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650"/>
    <w:rsid w:val="00795FDC"/>
    <w:rsid w:val="00796675"/>
    <w:rsid w:val="00797340"/>
    <w:rsid w:val="00797C10"/>
    <w:rsid w:val="00797EDC"/>
    <w:rsid w:val="007A000E"/>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1C"/>
    <w:rsid w:val="00897268"/>
    <w:rsid w:val="00897728"/>
    <w:rsid w:val="00897837"/>
    <w:rsid w:val="0089798B"/>
    <w:rsid w:val="00897B49"/>
    <w:rsid w:val="008A0166"/>
    <w:rsid w:val="008A06F6"/>
    <w:rsid w:val="008A088B"/>
    <w:rsid w:val="008A0BB5"/>
    <w:rsid w:val="008A0F79"/>
    <w:rsid w:val="008A1236"/>
    <w:rsid w:val="008A1635"/>
    <w:rsid w:val="008A1EEB"/>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63C7"/>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0CD9"/>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3B1"/>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6DA6"/>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ACB"/>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396"/>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280F"/>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C98"/>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0F0"/>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46C"/>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24C"/>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3B556981-5EE6-447F-BF02-A3E825491DDD}"/>
      </w:docPartPr>
      <w:docPartBody>
        <w:p w:rsidR="00E80E18" w:rsidRDefault="002F5E24">
          <w:r w:rsidRPr="00485B37">
            <w:rPr>
              <w:rStyle w:val="PlaceholderText"/>
            </w:rPr>
            <w:t>Choose an item.</w:t>
          </w:r>
        </w:p>
      </w:docPartBody>
    </w:docPart>
    <w:docPart>
      <w:docPartPr>
        <w:name w:val="B003529C35D343C0BB75DD06C0B9CE68"/>
        <w:category>
          <w:name w:val="General"/>
          <w:gallery w:val="placeholder"/>
        </w:category>
        <w:types>
          <w:type w:val="bbPlcHdr"/>
        </w:types>
        <w:behaviors>
          <w:behavior w:val="content"/>
        </w:behaviors>
        <w:guid w:val="{AB1D5250-BB42-4974-96A1-B140B296B78F}"/>
      </w:docPartPr>
      <w:docPartBody>
        <w:p w:rsidR="00E13DDD" w:rsidRDefault="00C20CDB" w:rsidP="00C20CDB">
          <w:pPr>
            <w:pStyle w:val="B003529C35D343C0BB75DD06C0B9CE68"/>
          </w:pPr>
          <w:r w:rsidRPr="00485B37">
            <w:rPr>
              <w:rStyle w:val="PlaceholderText"/>
            </w:rPr>
            <w:t>Choose an item.</w:t>
          </w:r>
        </w:p>
      </w:docPartBody>
    </w:docPart>
    <w:docPart>
      <w:docPartPr>
        <w:name w:val="56A897B044174904BB4EBE10D663867E"/>
        <w:category>
          <w:name w:val="General"/>
          <w:gallery w:val="placeholder"/>
        </w:category>
        <w:types>
          <w:type w:val="bbPlcHdr"/>
        </w:types>
        <w:behaviors>
          <w:behavior w:val="content"/>
        </w:behaviors>
        <w:guid w:val="{C4A730C7-2844-40F6-B195-B8011F42EC16}"/>
      </w:docPartPr>
      <w:docPartBody>
        <w:p w:rsidR="00E13DDD" w:rsidRDefault="00C20CDB" w:rsidP="00C20CDB">
          <w:pPr>
            <w:pStyle w:val="56A897B044174904BB4EBE10D663867E"/>
          </w:pPr>
          <w:r w:rsidRPr="00485B37">
            <w:rPr>
              <w:rStyle w:val="PlaceholderText"/>
            </w:rPr>
            <w:t>Choose an item.</w:t>
          </w:r>
        </w:p>
      </w:docPartBody>
    </w:docPart>
    <w:docPart>
      <w:docPartPr>
        <w:name w:val="BB575EC0098C4D5FA521065A7E3208E4"/>
        <w:category>
          <w:name w:val="General"/>
          <w:gallery w:val="placeholder"/>
        </w:category>
        <w:types>
          <w:type w:val="bbPlcHdr"/>
        </w:types>
        <w:behaviors>
          <w:behavior w:val="content"/>
        </w:behaviors>
        <w:guid w:val="{10CD1A57-084E-4FAA-928A-0B3FF9299FA5}"/>
      </w:docPartPr>
      <w:docPartBody>
        <w:p w:rsidR="00E13DDD" w:rsidRDefault="00C20CDB" w:rsidP="00C20CDB">
          <w:pPr>
            <w:pStyle w:val="BB575EC0098C4D5FA521065A7E3208E4"/>
          </w:pPr>
          <w:r w:rsidRPr="00485B37">
            <w:rPr>
              <w:rStyle w:val="PlaceholderText"/>
            </w:rPr>
            <w:t>Choose an item.</w:t>
          </w:r>
        </w:p>
      </w:docPartBody>
    </w:docPart>
    <w:docPart>
      <w:docPartPr>
        <w:name w:val="5D3C75A8063A47D6918A629D9B7A6140"/>
        <w:category>
          <w:name w:val="General"/>
          <w:gallery w:val="placeholder"/>
        </w:category>
        <w:types>
          <w:type w:val="bbPlcHdr"/>
        </w:types>
        <w:behaviors>
          <w:behavior w:val="content"/>
        </w:behaviors>
        <w:guid w:val="{4D4E8CED-4960-49DE-9472-E378FF3172AC}"/>
      </w:docPartPr>
      <w:docPartBody>
        <w:p w:rsidR="00E13DDD" w:rsidRDefault="00C20CDB" w:rsidP="00C20CDB">
          <w:pPr>
            <w:pStyle w:val="5D3C75A8063A47D6918A629D9B7A6140"/>
          </w:pPr>
          <w:r w:rsidRPr="00485B37">
            <w:rPr>
              <w:rStyle w:val="PlaceholderText"/>
            </w:rPr>
            <w:t>Choose an item.</w:t>
          </w:r>
        </w:p>
      </w:docPartBody>
    </w:docPart>
    <w:docPart>
      <w:docPartPr>
        <w:name w:val="1EAA8E3E256542789C3205299A381FBD"/>
        <w:category>
          <w:name w:val="General"/>
          <w:gallery w:val="placeholder"/>
        </w:category>
        <w:types>
          <w:type w:val="bbPlcHdr"/>
        </w:types>
        <w:behaviors>
          <w:behavior w:val="content"/>
        </w:behaviors>
        <w:guid w:val="{651A1905-6B61-48E1-9A17-F467461A7B30}"/>
      </w:docPartPr>
      <w:docPartBody>
        <w:p w:rsidR="00E13DDD" w:rsidRDefault="00C20CDB" w:rsidP="00C20CDB">
          <w:pPr>
            <w:pStyle w:val="1EAA8E3E256542789C3205299A381FBD"/>
          </w:pPr>
          <w:r w:rsidRPr="00485B37">
            <w:rPr>
              <w:rStyle w:val="PlaceholderText"/>
            </w:rPr>
            <w:t>Choose an item.</w:t>
          </w:r>
        </w:p>
      </w:docPartBody>
    </w:docPart>
    <w:docPart>
      <w:docPartPr>
        <w:name w:val="9AC3918C9C02453782DCC5348C454185"/>
        <w:category>
          <w:name w:val="General"/>
          <w:gallery w:val="placeholder"/>
        </w:category>
        <w:types>
          <w:type w:val="bbPlcHdr"/>
        </w:types>
        <w:behaviors>
          <w:behavior w:val="content"/>
        </w:behaviors>
        <w:guid w:val="{E1C72836-5D71-498E-B1A2-AF9A4FA21784}"/>
      </w:docPartPr>
      <w:docPartBody>
        <w:p w:rsidR="00E13DDD" w:rsidRDefault="00C20CDB" w:rsidP="00C20CDB">
          <w:pPr>
            <w:pStyle w:val="9AC3918C9C02453782DCC5348C454185"/>
          </w:pPr>
          <w:r w:rsidRPr="00485B37">
            <w:rPr>
              <w:rStyle w:val="PlaceholderText"/>
            </w:rPr>
            <w:t>Choose an item.</w:t>
          </w:r>
        </w:p>
      </w:docPartBody>
    </w:docPart>
    <w:docPart>
      <w:docPartPr>
        <w:name w:val="FB882C7688C1446AA632496834EC14A2"/>
        <w:category>
          <w:name w:val="General"/>
          <w:gallery w:val="placeholder"/>
        </w:category>
        <w:types>
          <w:type w:val="bbPlcHdr"/>
        </w:types>
        <w:behaviors>
          <w:behavior w:val="content"/>
        </w:behaviors>
        <w:guid w:val="{C4A94B1F-B350-4313-B970-1BD018AA87FA}"/>
      </w:docPartPr>
      <w:docPartBody>
        <w:p w:rsidR="00E13DDD" w:rsidRDefault="00C20CDB" w:rsidP="00C20CDB">
          <w:pPr>
            <w:pStyle w:val="FB882C7688C1446AA632496834EC14A2"/>
          </w:pPr>
          <w:r w:rsidRPr="00485B37">
            <w:rPr>
              <w:rStyle w:val="PlaceholderText"/>
            </w:rPr>
            <w:t>Choose an item.</w:t>
          </w:r>
        </w:p>
      </w:docPartBody>
    </w:docPart>
    <w:docPart>
      <w:docPartPr>
        <w:name w:val="70DC3CF55DD942188D07CC561DAF286A"/>
        <w:category>
          <w:name w:val="General"/>
          <w:gallery w:val="placeholder"/>
        </w:category>
        <w:types>
          <w:type w:val="bbPlcHdr"/>
        </w:types>
        <w:behaviors>
          <w:behavior w:val="content"/>
        </w:behaviors>
        <w:guid w:val="{1DB8B5CF-6005-4B03-9B34-FAD1D09CCA1F}"/>
      </w:docPartPr>
      <w:docPartBody>
        <w:p w:rsidR="00E13DDD" w:rsidRDefault="00C20CDB" w:rsidP="00C20CDB">
          <w:pPr>
            <w:pStyle w:val="70DC3CF55DD942188D07CC561DAF286A"/>
          </w:pPr>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24"/>
    <w:rsid w:val="000A6250"/>
    <w:rsid w:val="002528AC"/>
    <w:rsid w:val="002E69BA"/>
    <w:rsid w:val="002F5E24"/>
    <w:rsid w:val="00510A47"/>
    <w:rsid w:val="00632233"/>
    <w:rsid w:val="006C3A6D"/>
    <w:rsid w:val="0070175E"/>
    <w:rsid w:val="00C20CDB"/>
    <w:rsid w:val="00C77CB0"/>
    <w:rsid w:val="00DF40BC"/>
    <w:rsid w:val="00E13DDD"/>
    <w:rsid w:val="00E55FB8"/>
    <w:rsid w:val="00E8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0CDB"/>
    <w:rPr>
      <w:color w:val="808080"/>
    </w:rPr>
  </w:style>
  <w:style w:type="paragraph" w:customStyle="1" w:styleId="7866A5C6B0EC4B029B4BBAD338AAE91A">
    <w:name w:val="7866A5C6B0EC4B029B4BBAD338AAE91A"/>
    <w:rsid w:val="002F5E24"/>
    <w:pPr>
      <w:spacing w:after="0" w:line="240" w:lineRule="auto"/>
      <w:jc w:val="both"/>
    </w:pPr>
    <w:rPr>
      <w:rFonts w:eastAsia="Times New Roman" w:cs="Times New Roman"/>
      <w:kern w:val="20"/>
      <w:szCs w:val="24"/>
    </w:rPr>
  </w:style>
  <w:style w:type="paragraph" w:customStyle="1" w:styleId="0B9D92F4478E4A9A907D09F2DCFB87A8">
    <w:name w:val="0B9D92F4478E4A9A907D09F2DCFB87A8"/>
    <w:rsid w:val="002F5E24"/>
    <w:pPr>
      <w:spacing w:after="0" w:line="240" w:lineRule="auto"/>
      <w:jc w:val="both"/>
    </w:pPr>
    <w:rPr>
      <w:rFonts w:eastAsia="Times New Roman" w:cs="Times New Roman"/>
      <w:kern w:val="20"/>
      <w:szCs w:val="24"/>
    </w:rPr>
  </w:style>
  <w:style w:type="paragraph" w:customStyle="1" w:styleId="A8AF796E8EBE46C597C8BC190B422FF5">
    <w:name w:val="A8AF796E8EBE46C597C8BC190B422FF5"/>
    <w:rsid w:val="002F5E24"/>
  </w:style>
  <w:style w:type="paragraph" w:customStyle="1" w:styleId="F593BCCEC9BB47AD917CC8CB76D8B02E">
    <w:name w:val="F593BCCEC9BB47AD917CC8CB76D8B02E"/>
    <w:rsid w:val="002F5E24"/>
  </w:style>
  <w:style w:type="paragraph" w:customStyle="1" w:styleId="A8AF796E8EBE46C597C8BC190B422FF51">
    <w:name w:val="A8AF796E8EBE46C597C8BC190B422FF51"/>
    <w:rsid w:val="002528AC"/>
    <w:pPr>
      <w:spacing w:after="0" w:line="240" w:lineRule="auto"/>
      <w:jc w:val="both"/>
    </w:pPr>
    <w:rPr>
      <w:rFonts w:eastAsia="Times New Roman" w:cs="Times New Roman"/>
      <w:kern w:val="20"/>
      <w:szCs w:val="24"/>
    </w:rPr>
  </w:style>
  <w:style w:type="paragraph" w:customStyle="1" w:styleId="F593BCCEC9BB47AD917CC8CB76D8B02E1">
    <w:name w:val="F593BCCEC9BB47AD917CC8CB76D8B02E1"/>
    <w:rsid w:val="002528AC"/>
    <w:pPr>
      <w:spacing w:after="0" w:line="240" w:lineRule="auto"/>
      <w:jc w:val="both"/>
    </w:pPr>
    <w:rPr>
      <w:rFonts w:eastAsia="Times New Roman" w:cs="Times New Roman"/>
      <w:kern w:val="20"/>
      <w:szCs w:val="24"/>
    </w:rPr>
  </w:style>
  <w:style w:type="paragraph" w:customStyle="1" w:styleId="003BEDAD0397449A9D98C564C4B037BC">
    <w:name w:val="003BEDAD0397449A9D98C564C4B037BC"/>
    <w:rsid w:val="002528AC"/>
    <w:pPr>
      <w:spacing w:after="0" w:line="240" w:lineRule="auto"/>
      <w:jc w:val="both"/>
    </w:pPr>
    <w:rPr>
      <w:rFonts w:eastAsia="Times New Roman" w:cs="Times New Roman"/>
      <w:kern w:val="20"/>
      <w:szCs w:val="24"/>
    </w:rPr>
  </w:style>
  <w:style w:type="paragraph" w:customStyle="1" w:styleId="27B830FBF1544670BC46291D1A3BBC70">
    <w:name w:val="27B830FBF1544670BC46291D1A3BBC70"/>
    <w:rsid w:val="002528AC"/>
    <w:pPr>
      <w:spacing w:after="0" w:line="240" w:lineRule="auto"/>
      <w:jc w:val="both"/>
    </w:pPr>
    <w:rPr>
      <w:rFonts w:eastAsia="Times New Roman" w:cs="Times New Roman"/>
      <w:kern w:val="20"/>
      <w:szCs w:val="24"/>
    </w:rPr>
  </w:style>
  <w:style w:type="paragraph" w:customStyle="1" w:styleId="68D73DF8313D4B889952218B729D0456">
    <w:name w:val="68D73DF8313D4B889952218B729D0456"/>
    <w:rsid w:val="002528AC"/>
    <w:pPr>
      <w:spacing w:after="0" w:line="240" w:lineRule="auto"/>
      <w:jc w:val="both"/>
    </w:pPr>
    <w:rPr>
      <w:rFonts w:eastAsia="Times New Roman" w:cs="Times New Roman"/>
      <w:kern w:val="20"/>
      <w:szCs w:val="24"/>
    </w:rPr>
  </w:style>
  <w:style w:type="paragraph" w:customStyle="1" w:styleId="A8AF796E8EBE46C597C8BC190B422FF52">
    <w:name w:val="A8AF796E8EBE46C597C8BC190B422FF52"/>
    <w:rsid w:val="002528AC"/>
    <w:pPr>
      <w:spacing w:after="0" w:line="240" w:lineRule="auto"/>
      <w:jc w:val="both"/>
    </w:pPr>
    <w:rPr>
      <w:rFonts w:eastAsia="Times New Roman" w:cs="Times New Roman"/>
      <w:kern w:val="20"/>
      <w:szCs w:val="24"/>
    </w:rPr>
  </w:style>
  <w:style w:type="paragraph" w:customStyle="1" w:styleId="F593BCCEC9BB47AD917CC8CB76D8B02E2">
    <w:name w:val="F593BCCEC9BB47AD917CC8CB76D8B02E2"/>
    <w:rsid w:val="002528AC"/>
    <w:pPr>
      <w:spacing w:after="0" w:line="240" w:lineRule="auto"/>
      <w:jc w:val="both"/>
    </w:pPr>
    <w:rPr>
      <w:rFonts w:eastAsia="Times New Roman" w:cs="Times New Roman"/>
      <w:kern w:val="20"/>
      <w:szCs w:val="24"/>
    </w:rPr>
  </w:style>
  <w:style w:type="paragraph" w:customStyle="1" w:styleId="003BEDAD0397449A9D98C564C4B037BC1">
    <w:name w:val="003BEDAD0397449A9D98C564C4B037BC1"/>
    <w:rsid w:val="002528AC"/>
    <w:pPr>
      <w:spacing w:after="0" w:line="240" w:lineRule="auto"/>
      <w:jc w:val="both"/>
    </w:pPr>
    <w:rPr>
      <w:rFonts w:eastAsia="Times New Roman" w:cs="Times New Roman"/>
      <w:kern w:val="20"/>
      <w:szCs w:val="24"/>
    </w:rPr>
  </w:style>
  <w:style w:type="paragraph" w:customStyle="1" w:styleId="27B830FBF1544670BC46291D1A3BBC701">
    <w:name w:val="27B830FBF1544670BC46291D1A3BBC701"/>
    <w:rsid w:val="002528AC"/>
    <w:pPr>
      <w:spacing w:after="0" w:line="240" w:lineRule="auto"/>
      <w:jc w:val="both"/>
    </w:pPr>
    <w:rPr>
      <w:rFonts w:eastAsia="Times New Roman" w:cs="Times New Roman"/>
      <w:kern w:val="20"/>
      <w:szCs w:val="24"/>
    </w:rPr>
  </w:style>
  <w:style w:type="paragraph" w:customStyle="1" w:styleId="68D73DF8313D4B889952218B729D04561">
    <w:name w:val="68D73DF8313D4B889952218B729D04561"/>
    <w:rsid w:val="002528AC"/>
    <w:pPr>
      <w:spacing w:after="0" w:line="240" w:lineRule="auto"/>
      <w:jc w:val="both"/>
    </w:pPr>
    <w:rPr>
      <w:rFonts w:eastAsia="Times New Roman" w:cs="Times New Roman"/>
      <w:kern w:val="20"/>
      <w:szCs w:val="24"/>
    </w:rPr>
  </w:style>
  <w:style w:type="paragraph" w:customStyle="1" w:styleId="B003529C35D343C0BB75DD06C0B9CE68">
    <w:name w:val="B003529C35D343C0BB75DD06C0B9CE68"/>
    <w:rsid w:val="00C20CDB"/>
  </w:style>
  <w:style w:type="paragraph" w:customStyle="1" w:styleId="56A897B044174904BB4EBE10D663867E">
    <w:name w:val="56A897B044174904BB4EBE10D663867E"/>
    <w:rsid w:val="00C20CDB"/>
  </w:style>
  <w:style w:type="paragraph" w:customStyle="1" w:styleId="BB575EC0098C4D5FA521065A7E3208E4">
    <w:name w:val="BB575EC0098C4D5FA521065A7E3208E4"/>
    <w:rsid w:val="00C20CDB"/>
  </w:style>
  <w:style w:type="paragraph" w:customStyle="1" w:styleId="5D3C75A8063A47D6918A629D9B7A6140">
    <w:name w:val="5D3C75A8063A47D6918A629D9B7A6140"/>
    <w:rsid w:val="00C20CDB"/>
  </w:style>
  <w:style w:type="paragraph" w:customStyle="1" w:styleId="1EAA8E3E256542789C3205299A381FBD">
    <w:name w:val="1EAA8E3E256542789C3205299A381FBD"/>
    <w:rsid w:val="00C20CDB"/>
  </w:style>
  <w:style w:type="paragraph" w:customStyle="1" w:styleId="2A5D35C1431E408BB463ED98DEAD1C46">
    <w:name w:val="2A5D35C1431E408BB463ED98DEAD1C46"/>
    <w:rsid w:val="00C20CDB"/>
  </w:style>
  <w:style w:type="paragraph" w:customStyle="1" w:styleId="9AC3918C9C02453782DCC5348C454185">
    <w:name w:val="9AC3918C9C02453782DCC5348C454185"/>
    <w:rsid w:val="00C20CDB"/>
  </w:style>
  <w:style w:type="paragraph" w:customStyle="1" w:styleId="FB882C7688C1446AA632496834EC14A2">
    <w:name w:val="FB882C7688C1446AA632496834EC14A2"/>
    <w:rsid w:val="00C20CDB"/>
  </w:style>
  <w:style w:type="paragraph" w:customStyle="1" w:styleId="70DC3CF55DD942188D07CC561DAF286A">
    <w:name w:val="70DC3CF55DD942188D07CC561DAF286A"/>
    <w:rsid w:val="00C20C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2.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BA9287-BA50-48A8-8A6B-817E306D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3186</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20301</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2</cp:revision>
  <cp:lastPrinted>2019-01-21T18:26:00Z</cp:lastPrinted>
  <dcterms:created xsi:type="dcterms:W3CDTF">2020-06-07T18:59:00Z</dcterms:created>
  <dcterms:modified xsi:type="dcterms:W3CDTF">2020-06-07T18:59:00Z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