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F90D4" w14:textId="77777777" w:rsidR="00E23FFB" w:rsidRDefault="00E23FFB" w:rsidP="00070476">
      <w:pPr>
        <w:sectPr w:rsidR="00E23FFB" w:rsidSect="00D201B9">
          <w:headerReference w:type="default" r:id="rId11"/>
          <w:footerReference w:type="default" r:id="rId12"/>
          <w:endnotePr>
            <w:numFmt w:val="decimal"/>
          </w:endnotePr>
          <w:pgSz w:w="12240" w:h="15840" w:code="1"/>
          <w:pgMar w:top="1440" w:right="1440" w:bottom="720" w:left="1440" w:header="720" w:footer="720" w:gutter="0"/>
          <w:cols w:space="720"/>
          <w:docGrid w:linePitch="286"/>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E23FFB" w:rsidRPr="000754FA" w14:paraId="7A46333A" w14:textId="77777777" w:rsidTr="00CD54D1">
        <w:trPr>
          <w:trHeight w:hRule="exact" w:val="590"/>
        </w:trPr>
        <w:tc>
          <w:tcPr>
            <w:tcW w:w="9360" w:type="dxa"/>
            <w:vAlign w:val="center"/>
          </w:tcPr>
          <w:p w14:paraId="6F967653" w14:textId="77777777" w:rsidR="00E23FFB" w:rsidRPr="000754FA" w:rsidRDefault="00E23FFB" w:rsidP="00CD54D1">
            <w:pPr>
              <w:tabs>
                <w:tab w:val="left" w:pos="0"/>
                <w:tab w:val="left" w:pos="259"/>
                <w:tab w:val="left" w:pos="518"/>
                <w:tab w:val="left" w:pos="777"/>
                <w:tab w:val="left" w:leader="dot" w:pos="8164"/>
                <w:tab w:val="left" w:pos="8395"/>
                <w:tab w:val="left" w:pos="8769"/>
              </w:tabs>
              <w:jc w:val="left"/>
              <w:rPr>
                <w:rFonts w:cs="Arial"/>
                <w:szCs w:val="22"/>
              </w:rPr>
            </w:pPr>
            <w:bookmarkStart w:id="0" w:name="_Toc403652321"/>
            <w:bookmarkStart w:id="1" w:name="_Toc426112508"/>
            <w:r w:rsidRPr="000754FA">
              <w:rPr>
                <w:szCs w:val="22"/>
              </w:rPr>
              <w:lastRenderedPageBreak/>
              <w:tab/>
            </w:r>
            <w:r w:rsidRPr="000754FA">
              <w:rPr>
                <w:noProof/>
                <w:szCs w:val="22"/>
              </w:rPr>
              <mc:AlternateContent>
                <mc:Choice Requires="wps">
                  <w:drawing>
                    <wp:anchor distT="0" distB="0" distL="114300" distR="114300" simplePos="0" relativeHeight="251659264" behindDoc="0" locked="0" layoutInCell="1" allowOverlap="1" wp14:anchorId="5045F261" wp14:editId="26704895">
                      <wp:simplePos x="0" y="0"/>
                      <wp:positionH relativeFrom="leftMargin">
                        <wp:posOffset>0</wp:posOffset>
                      </wp:positionH>
                      <wp:positionV relativeFrom="paragraph">
                        <wp:posOffset>-18415</wp:posOffset>
                      </wp:positionV>
                      <wp:extent cx="5943600" cy="329184"/>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139A1511" w14:textId="77777777" w:rsidR="00E23FFB" w:rsidRPr="00D94C7C" w:rsidRDefault="00E23FFB" w:rsidP="00E23FFB">
                                  <w:pPr>
                                    <w:pStyle w:val="AddendaHeading"/>
                                  </w:pPr>
                                  <w:r>
                                    <w:t>Liquidation Valuation</w:t>
                                  </w:r>
                                </w:p>
                                <w:p w14:paraId="1926E53A" w14:textId="77777777" w:rsidR="00E23FFB" w:rsidRPr="00E03623" w:rsidRDefault="00E23FFB" w:rsidP="00E23FFB">
                                  <w:pPr>
                                    <w:pStyle w:val="TOC1"/>
                                  </w:pPr>
                                </w:p>
                                <w:p w14:paraId="04349074" w14:textId="77777777" w:rsidR="00E23FFB" w:rsidRPr="00883365" w:rsidRDefault="00E23FFB" w:rsidP="00E23FFB">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45F261"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Kc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pQ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G5MEpy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139A1511" w14:textId="77777777" w:rsidR="00E23FFB" w:rsidRPr="00D94C7C" w:rsidRDefault="00E23FFB" w:rsidP="00E23FFB">
                            <w:pPr>
                              <w:pStyle w:val="AddendaHeading"/>
                            </w:pPr>
                            <w:r>
                              <w:t>Liquidation Valuation</w:t>
                            </w:r>
                          </w:p>
                          <w:p w14:paraId="1926E53A" w14:textId="77777777" w:rsidR="00E23FFB" w:rsidRPr="00E03623" w:rsidRDefault="00E23FFB" w:rsidP="00E23FFB">
                            <w:pPr>
                              <w:pStyle w:val="TOC1"/>
                            </w:pPr>
                          </w:p>
                          <w:p w14:paraId="04349074" w14:textId="77777777" w:rsidR="00E23FFB" w:rsidRPr="00883365" w:rsidRDefault="00E23FFB" w:rsidP="00E23FFB">
                            <w:pPr>
                              <w:rPr>
                                <w:rFonts w:ascii="Arial Narrow" w:hAnsi="Arial Narrow" w:cs="Arial"/>
                                <w:smallCaps/>
                                <w:color w:val="1E4959"/>
                                <w:sz w:val="28"/>
                                <w:szCs w:val="28"/>
                              </w:rPr>
                            </w:pPr>
                          </w:p>
                        </w:txbxContent>
                      </v:textbox>
                      <w10:wrap anchorx="margin"/>
                    </v:shape>
                  </w:pict>
                </mc:Fallback>
              </mc:AlternateContent>
            </w:r>
          </w:p>
        </w:tc>
      </w:tr>
    </w:tbl>
    <w:bookmarkEnd w:id="0"/>
    <w:bookmarkEnd w:id="1"/>
    <w:p w14:paraId="7228399E" w14:textId="77777777" w:rsidR="00E23FFB" w:rsidRPr="0075259D" w:rsidRDefault="00E23FFB" w:rsidP="00E23FFB">
      <w:pPr>
        <w:pStyle w:val="Heading20"/>
        <w:rPr>
          <w:rFonts w:asciiTheme="minorHAnsi" w:hAnsiTheme="minorHAnsi" w:cs="Arial"/>
          <w:b w:val="0"/>
          <w:color w:val="1E4959"/>
          <w:spacing w:val="0"/>
          <w:kern w:val="20"/>
          <w:sz w:val="28"/>
          <w:szCs w:val="22"/>
        </w:rPr>
      </w:pPr>
      <w:r>
        <w:rPr>
          <w:rFonts w:asciiTheme="minorHAnsi" w:hAnsiTheme="minorHAnsi" w:cs="Arial"/>
          <w:b w:val="0"/>
          <w:color w:val="1E4959"/>
          <w:spacing w:val="0"/>
          <w:kern w:val="20"/>
          <w:sz w:val="28"/>
          <w:szCs w:val="22"/>
        </w:rPr>
        <w:t xml:space="preserve">Liquidation </w:t>
      </w:r>
      <w:r w:rsidRPr="003C068D">
        <w:rPr>
          <w:rFonts w:asciiTheme="minorHAnsi" w:hAnsiTheme="minorHAnsi" w:cs="Arial"/>
          <w:b w:val="0"/>
          <w:color w:val="1E4959"/>
          <w:spacing w:val="0"/>
          <w:kern w:val="20"/>
          <w:sz w:val="28"/>
          <w:szCs w:val="22"/>
        </w:rPr>
        <w:t>Valuation</w:t>
      </w:r>
    </w:p>
    <w:p w14:paraId="0C3764DA" w14:textId="77777777" w:rsidR="00E23FFB" w:rsidRPr="001574C1" w:rsidRDefault="00E23FFB" w:rsidP="00E23FFB">
      <w:r w:rsidRPr="000A0E64">
        <w:t xml:space="preserve">As an additional requirement of the client, we have estimated the </w:t>
      </w:r>
      <w:r>
        <w:rPr>
          <w:b/>
        </w:rPr>
        <w:t xml:space="preserve">Liquidation </w:t>
      </w:r>
      <w:r w:rsidRPr="000A0E64">
        <w:rPr>
          <w:b/>
        </w:rPr>
        <w:t>Value</w:t>
      </w:r>
      <w:r w:rsidRPr="000A0E64">
        <w:t xml:space="preserve"> of the sub</w:t>
      </w:r>
      <w:r>
        <w:t xml:space="preserve">ject </w:t>
      </w:r>
      <w:r w:rsidRPr="001574C1">
        <w:t xml:space="preserve">property, which is defined in </w:t>
      </w:r>
      <w:r w:rsidRPr="001574C1">
        <w:rPr>
          <w:u w:val="single"/>
        </w:rPr>
        <w:t xml:space="preserve">The Dictionary of Real Estate Appraisal, </w:t>
      </w:r>
      <w:r>
        <w:rPr>
          <w:u w:val="single"/>
        </w:rPr>
        <w:t>6th</w:t>
      </w:r>
      <w:r w:rsidRPr="001574C1">
        <w:rPr>
          <w:u w:val="single"/>
        </w:rPr>
        <w:t xml:space="preserve"> Edition</w:t>
      </w:r>
      <w:r w:rsidRPr="001574C1">
        <w:t xml:space="preserve"> (</w:t>
      </w:r>
      <w:r w:rsidRPr="00FD64D7">
        <w:t>Appraisal Institute</w:t>
      </w:r>
      <w:r w:rsidRPr="001574C1">
        <w:t xml:space="preserve">) as: </w:t>
      </w:r>
    </w:p>
    <w:p w14:paraId="4424BBD0" w14:textId="77777777" w:rsidR="00E23FFB" w:rsidRDefault="00E23FFB" w:rsidP="00E23FFB"/>
    <w:p w14:paraId="7EA20791" w14:textId="77777777" w:rsidR="00070476" w:rsidRPr="00D201B9" w:rsidRDefault="00070476" w:rsidP="00070476">
      <w:pPr>
        <w:pStyle w:val="BodyTextIndent"/>
        <w:ind w:left="0"/>
        <w:rPr>
          <w:caps/>
        </w:rPr>
      </w:pPr>
      <w:r>
        <w:t xml:space="preserve">"The most probable price that a specified interest in real property is likely to bring under the following </w:t>
      </w:r>
      <w:r w:rsidRPr="00D201B9">
        <w:t>conditions:</w:t>
      </w:r>
    </w:p>
    <w:p w14:paraId="290941C2" w14:textId="77777777" w:rsidR="00070476" w:rsidRPr="00D201B9" w:rsidRDefault="00070476" w:rsidP="00070476">
      <w:pPr>
        <w:tabs>
          <w:tab w:val="left" w:pos="720"/>
          <w:tab w:val="left" w:pos="1440"/>
        </w:tabs>
        <w:ind w:left="2160" w:hanging="2160"/>
        <w:rPr>
          <w:caps/>
        </w:rPr>
      </w:pPr>
    </w:p>
    <w:p w14:paraId="632C8185" w14:textId="0A161900" w:rsidR="00070476" w:rsidRPr="00D201B9" w:rsidRDefault="00070476" w:rsidP="00070476">
      <w:pPr>
        <w:tabs>
          <w:tab w:val="left" w:pos="360"/>
          <w:tab w:val="left" w:pos="720"/>
        </w:tabs>
        <w:ind w:left="720" w:hanging="360"/>
      </w:pPr>
      <w:r w:rsidRPr="00D201B9">
        <w:t>1)</w:t>
      </w:r>
      <w:r w:rsidRPr="00D201B9">
        <w:tab/>
      </w:r>
      <w:r w:rsidR="00D201B9" w:rsidRPr="00D201B9">
        <w:t>Consummation of a sale within a short period.</w:t>
      </w:r>
    </w:p>
    <w:p w14:paraId="3D71C78C" w14:textId="77777777" w:rsidR="00070476" w:rsidRPr="00D201B9" w:rsidRDefault="00070476" w:rsidP="00070476">
      <w:pPr>
        <w:tabs>
          <w:tab w:val="left" w:pos="360"/>
          <w:tab w:val="left" w:pos="720"/>
        </w:tabs>
        <w:ind w:left="720" w:hanging="360"/>
      </w:pPr>
    </w:p>
    <w:p w14:paraId="510125D8" w14:textId="5B65100D" w:rsidR="00070476" w:rsidRPr="00D201B9" w:rsidRDefault="00070476" w:rsidP="00070476">
      <w:pPr>
        <w:tabs>
          <w:tab w:val="left" w:pos="360"/>
          <w:tab w:val="left" w:pos="720"/>
        </w:tabs>
        <w:ind w:left="720" w:hanging="360"/>
      </w:pPr>
      <w:r w:rsidRPr="00D201B9">
        <w:t>2</w:t>
      </w:r>
      <w:r w:rsidRPr="00D201B9">
        <w:tab/>
      </w:r>
      <w:r w:rsidR="00D201B9" w:rsidRPr="00D201B9">
        <w:t>The property is subjected to market conditions prevailing as of the date of valuation.</w:t>
      </w:r>
    </w:p>
    <w:p w14:paraId="34159D18" w14:textId="77777777" w:rsidR="00070476" w:rsidRPr="00D201B9" w:rsidRDefault="00070476" w:rsidP="00070476">
      <w:pPr>
        <w:tabs>
          <w:tab w:val="left" w:pos="360"/>
          <w:tab w:val="left" w:pos="720"/>
        </w:tabs>
        <w:ind w:left="720" w:hanging="360"/>
      </w:pPr>
    </w:p>
    <w:p w14:paraId="3C388274" w14:textId="0B57363F" w:rsidR="00070476" w:rsidRPr="00D201B9" w:rsidRDefault="00070476" w:rsidP="00070476">
      <w:pPr>
        <w:tabs>
          <w:tab w:val="left" w:pos="360"/>
          <w:tab w:val="left" w:pos="720"/>
        </w:tabs>
        <w:ind w:left="720" w:hanging="360"/>
      </w:pPr>
      <w:r w:rsidRPr="00D201B9">
        <w:t>3)</w:t>
      </w:r>
      <w:r w:rsidRPr="00D201B9">
        <w:tab/>
      </w:r>
      <w:r w:rsidR="00D201B9" w:rsidRPr="00D201B9">
        <w:t>Both the buyer and seller are acting prudently and knowledgeably.</w:t>
      </w:r>
    </w:p>
    <w:p w14:paraId="5EF162B9" w14:textId="77777777" w:rsidR="00070476" w:rsidRPr="00D201B9" w:rsidRDefault="00070476" w:rsidP="00070476">
      <w:pPr>
        <w:tabs>
          <w:tab w:val="left" w:pos="360"/>
          <w:tab w:val="left" w:pos="720"/>
        </w:tabs>
        <w:ind w:left="720" w:hanging="360"/>
      </w:pPr>
    </w:p>
    <w:p w14:paraId="6D653117" w14:textId="4F9B2E0C" w:rsidR="00070476" w:rsidRPr="00D201B9" w:rsidRDefault="00070476" w:rsidP="00070476">
      <w:pPr>
        <w:tabs>
          <w:tab w:val="left" w:pos="360"/>
          <w:tab w:val="left" w:pos="720"/>
        </w:tabs>
        <w:ind w:left="720" w:hanging="360"/>
      </w:pPr>
      <w:r w:rsidRPr="00D201B9">
        <w:t>4)</w:t>
      </w:r>
      <w:r w:rsidRPr="00D201B9">
        <w:tab/>
      </w:r>
      <w:r w:rsidR="00D201B9" w:rsidRPr="00D201B9">
        <w:t>The seller is under extreme compulsion to sell.</w:t>
      </w:r>
    </w:p>
    <w:p w14:paraId="5E19300C" w14:textId="77777777" w:rsidR="00070476" w:rsidRPr="00D201B9" w:rsidRDefault="00070476" w:rsidP="00070476">
      <w:pPr>
        <w:tabs>
          <w:tab w:val="left" w:pos="360"/>
          <w:tab w:val="left" w:pos="720"/>
        </w:tabs>
        <w:ind w:left="720" w:hanging="360"/>
      </w:pPr>
    </w:p>
    <w:p w14:paraId="07551D65" w14:textId="140AACE4" w:rsidR="00070476" w:rsidRPr="00D201B9" w:rsidRDefault="00070476" w:rsidP="00070476">
      <w:pPr>
        <w:tabs>
          <w:tab w:val="left" w:pos="360"/>
          <w:tab w:val="left" w:pos="720"/>
        </w:tabs>
        <w:ind w:left="720" w:hanging="360"/>
      </w:pPr>
      <w:r w:rsidRPr="00D201B9">
        <w:t>5)</w:t>
      </w:r>
      <w:r w:rsidRPr="00D201B9">
        <w:tab/>
      </w:r>
      <w:r w:rsidR="00D201B9" w:rsidRPr="00D201B9">
        <w:t>The buyer is typically motivated.</w:t>
      </w:r>
    </w:p>
    <w:p w14:paraId="675567C8" w14:textId="77777777" w:rsidR="00070476" w:rsidRPr="00D201B9" w:rsidRDefault="00070476" w:rsidP="00070476">
      <w:pPr>
        <w:tabs>
          <w:tab w:val="left" w:pos="360"/>
          <w:tab w:val="left" w:pos="720"/>
        </w:tabs>
        <w:ind w:left="720" w:hanging="360"/>
      </w:pPr>
    </w:p>
    <w:p w14:paraId="527B576B" w14:textId="5029D580" w:rsidR="00070476" w:rsidRPr="00D201B9" w:rsidRDefault="00070476" w:rsidP="00070476">
      <w:pPr>
        <w:tabs>
          <w:tab w:val="left" w:pos="360"/>
          <w:tab w:val="left" w:pos="720"/>
        </w:tabs>
        <w:ind w:left="720" w:hanging="360"/>
      </w:pPr>
      <w:r w:rsidRPr="00D201B9">
        <w:t>6)</w:t>
      </w:r>
      <w:r w:rsidRPr="00D201B9">
        <w:tab/>
      </w:r>
      <w:r w:rsidR="00D201B9" w:rsidRPr="00D201B9">
        <w:t>Both parties are acting in what they consider to be their best interests.</w:t>
      </w:r>
    </w:p>
    <w:p w14:paraId="60D5960F" w14:textId="77777777" w:rsidR="00070476" w:rsidRPr="00D201B9" w:rsidRDefault="00070476" w:rsidP="00070476">
      <w:pPr>
        <w:tabs>
          <w:tab w:val="left" w:pos="360"/>
          <w:tab w:val="left" w:pos="720"/>
        </w:tabs>
        <w:ind w:left="720" w:hanging="360"/>
      </w:pPr>
    </w:p>
    <w:p w14:paraId="7CEAB6C1" w14:textId="404B4D33" w:rsidR="00070476" w:rsidRPr="00D201B9" w:rsidRDefault="00070476" w:rsidP="00070476">
      <w:pPr>
        <w:tabs>
          <w:tab w:val="left" w:pos="360"/>
          <w:tab w:val="left" w:pos="720"/>
        </w:tabs>
        <w:ind w:left="720" w:hanging="360"/>
      </w:pPr>
      <w:r w:rsidRPr="00D201B9">
        <w:t>7)</w:t>
      </w:r>
      <w:r w:rsidRPr="00D201B9">
        <w:tab/>
      </w:r>
      <w:r w:rsidR="00D201B9" w:rsidRPr="00D201B9">
        <w:t>A normal marketing effort is not possible due to the brief exposure time.</w:t>
      </w:r>
    </w:p>
    <w:p w14:paraId="53720D3D" w14:textId="77777777" w:rsidR="00070476" w:rsidRPr="00D201B9" w:rsidRDefault="00070476" w:rsidP="00070476">
      <w:pPr>
        <w:tabs>
          <w:tab w:val="left" w:pos="360"/>
          <w:tab w:val="left" w:pos="720"/>
        </w:tabs>
        <w:ind w:left="720" w:hanging="360"/>
      </w:pPr>
    </w:p>
    <w:p w14:paraId="5972B234" w14:textId="77777777" w:rsidR="00070476" w:rsidRPr="00D201B9" w:rsidRDefault="00070476" w:rsidP="00070476">
      <w:pPr>
        <w:tabs>
          <w:tab w:val="left" w:pos="360"/>
          <w:tab w:val="left" w:pos="720"/>
        </w:tabs>
        <w:ind w:left="720" w:hanging="360"/>
      </w:pPr>
      <w:r w:rsidRPr="00D201B9">
        <w:t>8)</w:t>
      </w:r>
      <w:r w:rsidRPr="00D201B9">
        <w:tab/>
        <w:t>Payment will be made in cash in US dollars (or local currency) or in terms of financial arrangements comparable thereto.</w:t>
      </w:r>
    </w:p>
    <w:p w14:paraId="202B54F3" w14:textId="77777777" w:rsidR="00070476" w:rsidRPr="00D201B9" w:rsidRDefault="00070476" w:rsidP="00070476">
      <w:pPr>
        <w:ind w:left="720" w:hanging="360"/>
      </w:pPr>
    </w:p>
    <w:p w14:paraId="3966C2DF" w14:textId="77777777" w:rsidR="00070476" w:rsidRDefault="00070476" w:rsidP="00070476">
      <w:pPr>
        <w:tabs>
          <w:tab w:val="left" w:pos="360"/>
          <w:tab w:val="left" w:pos="720"/>
        </w:tabs>
        <w:ind w:left="720" w:hanging="360"/>
      </w:pPr>
      <w:r w:rsidRPr="00D201B9">
        <w:t>9)</w:t>
      </w:r>
      <w:r w:rsidRPr="00D201B9">
        <w:tab/>
        <w:t>The price represents the normal consideration for the property sold, unaffected by special or creative financing or sales concessions granted by anyone associated with the sale."</w:t>
      </w:r>
    </w:p>
    <w:p w14:paraId="364EC1A0" w14:textId="188DE400" w:rsidR="00070476" w:rsidRDefault="00070476" w:rsidP="00070476"/>
    <w:p w14:paraId="16709E08" w14:textId="2255983B" w:rsidR="008D1671" w:rsidRDefault="008D1671" w:rsidP="008D1671">
      <w:r>
        <w:t>This definition can also be modified to provide for valuation with specified financing terms.</w:t>
      </w:r>
    </w:p>
    <w:p w14:paraId="27047EC1" w14:textId="77777777" w:rsidR="008D1671" w:rsidRDefault="008D1671" w:rsidP="00070476"/>
    <w:p w14:paraId="0666DE16" w14:textId="33450620" w:rsidR="00070476" w:rsidRDefault="00070476" w:rsidP="00070476">
      <w:pPr>
        <w:rPr>
          <w:bCs/>
        </w:rPr>
      </w:pPr>
      <w:r>
        <w:t xml:space="preserve">The client has directed that the marketing period to be considered in this analysis is not to </w:t>
      </w:r>
      <w:r w:rsidRPr="00070476">
        <w:rPr>
          <w:highlight w:val="yellow"/>
        </w:rPr>
        <w:t>exceed</w:t>
      </w:r>
      <w:r w:rsidR="002B5B73">
        <w:rPr>
          <w:highlight w:val="yellow"/>
        </w:rPr>
        <w:t xml:space="preserve"> </w:t>
      </w:r>
      <w:sdt>
        <w:sdtPr>
          <w:rPr>
            <w:highlight w:val="green"/>
          </w:rPr>
          <w:alias w:val="Liquidation Period"/>
          <w:tag w:val="Disposition Period"/>
          <w:id w:val="1952978370"/>
          <w:placeholder>
            <w:docPart w:val="DefaultPlaceholder_-1854013438"/>
          </w:placeholder>
          <w:dropDownList>
            <w:listItem w:value="Choose an item."/>
            <w:listItem w:displayText="90 days, or 3 months" w:value="90 days, or 3 months"/>
            <w:listItem w:displayText="30 days, or 1 month" w:value="30 days, or 1 month"/>
          </w:dropDownList>
        </w:sdtPr>
        <w:sdtEndPr/>
        <w:sdtContent>
          <w:r w:rsidR="00D201B9" w:rsidRPr="002F0986">
            <w:rPr>
              <w:highlight w:val="green"/>
            </w:rPr>
            <w:t>90 days, or 3 months</w:t>
          </w:r>
        </w:sdtContent>
      </w:sdt>
      <w:r w:rsidRPr="002F0986">
        <w:rPr>
          <w:highlight w:val="green"/>
        </w:rPr>
        <w:t>.</w:t>
      </w:r>
      <w:r w:rsidRPr="00A82686">
        <w:t xml:space="preserve"> </w:t>
      </w:r>
      <w:r>
        <w:t xml:space="preserve">In this regard the appraiser initially researched the market for similar distressed sales and </w:t>
      </w:r>
      <w:r w:rsidRPr="001574C1">
        <w:t xml:space="preserve">did not find any which matched the subject’s characteristics that would provide a meaningful comparison of discount from fair market value. </w:t>
      </w:r>
      <w:r w:rsidRPr="001574C1">
        <w:rPr>
          <w:bCs/>
        </w:rPr>
        <w:t xml:space="preserve">As such, the </w:t>
      </w:r>
      <w:r w:rsidRPr="00FD64D7">
        <w:rPr>
          <w:bCs/>
          <w:u w:val="single"/>
        </w:rPr>
        <w:t>Survey Method</w:t>
      </w:r>
      <w:r w:rsidRPr="001574C1">
        <w:rPr>
          <w:bCs/>
        </w:rPr>
        <w:t xml:space="preserve"> was used in lieu of such comparables which involved questioning various small office real estate brokers active in this property type about the level of</w:t>
      </w:r>
      <w:r>
        <w:rPr>
          <w:bCs/>
        </w:rPr>
        <w:t xml:space="preserve"> discount under this scenario. </w:t>
      </w:r>
    </w:p>
    <w:p w14:paraId="3362A5FE" w14:textId="77777777" w:rsidR="00070476" w:rsidRPr="008F0F85" w:rsidRDefault="00070476" w:rsidP="00070476">
      <w:pPr>
        <w:keepNext/>
        <w:numPr>
          <w:ilvl w:val="1"/>
          <w:numId w:val="0"/>
        </w:numPr>
        <w:spacing w:before="200"/>
        <w:outlineLvl w:val="2"/>
        <w:rPr>
          <w:rFonts w:cs="Arial"/>
          <w:bCs/>
          <w:color w:val="1E4959"/>
          <w:sz w:val="24"/>
          <w:szCs w:val="22"/>
          <w:u w:val="single"/>
        </w:rPr>
      </w:pPr>
      <w:r>
        <w:rPr>
          <w:rFonts w:cs="Arial"/>
          <w:color w:val="1E4959"/>
          <w:sz w:val="24"/>
          <w:szCs w:val="22"/>
          <w:u w:val="single"/>
        </w:rPr>
        <w:t>Broker Surveys</w:t>
      </w:r>
    </w:p>
    <w:p w14:paraId="0BDC7CF5" w14:textId="40D391E7" w:rsidR="002B5B73" w:rsidRDefault="002B5B73" w:rsidP="002B5B73">
      <w:r>
        <w:t xml:space="preserve">We interviewed three brokers active in this property type. All were asked how much discount would be needed to sell the subject within a </w:t>
      </w:r>
      <w:sdt>
        <w:sdtPr>
          <w:rPr>
            <w:highlight w:val="green"/>
          </w:rPr>
          <w:alias w:val="Marketing Period"/>
          <w:tag w:val="Marketing Period"/>
          <w:id w:val="2050489154"/>
          <w:placeholder>
            <w:docPart w:val="DefaultPlaceholder_-1854013438"/>
          </w:placeholder>
          <w:dropDownList>
            <w:listItem w:value="Choose an item."/>
            <w:listItem w:displayText="3-month" w:value="3-month"/>
            <w:listItem w:displayText="1-month" w:value="1-month"/>
          </w:dropDownList>
        </w:sdtPr>
        <w:sdtEndPr/>
        <w:sdtContent>
          <w:r w:rsidR="00D201B9" w:rsidRPr="002F0986">
            <w:rPr>
              <w:highlight w:val="green"/>
            </w:rPr>
            <w:t>3-month</w:t>
          </w:r>
        </w:sdtContent>
      </w:sdt>
      <w:r>
        <w:t xml:space="preserve"> marketing period.</w:t>
      </w:r>
    </w:p>
    <w:p w14:paraId="24B26BEB" w14:textId="77777777" w:rsidR="002B5B73" w:rsidRDefault="002B5B73" w:rsidP="002B5B73"/>
    <w:p w14:paraId="6BE2D097" w14:textId="4D3817AF" w:rsidR="002B5B73" w:rsidRPr="002B5B73" w:rsidRDefault="002B5B73" w:rsidP="002B5B73">
      <w:pPr>
        <w:rPr>
          <w:highlight w:val="yellow"/>
        </w:rPr>
      </w:pPr>
      <w:r w:rsidRPr="002B5B73">
        <w:rPr>
          <w:b/>
          <w:bCs/>
          <w:highlight w:val="yellow"/>
          <w:u w:val="single"/>
        </w:rPr>
        <w:t>George Diamond,</w:t>
      </w:r>
      <w:r w:rsidRPr="002B5B73">
        <w:rPr>
          <w:highlight w:val="yellow"/>
          <w:u w:val="single"/>
        </w:rPr>
        <w:t xml:space="preserve"> Real Estate Investment Group (503.222.2178)</w:t>
      </w:r>
      <w:r w:rsidRPr="002B5B73">
        <w:rPr>
          <w:highlight w:val="yellow"/>
        </w:rPr>
        <w:t xml:space="preserve"> – is a broker active in the sale and leasing of commercial property throughout the Portland Metro area. He has been listing a restaurant in the outlying community of Newberg for almost 3 years with no significant activity. He estimates that his listing </w:t>
      </w:r>
      <w:r w:rsidRPr="002B5B73">
        <w:rPr>
          <w:highlight w:val="yellow"/>
        </w:rPr>
        <w:lastRenderedPageBreak/>
        <w:t xml:space="preserve">could sell at a reduced price of $725,000 from the current list price of $990,000. This indicates a </w:t>
      </w:r>
      <w:r w:rsidR="00D201B9">
        <w:rPr>
          <w:b/>
          <w:highlight w:val="yellow"/>
        </w:rPr>
        <w:t>35</w:t>
      </w:r>
      <w:r w:rsidRPr="002B5B73">
        <w:rPr>
          <w:b/>
          <w:highlight w:val="yellow"/>
        </w:rPr>
        <w:t>% discount</w:t>
      </w:r>
      <w:r w:rsidRPr="002B5B73">
        <w:rPr>
          <w:highlight w:val="yellow"/>
        </w:rPr>
        <w:t>.</w:t>
      </w:r>
    </w:p>
    <w:p w14:paraId="77690FDD" w14:textId="77777777" w:rsidR="002B5B73" w:rsidRPr="002B5B73" w:rsidRDefault="002B5B73" w:rsidP="002B5B73">
      <w:pPr>
        <w:rPr>
          <w:bCs/>
          <w:highlight w:val="yellow"/>
        </w:rPr>
      </w:pPr>
    </w:p>
    <w:p w14:paraId="1492776A" w14:textId="3FD88DE8" w:rsidR="002B5B73" w:rsidRPr="002B5B73" w:rsidRDefault="002B5B73" w:rsidP="002B5B73">
      <w:pPr>
        <w:rPr>
          <w:highlight w:val="yellow"/>
        </w:rPr>
      </w:pPr>
      <w:r w:rsidRPr="002B5B73">
        <w:rPr>
          <w:b/>
          <w:bCs/>
          <w:highlight w:val="yellow"/>
          <w:u w:val="single"/>
        </w:rPr>
        <w:t>Nick Stanton,</w:t>
      </w:r>
      <w:r w:rsidRPr="002B5B73">
        <w:rPr>
          <w:highlight w:val="yellow"/>
          <w:u w:val="single"/>
        </w:rPr>
        <w:t xml:space="preserve"> Commercial Realty Advisors (503.274.0211)</w:t>
      </w:r>
      <w:r w:rsidRPr="002B5B73">
        <w:rPr>
          <w:highlight w:val="yellow"/>
        </w:rPr>
        <w:t xml:space="preserve"> – is a broker active in the sale and leasing of NNN leased property throughout the Portland Metro area. He is currently listing the former Chili's restaurant in North Beaverton for GE Capital at a price of $1,480,000 with a pending sale of the property to a brew pub operator. He indicated that a sale price from $200 to $225 per SF would sell the subject within </w:t>
      </w:r>
      <w:r w:rsidR="00D201B9">
        <w:rPr>
          <w:highlight w:val="yellow"/>
        </w:rPr>
        <w:t>3</w:t>
      </w:r>
      <w:r w:rsidRPr="002B5B73">
        <w:rPr>
          <w:highlight w:val="yellow"/>
        </w:rPr>
        <w:t xml:space="preserve"> months. This indicates a </w:t>
      </w:r>
      <w:r w:rsidR="00D201B9">
        <w:rPr>
          <w:b/>
          <w:highlight w:val="yellow"/>
        </w:rPr>
        <w:t>30</w:t>
      </w:r>
      <w:r w:rsidRPr="002B5B73">
        <w:rPr>
          <w:b/>
          <w:highlight w:val="yellow"/>
        </w:rPr>
        <w:t xml:space="preserve">% to </w:t>
      </w:r>
      <w:r w:rsidR="00D201B9">
        <w:rPr>
          <w:b/>
          <w:highlight w:val="yellow"/>
        </w:rPr>
        <w:t>40</w:t>
      </w:r>
      <w:r w:rsidRPr="002B5B73">
        <w:rPr>
          <w:b/>
          <w:highlight w:val="yellow"/>
        </w:rPr>
        <w:t>% discount</w:t>
      </w:r>
      <w:r w:rsidRPr="002B5B73">
        <w:rPr>
          <w:highlight w:val="yellow"/>
        </w:rPr>
        <w:t>.</w:t>
      </w:r>
    </w:p>
    <w:p w14:paraId="51FBE729" w14:textId="77777777" w:rsidR="002B5B73" w:rsidRPr="002B5B73" w:rsidRDefault="002B5B73" w:rsidP="002B5B73">
      <w:pPr>
        <w:rPr>
          <w:highlight w:val="yellow"/>
        </w:rPr>
      </w:pPr>
    </w:p>
    <w:p w14:paraId="47DFFEF0" w14:textId="42F9DA87" w:rsidR="002B5B73" w:rsidRDefault="002B5B73" w:rsidP="002B5B73">
      <w:r w:rsidRPr="002B5B73">
        <w:rPr>
          <w:b/>
          <w:bCs/>
          <w:highlight w:val="yellow"/>
          <w:u w:val="single"/>
        </w:rPr>
        <w:t>Chris Chamberlain,</w:t>
      </w:r>
      <w:r w:rsidRPr="002B5B73">
        <w:rPr>
          <w:highlight w:val="yellow"/>
          <w:u w:val="single"/>
        </w:rPr>
        <w:t xml:space="preserve"> Coldwell Banker Commercial (541.779.4466)</w:t>
      </w:r>
      <w:r w:rsidRPr="002B5B73">
        <w:rPr>
          <w:highlight w:val="yellow"/>
        </w:rPr>
        <w:t xml:space="preserve"> – is a broker active in the sale and leasing of commercial property throughout the Medford Metro area. Mr. Chamberlain stated that a 20% discount at a minimum would be required to sell a property like the subject quickly. However, he was unwilling to have a more definitive answer without much more information and market exploration. He believes that the discount could easily be much more than 20%. This indicates a minimum </w:t>
      </w:r>
      <w:r w:rsidR="00D201B9">
        <w:rPr>
          <w:b/>
          <w:highlight w:val="yellow"/>
        </w:rPr>
        <w:t>4</w:t>
      </w:r>
      <w:r w:rsidRPr="002B5B73">
        <w:rPr>
          <w:b/>
          <w:highlight w:val="yellow"/>
        </w:rPr>
        <w:t>0% discount</w:t>
      </w:r>
      <w:r w:rsidRPr="002B5B73">
        <w:rPr>
          <w:highlight w:val="yellow"/>
        </w:rPr>
        <w:t xml:space="preserve"> from the concluded value in this report.</w:t>
      </w:r>
    </w:p>
    <w:p w14:paraId="77441E5E" w14:textId="77777777" w:rsidR="002B5B73" w:rsidRDefault="002B5B73" w:rsidP="002B5B73"/>
    <w:p w14:paraId="0B4DEC8B" w14:textId="77777777" w:rsidR="002B5B73" w:rsidRDefault="002B5B73" w:rsidP="002B5B73">
      <w:r w:rsidRPr="002B5B73">
        <w:rPr>
          <w:highlight w:val="yellow"/>
        </w:rPr>
        <w:t>All brokers indicated that financing was the biggest hurdle for most buyers as banks are very reticent to lend to a restaurant user, except for a national chain and none of those are currently expanding. In addition, the brokers indicated that the pool of potential buyers is small and that the subject would have a much greater chance of selling with seller financing. Finally, they also indicated that a buyer would not pay more for the subject due to its size.</w:t>
      </w:r>
    </w:p>
    <w:p w14:paraId="477855A8" w14:textId="77777777" w:rsidR="002B5B73" w:rsidRDefault="002B5B73" w:rsidP="002B5B73"/>
    <w:p w14:paraId="6E7ADA9B" w14:textId="77777777" w:rsidR="002B5B73" w:rsidRDefault="002B5B73" w:rsidP="002B5B73">
      <w:r>
        <w:t>Overall, our broker surveys indicated the following opinions regarding the discounts from market value for the shorter marketing period:</w:t>
      </w:r>
    </w:p>
    <w:p w14:paraId="7A215E92" w14:textId="77777777" w:rsidR="002B5B73" w:rsidRDefault="002B5B73" w:rsidP="002B5B73"/>
    <w:p w14:paraId="4CC66703" w14:textId="7AA0ED98" w:rsidR="002B5B73" w:rsidRDefault="00F75F9C" w:rsidP="002B5B73">
      <w:pPr>
        <w:rPr>
          <w:highlight w:val="yellow"/>
        </w:rPr>
      </w:pPr>
      <w:r>
        <w:rPr>
          <w:u w:val="single"/>
        </w:rPr>
        <w:t xml:space="preserve">Liquidation </w:t>
      </w:r>
      <w:r w:rsidR="002B5B73" w:rsidRPr="002B5B73">
        <w:rPr>
          <w:u w:val="single"/>
        </w:rPr>
        <w:t>Discount</w:t>
      </w:r>
      <w:r w:rsidR="002B5B73" w:rsidRPr="002B5B73">
        <w:t xml:space="preserve"> – </w:t>
      </w:r>
      <w:r w:rsidR="00D201B9">
        <w:rPr>
          <w:highlight w:val="yellow"/>
        </w:rPr>
        <w:t>3</w:t>
      </w:r>
      <w:r w:rsidR="002B5B73" w:rsidRPr="002B5B73">
        <w:rPr>
          <w:highlight w:val="yellow"/>
        </w:rPr>
        <w:t xml:space="preserve">0% to </w:t>
      </w:r>
      <w:r w:rsidR="00D201B9">
        <w:rPr>
          <w:highlight w:val="yellow"/>
        </w:rPr>
        <w:t>40</w:t>
      </w:r>
      <w:r w:rsidR="002B5B73" w:rsidRPr="002B5B73">
        <w:rPr>
          <w:highlight w:val="yellow"/>
        </w:rPr>
        <w:t>%.</w:t>
      </w:r>
      <w:r w:rsidR="002B5B73">
        <w:t xml:space="preserve"> </w:t>
      </w:r>
    </w:p>
    <w:p w14:paraId="52E6F554" w14:textId="7785940C" w:rsidR="00070476" w:rsidRPr="006D722E" w:rsidRDefault="00070476" w:rsidP="00070476">
      <w:pPr>
        <w:pStyle w:val="Heading20"/>
        <w:rPr>
          <w:rFonts w:asciiTheme="minorHAnsi" w:hAnsiTheme="minorHAnsi" w:cs="Arial"/>
          <w:b w:val="0"/>
          <w:color w:val="1E4959"/>
          <w:spacing w:val="0"/>
          <w:kern w:val="20"/>
          <w:sz w:val="28"/>
          <w:szCs w:val="22"/>
        </w:rPr>
      </w:pPr>
      <w:r w:rsidRPr="006D722E">
        <w:rPr>
          <w:rFonts w:asciiTheme="minorHAnsi" w:hAnsiTheme="minorHAnsi" w:cs="Arial"/>
          <w:b w:val="0"/>
          <w:color w:val="1E4959"/>
          <w:spacing w:val="0"/>
          <w:kern w:val="20"/>
          <w:sz w:val="28"/>
          <w:szCs w:val="22"/>
        </w:rPr>
        <w:t xml:space="preserve">Concluded </w:t>
      </w:r>
      <w:r w:rsidR="00F75F9C">
        <w:rPr>
          <w:rFonts w:asciiTheme="minorHAnsi" w:hAnsiTheme="minorHAnsi" w:cs="Arial"/>
          <w:b w:val="0"/>
          <w:color w:val="1E4959"/>
          <w:spacing w:val="0"/>
          <w:kern w:val="20"/>
          <w:sz w:val="28"/>
          <w:szCs w:val="22"/>
        </w:rPr>
        <w:t xml:space="preserve">Liquidation </w:t>
      </w:r>
      <w:r w:rsidRPr="006D722E">
        <w:rPr>
          <w:rFonts w:asciiTheme="minorHAnsi" w:hAnsiTheme="minorHAnsi" w:cs="Arial"/>
          <w:b w:val="0"/>
          <w:color w:val="1E4959"/>
          <w:spacing w:val="0"/>
          <w:kern w:val="20"/>
          <w:sz w:val="28"/>
          <w:szCs w:val="22"/>
        </w:rPr>
        <w:t>Value</w:t>
      </w:r>
    </w:p>
    <w:p w14:paraId="015E685E" w14:textId="3B5093D1" w:rsidR="00070476" w:rsidRPr="006D722E" w:rsidRDefault="00070476" w:rsidP="00070476">
      <w:pPr>
        <w:widowControl w:val="0"/>
        <w:tabs>
          <w:tab w:val="left" w:pos="5382"/>
        </w:tabs>
      </w:pPr>
      <w:r w:rsidRPr="006D722E">
        <w:t xml:space="preserve">As reported previously in this report, the appraiser concluded that the as is market value of the subject property is </w:t>
      </w:r>
      <w:r w:rsidRPr="00070476">
        <w:rPr>
          <w:highlight w:val="yellow"/>
        </w:rPr>
        <w:t>$3,525,000</w:t>
      </w:r>
      <w:r w:rsidRPr="006D722E">
        <w:t xml:space="preserve">, assuming a </w:t>
      </w:r>
      <w:r w:rsidRPr="00C343FD">
        <w:rPr>
          <w:highlight w:val="yellow"/>
        </w:rPr>
        <w:t>12-month market period</w:t>
      </w:r>
      <w:r w:rsidRPr="006D722E">
        <w:t xml:space="preserve">. Therefore, based on the discount estimated above, the </w:t>
      </w:r>
      <w:r w:rsidRPr="006D722E">
        <w:rPr>
          <w:b/>
          <w:bCs/>
        </w:rPr>
        <w:t xml:space="preserve">concluded </w:t>
      </w:r>
      <w:r w:rsidR="00F75F9C">
        <w:rPr>
          <w:b/>
          <w:bCs/>
        </w:rPr>
        <w:t xml:space="preserve">liquidation </w:t>
      </w:r>
      <w:r w:rsidRPr="006D722E">
        <w:rPr>
          <w:b/>
          <w:bCs/>
        </w:rPr>
        <w:t>value</w:t>
      </w:r>
      <w:r w:rsidRPr="006D722E">
        <w:t xml:space="preserve"> of the subject property (assuming a </w:t>
      </w:r>
      <w:sdt>
        <w:sdtPr>
          <w:rPr>
            <w:highlight w:val="green"/>
          </w:rPr>
          <w:alias w:val="Marketing Period"/>
          <w:tag w:val="Marketing Period"/>
          <w:id w:val="-242725182"/>
          <w:placeholder>
            <w:docPart w:val="DefaultPlaceholder_-1854013438"/>
          </w:placeholder>
          <w:dropDownList>
            <w:listItem w:value="Choose an item."/>
            <w:listItem w:displayText="90-day" w:value="90-day"/>
            <w:listItem w:displayText="30-day" w:value="30-day"/>
          </w:dropDownList>
        </w:sdtPr>
        <w:sdtEndPr/>
        <w:sdtContent>
          <w:r w:rsidR="00D201B9" w:rsidRPr="002F0986">
            <w:rPr>
              <w:highlight w:val="green"/>
            </w:rPr>
            <w:t>90-day</w:t>
          </w:r>
        </w:sdtContent>
      </w:sdt>
      <w:r w:rsidRPr="002F0986">
        <w:rPr>
          <w:highlight w:val="green"/>
        </w:rPr>
        <w:t xml:space="preserve"> </w:t>
      </w:r>
      <w:r w:rsidRPr="00070476">
        <w:rPr>
          <w:highlight w:val="yellow"/>
        </w:rPr>
        <w:t>marketing period</w:t>
      </w:r>
      <w:r w:rsidRPr="006D722E">
        <w:t xml:space="preserve">) is concluded by the appraiser, as of </w:t>
      </w:r>
      <w:r w:rsidR="00CE2B43">
        <w:rPr>
          <w:rFonts w:cs="Arial"/>
          <w:szCs w:val="22"/>
        </w:rPr>
        <w:t>${</w:t>
      </w:r>
      <w:proofErr w:type="spellStart"/>
      <w:r w:rsidR="00CE2B43" w:rsidRPr="00CE2B43">
        <w:rPr>
          <w:rFonts w:cs="Arial"/>
          <w:szCs w:val="22"/>
        </w:rPr>
        <w:t>eff_date_value</w:t>
      </w:r>
      <w:proofErr w:type="spellEnd"/>
      <w:r w:rsidR="00CE2B43">
        <w:rPr>
          <w:rFonts w:cs="Arial"/>
          <w:szCs w:val="22"/>
        </w:rPr>
        <w:t>}</w:t>
      </w:r>
      <w:r w:rsidRPr="006D722E">
        <w:t>, is rounded as follows:</w:t>
      </w:r>
    </w:p>
    <w:p w14:paraId="1DD69140" w14:textId="77777777" w:rsidR="00070476" w:rsidRPr="006D722E" w:rsidRDefault="00070476" w:rsidP="00070476">
      <w:pPr>
        <w:widowControl w:val="0"/>
        <w:tabs>
          <w:tab w:val="left" w:pos="5382"/>
        </w:tabs>
      </w:pPr>
    </w:p>
    <w:tbl>
      <w:tblPr>
        <w:tblW w:w="9360" w:type="dxa"/>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852"/>
        <w:gridCol w:w="1710"/>
        <w:gridCol w:w="1890"/>
        <w:gridCol w:w="1908"/>
      </w:tblGrid>
      <w:tr w:rsidR="00070476" w:rsidRPr="006D722E" w14:paraId="43D1D9C7" w14:textId="77777777" w:rsidTr="00E803BE">
        <w:trPr>
          <w:trHeight w:val="504"/>
        </w:trPr>
        <w:tc>
          <w:tcPr>
            <w:tcW w:w="3852" w:type="dxa"/>
            <w:tcBorders>
              <w:top w:val="nil"/>
              <w:left w:val="nil"/>
              <w:bottom w:val="single" w:sz="24" w:space="0" w:color="3FB44F"/>
              <w:right w:val="nil"/>
            </w:tcBorders>
            <w:shd w:val="clear" w:color="auto" w:fill="1E4959"/>
            <w:vAlign w:val="bottom"/>
          </w:tcPr>
          <w:p w14:paraId="4B8F1972" w14:textId="60353835" w:rsidR="00070476" w:rsidRPr="006D722E" w:rsidRDefault="00070476" w:rsidP="00E803BE">
            <w:pPr>
              <w:pStyle w:val="Heading9"/>
              <w:rPr>
                <w:smallCaps/>
                <w:color w:val="FFFFFF" w:themeColor="background1"/>
                <w:sz w:val="22"/>
                <w:szCs w:val="28"/>
                <w:u w:val="none"/>
              </w:rPr>
            </w:pPr>
            <w:r w:rsidRPr="006D722E">
              <w:rPr>
                <w:smallCaps/>
                <w:color w:val="FFFFFF" w:themeColor="background1"/>
                <w:sz w:val="22"/>
                <w:szCs w:val="28"/>
                <w:u w:val="none"/>
              </w:rPr>
              <w:t>Type of Value</w:t>
            </w:r>
          </w:p>
        </w:tc>
        <w:tc>
          <w:tcPr>
            <w:tcW w:w="1710" w:type="dxa"/>
            <w:tcBorders>
              <w:top w:val="nil"/>
              <w:left w:val="nil"/>
              <w:bottom w:val="single" w:sz="24" w:space="0" w:color="3FB44F"/>
              <w:right w:val="nil"/>
            </w:tcBorders>
            <w:shd w:val="clear" w:color="auto" w:fill="1E4959"/>
            <w:vAlign w:val="bottom"/>
          </w:tcPr>
          <w:p w14:paraId="4BCFFD8C" w14:textId="77777777" w:rsidR="00070476" w:rsidRPr="006D722E" w:rsidRDefault="00070476" w:rsidP="00E803BE">
            <w:pPr>
              <w:tabs>
                <w:tab w:val="left" w:pos="3960"/>
              </w:tabs>
              <w:spacing w:before="60" w:line="300" w:lineRule="exact"/>
              <w:jc w:val="center"/>
              <w:rPr>
                <w:b/>
                <w:smallCaps/>
                <w:color w:val="FFFFFF" w:themeColor="background1"/>
                <w:szCs w:val="28"/>
              </w:rPr>
            </w:pPr>
            <w:r w:rsidRPr="006D722E">
              <w:rPr>
                <w:b/>
                <w:smallCaps/>
                <w:color w:val="FFFFFF" w:themeColor="background1"/>
                <w:szCs w:val="28"/>
              </w:rPr>
              <w:t xml:space="preserve">Concluded As Is Market Value </w:t>
            </w:r>
          </w:p>
        </w:tc>
        <w:tc>
          <w:tcPr>
            <w:tcW w:w="1890" w:type="dxa"/>
            <w:tcBorders>
              <w:top w:val="nil"/>
              <w:left w:val="nil"/>
              <w:bottom w:val="single" w:sz="24" w:space="0" w:color="3FB44F"/>
              <w:right w:val="nil"/>
            </w:tcBorders>
            <w:shd w:val="clear" w:color="auto" w:fill="1E4959"/>
            <w:vAlign w:val="bottom"/>
          </w:tcPr>
          <w:p w14:paraId="053EBED4" w14:textId="77777777" w:rsidR="00070476" w:rsidRPr="006D722E" w:rsidRDefault="00070476" w:rsidP="00E803BE">
            <w:pPr>
              <w:tabs>
                <w:tab w:val="left" w:pos="3960"/>
              </w:tabs>
              <w:spacing w:before="60" w:line="300" w:lineRule="exact"/>
              <w:jc w:val="center"/>
              <w:rPr>
                <w:b/>
                <w:smallCaps/>
                <w:color w:val="FFFFFF" w:themeColor="background1"/>
                <w:szCs w:val="28"/>
              </w:rPr>
            </w:pPr>
            <w:r w:rsidRPr="006D722E">
              <w:rPr>
                <w:b/>
                <w:smallCaps/>
                <w:color w:val="FFFFFF" w:themeColor="background1"/>
                <w:szCs w:val="28"/>
              </w:rPr>
              <w:t>Discount</w:t>
            </w:r>
          </w:p>
        </w:tc>
        <w:tc>
          <w:tcPr>
            <w:tcW w:w="1908" w:type="dxa"/>
            <w:tcBorders>
              <w:top w:val="nil"/>
              <w:left w:val="nil"/>
              <w:bottom w:val="single" w:sz="24" w:space="0" w:color="3FB44F"/>
              <w:right w:val="nil"/>
            </w:tcBorders>
            <w:shd w:val="clear" w:color="auto" w:fill="1E4959"/>
            <w:vAlign w:val="bottom"/>
          </w:tcPr>
          <w:p w14:paraId="532B6BC2" w14:textId="38D11498" w:rsidR="00070476" w:rsidRPr="006D722E" w:rsidRDefault="00F75F9C" w:rsidP="00E803BE">
            <w:pPr>
              <w:tabs>
                <w:tab w:val="left" w:pos="3960"/>
              </w:tabs>
              <w:spacing w:before="60" w:line="300" w:lineRule="exact"/>
              <w:jc w:val="center"/>
              <w:rPr>
                <w:b/>
                <w:smallCaps/>
                <w:color w:val="FFFFFF" w:themeColor="background1"/>
                <w:szCs w:val="28"/>
              </w:rPr>
            </w:pPr>
            <w:r>
              <w:rPr>
                <w:b/>
                <w:smallCaps/>
                <w:color w:val="FFFFFF" w:themeColor="background1"/>
                <w:szCs w:val="28"/>
              </w:rPr>
              <w:t xml:space="preserve">Liquidation </w:t>
            </w:r>
            <w:r w:rsidR="00070476" w:rsidRPr="006D722E">
              <w:rPr>
                <w:b/>
                <w:smallCaps/>
                <w:color w:val="FFFFFF" w:themeColor="background1"/>
                <w:szCs w:val="28"/>
              </w:rPr>
              <w:t>Value Conclusion</w:t>
            </w:r>
          </w:p>
        </w:tc>
      </w:tr>
      <w:tr w:rsidR="00070476" w14:paraId="0F0B1BF0" w14:textId="77777777" w:rsidTr="00E803BE">
        <w:trPr>
          <w:trHeight w:val="80"/>
        </w:trPr>
        <w:tc>
          <w:tcPr>
            <w:tcW w:w="3852" w:type="dxa"/>
            <w:tcBorders>
              <w:top w:val="single" w:sz="24" w:space="0" w:color="3FB44F"/>
              <w:left w:val="nil"/>
              <w:bottom w:val="double" w:sz="4" w:space="0" w:color="auto"/>
            </w:tcBorders>
            <w:vAlign w:val="bottom"/>
          </w:tcPr>
          <w:p w14:paraId="649C7B23" w14:textId="3EEA4E45" w:rsidR="00070476" w:rsidRPr="006D722E" w:rsidRDefault="00F75F9C" w:rsidP="00E803BE">
            <w:pPr>
              <w:pStyle w:val="Heading3"/>
            </w:pPr>
            <w:r>
              <w:t xml:space="preserve">Liquidation </w:t>
            </w:r>
            <w:r w:rsidR="00070476" w:rsidRPr="006D722E">
              <w:t xml:space="preserve">Value </w:t>
            </w:r>
            <w:sdt>
              <w:sdtPr>
                <w:rPr>
                  <w:highlight w:val="green"/>
                </w:rPr>
                <w:alias w:val="Marketing Period"/>
                <w:tag w:val="Marketing Period"/>
                <w:id w:val="1690407645"/>
                <w:placeholder>
                  <w:docPart w:val="86C830DB87064EC090D61FFE52490C78"/>
                </w:placeholder>
                <w:dropDownList>
                  <w:listItem w:value="Choose an item."/>
                  <w:listItem w:displayText="90-day" w:value="90-day"/>
                  <w:listItem w:displayText="30-day" w:value="30-day"/>
                </w:dropDownList>
              </w:sdtPr>
              <w:sdtEndPr/>
              <w:sdtContent>
                <w:r w:rsidR="00D201B9" w:rsidRPr="002F0986">
                  <w:rPr>
                    <w:highlight w:val="green"/>
                  </w:rPr>
                  <w:t>90-day</w:t>
                </w:r>
              </w:sdtContent>
            </w:sdt>
            <w:r w:rsidR="002B5B73" w:rsidRPr="002F0986">
              <w:rPr>
                <w:highlight w:val="green"/>
              </w:rPr>
              <w:t xml:space="preserve"> </w:t>
            </w:r>
            <w:r w:rsidR="00070476" w:rsidRPr="006D722E">
              <w:t xml:space="preserve">Premise) </w:t>
            </w:r>
          </w:p>
        </w:tc>
        <w:tc>
          <w:tcPr>
            <w:tcW w:w="1710" w:type="dxa"/>
            <w:tcBorders>
              <w:top w:val="single" w:sz="24" w:space="0" w:color="3FB44F"/>
              <w:bottom w:val="double" w:sz="4" w:space="0" w:color="auto"/>
            </w:tcBorders>
          </w:tcPr>
          <w:p w14:paraId="622CD15E" w14:textId="77777777" w:rsidR="00070476" w:rsidRPr="00070476" w:rsidRDefault="00070476" w:rsidP="00E803BE">
            <w:pPr>
              <w:tabs>
                <w:tab w:val="left" w:pos="3960"/>
              </w:tabs>
              <w:spacing w:before="120" w:line="320" w:lineRule="exact"/>
              <w:jc w:val="center"/>
              <w:rPr>
                <w:bCs/>
                <w:highlight w:val="yellow"/>
              </w:rPr>
            </w:pPr>
            <w:r w:rsidRPr="00070476">
              <w:rPr>
                <w:bCs/>
                <w:highlight w:val="yellow"/>
              </w:rPr>
              <w:t>$3,525,000</w:t>
            </w:r>
          </w:p>
        </w:tc>
        <w:tc>
          <w:tcPr>
            <w:tcW w:w="1890" w:type="dxa"/>
            <w:tcBorders>
              <w:top w:val="single" w:sz="24" w:space="0" w:color="3FB44F"/>
              <w:bottom w:val="double" w:sz="4" w:space="0" w:color="auto"/>
            </w:tcBorders>
          </w:tcPr>
          <w:p w14:paraId="6C68F350" w14:textId="70BF0FA3" w:rsidR="00070476" w:rsidRPr="00070476" w:rsidRDefault="00D201B9" w:rsidP="00E803BE">
            <w:pPr>
              <w:tabs>
                <w:tab w:val="left" w:pos="3960"/>
              </w:tabs>
              <w:spacing w:before="120" w:line="320" w:lineRule="exact"/>
              <w:jc w:val="center"/>
              <w:rPr>
                <w:bCs/>
                <w:highlight w:val="yellow"/>
              </w:rPr>
            </w:pPr>
            <w:r>
              <w:rPr>
                <w:bCs/>
                <w:highlight w:val="yellow"/>
              </w:rPr>
              <w:t>50</w:t>
            </w:r>
            <w:r w:rsidR="00070476" w:rsidRPr="00070476">
              <w:rPr>
                <w:bCs/>
                <w:highlight w:val="yellow"/>
              </w:rPr>
              <w:t>%</w:t>
            </w:r>
          </w:p>
        </w:tc>
        <w:tc>
          <w:tcPr>
            <w:tcW w:w="1908" w:type="dxa"/>
            <w:tcBorders>
              <w:top w:val="single" w:sz="24" w:space="0" w:color="3FB44F"/>
              <w:bottom w:val="double" w:sz="4" w:space="0" w:color="auto"/>
              <w:right w:val="nil"/>
            </w:tcBorders>
          </w:tcPr>
          <w:p w14:paraId="114B410C" w14:textId="77777777" w:rsidR="00070476" w:rsidRPr="00070476" w:rsidRDefault="00070476" w:rsidP="00E803BE">
            <w:pPr>
              <w:tabs>
                <w:tab w:val="left" w:pos="3960"/>
              </w:tabs>
              <w:spacing w:before="120" w:line="320" w:lineRule="exact"/>
              <w:jc w:val="center"/>
              <w:rPr>
                <w:b/>
                <w:highlight w:val="yellow"/>
              </w:rPr>
            </w:pPr>
            <w:r w:rsidRPr="00070476">
              <w:rPr>
                <w:b/>
                <w:highlight w:val="yellow"/>
              </w:rPr>
              <w:t>$2,350,000</w:t>
            </w:r>
          </w:p>
        </w:tc>
      </w:tr>
    </w:tbl>
    <w:p w14:paraId="3A95A269" w14:textId="77777777" w:rsidR="00B41FB8" w:rsidRPr="000754FA" w:rsidRDefault="00B41FB8" w:rsidP="00417140">
      <w:pPr>
        <w:tabs>
          <w:tab w:val="left" w:pos="1350"/>
        </w:tabs>
        <w:rPr>
          <w:rFonts w:cs="Arial"/>
          <w:szCs w:val="22"/>
        </w:rPr>
      </w:pPr>
    </w:p>
    <w:p w14:paraId="1984771B" w14:textId="77777777" w:rsidR="00EB1BCF" w:rsidRPr="000754FA" w:rsidRDefault="00EB1BCF" w:rsidP="002E6330">
      <w:pPr>
        <w:rPr>
          <w:rFonts w:cs="Arial"/>
          <w:szCs w:val="22"/>
        </w:rPr>
        <w:sectPr w:rsidR="00EB1BCF" w:rsidRPr="000754FA" w:rsidSect="00D201B9">
          <w:endnotePr>
            <w:numFmt w:val="decimal"/>
          </w:endnotePr>
          <w:pgSz w:w="12240" w:h="15840" w:code="1"/>
          <w:pgMar w:top="1440" w:right="1440" w:bottom="720" w:left="1440" w:header="720" w:footer="720" w:gutter="0"/>
          <w:cols w:space="720"/>
          <w:docGrid w:linePitch="286"/>
        </w:sectPr>
      </w:pPr>
    </w:p>
    <w:p w14:paraId="09D9FBF0" w14:textId="77777777" w:rsidR="001F2654" w:rsidRPr="000754FA" w:rsidRDefault="001F2654" w:rsidP="008C3404">
      <w:pPr>
        <w:spacing w:after="360"/>
        <w:rPr>
          <w:kern w:val="24"/>
          <w:sz w:val="18"/>
          <w:szCs w:val="16"/>
        </w:rPr>
      </w:pPr>
    </w:p>
    <w:sectPr w:rsidR="001F2654" w:rsidRPr="000754FA" w:rsidSect="00D201B9">
      <w:headerReference w:type="default" r:id="rId13"/>
      <w:endnotePr>
        <w:numFmt w:val="decimal"/>
      </w:endnotePr>
      <w:pgSz w:w="12240" w:h="15840" w:code="1"/>
      <w:pgMar w:top="144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F9E1D" w14:textId="77777777" w:rsidR="00BB764E" w:rsidRDefault="00BB764E">
      <w:r>
        <w:separator/>
      </w:r>
    </w:p>
  </w:endnote>
  <w:endnote w:type="continuationSeparator" w:id="0">
    <w:p w14:paraId="3CB9453B" w14:textId="77777777" w:rsidR="00BB764E" w:rsidRDefault="00BB7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MS Reference Sans Serif">
    <w:altName w:val="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8CFFD5" w14:textId="5D70210A" w:rsidR="00E23FFB" w:rsidRPr="00B8407D" w:rsidRDefault="00B8407D" w:rsidP="00B8407D">
    <w:pPr>
      <w:pStyle w:val="Footer"/>
      <w:tabs>
        <w:tab w:val="clear" w:pos="4320"/>
        <w:tab w:val="clear" w:pos="8640"/>
        <w:tab w:val="right" w:pos="9360"/>
        <w:tab w:val="right" w:pos="13680"/>
      </w:tabs>
      <w:spacing w:before="120"/>
    </w:pPr>
    <w:r>
      <w:rPr>
        <w:rFonts w:cs="Segoe UI"/>
        <w:bCs/>
        <w:iCs/>
        <w:kern w:val="0"/>
        <w:sz w:val="20"/>
        <w:szCs w:val="18"/>
        <w:shd w:val="clear" w:color="auto" w:fill="FFFFFF"/>
      </w:rPr>
      <w:t xml:space="preserve">© </w:t>
    </w:r>
    <w:r>
      <w:rPr>
        <w:rFonts w:cs="Segoe UI"/>
        <w:bCs/>
        <w:iCs/>
        <w:kern w:val="0"/>
        <w:sz w:val="20"/>
        <w:szCs w:val="18"/>
      </w:rPr>
      <w:fldChar w:fldCharType="begin"/>
    </w:r>
    <w:r>
      <w:rPr>
        <w:rFonts w:cs="Segoe UI"/>
        <w:bCs/>
        <w:iCs/>
        <w:kern w:val="0"/>
        <w:sz w:val="20"/>
        <w:szCs w:val="18"/>
      </w:rPr>
      <w:instrText xml:space="preserve"> DATE \@ "yyyy" </w:instrText>
    </w:r>
    <w:r>
      <w:rPr>
        <w:rFonts w:cs="Segoe UI"/>
        <w:bCs/>
        <w:iCs/>
        <w:kern w:val="0"/>
        <w:sz w:val="20"/>
        <w:szCs w:val="18"/>
      </w:rPr>
      <w:fldChar w:fldCharType="separate"/>
    </w:r>
    <w:r w:rsidR="00AC2D7A">
      <w:rPr>
        <w:rFonts w:cs="Segoe UI"/>
        <w:bCs/>
        <w:iCs/>
        <w:noProof/>
        <w:kern w:val="0"/>
        <w:sz w:val="20"/>
        <w:szCs w:val="18"/>
      </w:rPr>
      <w:t>2020</w:t>
    </w:r>
    <w:r>
      <w:rPr>
        <w:rFonts w:cs="Segoe UI"/>
        <w:bCs/>
        <w:iCs/>
        <w:kern w:val="0"/>
        <w:sz w:val="20"/>
        <w:szCs w:val="18"/>
      </w:rPr>
      <w:fldChar w:fldCharType="end"/>
    </w:r>
    <w:r>
      <w:rPr>
        <w:rFonts w:cs="Segoe UI"/>
        <w:bCs/>
        <w:iCs/>
        <w:kern w:val="0"/>
        <w:sz w:val="20"/>
        <w:szCs w:val="18"/>
      </w:rPr>
      <w:t xml:space="preserve">  L3 VALUATION | </w:t>
    </w:r>
    <w:r w:rsidRPr="00E249A6">
      <w:rPr>
        <w:rFonts w:cs="Segoe UI"/>
        <w:bCs/>
        <w:iCs/>
        <w:kern w:val="0"/>
        <w:sz w:val="20"/>
        <w:szCs w:val="18"/>
      </w:rPr>
      <w:t>${reportname}</w:t>
    </w:r>
    <w:r>
      <w:rPr>
        <w:rFonts w:cs="Segoe UI"/>
        <w:bCs/>
        <w:iCs/>
        <w:kern w:val="0"/>
        <w:sz w:val="20"/>
        <w:szCs w:val="18"/>
      </w:rPr>
      <w:tab/>
      <w:t xml:space="preserve">Page </w:t>
    </w:r>
    <w:r>
      <w:rPr>
        <w:rFonts w:cs="Segoe UI"/>
        <w:bCs/>
        <w:iCs/>
        <w:kern w:val="0"/>
        <w:sz w:val="20"/>
        <w:szCs w:val="18"/>
      </w:rPr>
      <w:fldChar w:fldCharType="begin"/>
    </w:r>
    <w:r>
      <w:rPr>
        <w:rFonts w:cs="Segoe UI"/>
        <w:bCs/>
        <w:iCs/>
        <w:kern w:val="0"/>
        <w:sz w:val="20"/>
        <w:szCs w:val="18"/>
      </w:rPr>
      <w:instrText xml:space="preserve"> PAGE   \* MERGEFORMAT </w:instrText>
    </w:r>
    <w:r>
      <w:rPr>
        <w:rFonts w:cs="Segoe UI"/>
        <w:bCs/>
        <w:iCs/>
        <w:kern w:val="0"/>
        <w:sz w:val="20"/>
        <w:szCs w:val="18"/>
      </w:rPr>
      <w:fldChar w:fldCharType="separate"/>
    </w:r>
    <w:r>
      <w:rPr>
        <w:rFonts w:cs="Segoe UI"/>
        <w:bCs/>
        <w:iCs/>
        <w:kern w:val="0"/>
        <w:sz w:val="20"/>
        <w:szCs w:val="18"/>
      </w:rPr>
      <w:t>1</w:t>
    </w:r>
    <w:r>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06855" w14:textId="77777777" w:rsidR="00BB764E" w:rsidRDefault="00BB764E">
      <w:r>
        <w:separator/>
      </w:r>
    </w:p>
  </w:footnote>
  <w:footnote w:type="continuationSeparator" w:id="0">
    <w:p w14:paraId="432004D3" w14:textId="77777777" w:rsidR="00BB764E" w:rsidRDefault="00BB7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DB2E0D" w:rsidRPr="00492705" w14:paraId="63E98982" w14:textId="77777777" w:rsidTr="00D56814">
      <w:trPr>
        <w:trHeight w:val="800"/>
      </w:trPr>
      <w:tc>
        <w:tcPr>
          <w:tcW w:w="5224" w:type="dxa"/>
        </w:tcPr>
        <w:p w14:paraId="373E685C" w14:textId="77777777" w:rsidR="00DB2E0D" w:rsidRDefault="00DB2E0D" w:rsidP="00492705">
          <w:pPr>
            <w:pStyle w:val="ValbridgeHeader"/>
            <w:spacing w:line="240" w:lineRule="auto"/>
            <w:jc w:val="left"/>
          </w:pPr>
          <w:r w:rsidRPr="006C283F">
            <w:rPr>
              <w:noProof/>
            </w:rPr>
            <w:drawing>
              <wp:inline distT="0" distB="0" distL="0" distR="0" wp14:anchorId="496ED00C" wp14:editId="3B3031EE">
                <wp:extent cx="2231136" cy="493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70366E08" w14:textId="301D41FE" w:rsidR="00DB2E0D" w:rsidRPr="000E23F3" w:rsidRDefault="000E23F3"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E23F3">
            <w:rPr>
              <w:rFonts w:asciiTheme="minorHAnsi" w:hAnsiTheme="minorHAnsi"/>
              <w:noProof/>
              <w:color w:val="auto"/>
              <w:sz w:val="20"/>
            </w:rPr>
            <w:t>cappropname</w:t>
          </w:r>
          <w:r>
            <w:rPr>
              <w:rFonts w:asciiTheme="minorHAnsi" w:hAnsiTheme="minorHAnsi"/>
              <w:noProof/>
              <w:color w:val="auto"/>
              <w:sz w:val="20"/>
            </w:rPr>
            <w:t>}</w:t>
          </w:r>
        </w:p>
        <w:p w14:paraId="73281639" w14:textId="0CC4806B" w:rsidR="00DB2E0D" w:rsidRPr="009208A9" w:rsidRDefault="00F75F9C" w:rsidP="00492705">
          <w:pPr>
            <w:pStyle w:val="ValbridgeHeader"/>
            <w:spacing w:line="240" w:lineRule="auto"/>
            <w:rPr>
              <w:rFonts w:ascii="MS Reference Sans Serif" w:hAnsi="MS Reference Sans Serif" w:cs="Arial"/>
              <w:sz w:val="20"/>
            </w:rPr>
          </w:pPr>
          <w:r>
            <w:rPr>
              <w:rFonts w:asciiTheme="minorHAnsi" w:hAnsiTheme="minorHAnsi"/>
              <w:color w:val="auto"/>
              <w:sz w:val="20"/>
            </w:rPr>
            <w:t xml:space="preserve">LIQUIDATION </w:t>
          </w:r>
          <w:r w:rsidR="00070476">
            <w:rPr>
              <w:rFonts w:asciiTheme="minorHAnsi" w:hAnsiTheme="minorHAnsi"/>
              <w:color w:val="auto"/>
              <w:sz w:val="20"/>
            </w:rPr>
            <w:t>VALUATION</w:t>
          </w:r>
        </w:p>
      </w:tc>
    </w:tr>
  </w:tbl>
  <w:p w14:paraId="114D235C" w14:textId="77777777" w:rsidR="00DB2E0D" w:rsidRDefault="00DB2E0D"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6DBAB" w14:textId="69B1C9FC" w:rsidR="00DB2E0D" w:rsidRDefault="00DB2E0D" w:rsidP="00E238E0">
    <w:pPr>
      <w:pStyle w:val="Header"/>
      <w:ind w:left="-1440"/>
      <w:rPr>
        <w:noProof/>
        <w:vertAlign w:val="subscript"/>
      </w:rPr>
    </w:pPr>
  </w:p>
  <w:p w14:paraId="4A05DF13" w14:textId="77777777" w:rsidR="00DB2E0D" w:rsidRDefault="00DB2E0D" w:rsidP="008B475D">
    <w:pPr>
      <w:pStyle w:val="Header"/>
      <w:ind w:left="-1872"/>
    </w:pPr>
    <w:r>
      <w:rPr>
        <w:noProof/>
      </w:rPr>
      <mc:AlternateContent>
        <mc:Choice Requires="wps">
          <w:drawing>
            <wp:anchor distT="0" distB="0" distL="114300" distR="114300" simplePos="0" relativeHeight="251721216" behindDoc="0" locked="0" layoutInCell="1" allowOverlap="1" wp14:anchorId="7C814709" wp14:editId="068F1F4E">
              <wp:simplePos x="0" y="0"/>
              <wp:positionH relativeFrom="column">
                <wp:posOffset>4026535</wp:posOffset>
              </wp:positionH>
              <wp:positionV relativeFrom="paragraph">
                <wp:posOffset>95250</wp:posOffset>
              </wp:positionV>
              <wp:extent cx="2492375" cy="605790"/>
              <wp:effectExtent l="0" t="0" r="0" b="0"/>
              <wp:wrapNone/>
              <wp:docPr id="7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814709"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" filled="f" stroked="f">
              <v:textbox>
                <w:txbxContent>
                  <w:p w14:paraId="5047EE81"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72959EEE"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70FF0905" w14:textId="77777777" w:rsidR="00DB2E0D" w:rsidRPr="00EF1272" w:rsidRDefault="00DB2E0D" w:rsidP="008B475D">
                    <w:pPr>
                      <w:pStyle w:val="Header"/>
                      <w:spacing w:line="200" w:lineRule="exact"/>
                      <w:jc w:val="right"/>
                      <w:rPr>
                        <w:rFonts w:ascii="Arial Narrow" w:hAnsi="Arial Narrow"/>
                        <w:noProof/>
                        <w:color w:val="FFFFFF"/>
                        <w:sz w:val="28"/>
                        <w:szCs w:val="22"/>
                        <w:vertAlign w:val="subscript"/>
                      </w:rPr>
                    </w:pPr>
                  </w:p>
                  <w:p w14:paraId="0309E8B3" w14:textId="77777777" w:rsidR="00DB2E0D" w:rsidRPr="00EF1272" w:rsidRDefault="00DB2E0D"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476"/>
    <w:rsid w:val="000707E1"/>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3F3"/>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3D0B"/>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3FF"/>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67914"/>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714"/>
    <w:rsid w:val="00201A07"/>
    <w:rsid w:val="00201A6B"/>
    <w:rsid w:val="00201B7C"/>
    <w:rsid w:val="002022B3"/>
    <w:rsid w:val="00203458"/>
    <w:rsid w:val="0020398F"/>
    <w:rsid w:val="00203C49"/>
    <w:rsid w:val="00204098"/>
    <w:rsid w:val="00204753"/>
    <w:rsid w:val="002049CF"/>
    <w:rsid w:val="002052E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5B3"/>
    <w:rsid w:val="002B55EE"/>
    <w:rsid w:val="002B5B12"/>
    <w:rsid w:val="002B5B73"/>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986"/>
    <w:rsid w:val="002F0A2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AD1"/>
    <w:rsid w:val="00337017"/>
    <w:rsid w:val="0033786D"/>
    <w:rsid w:val="00340006"/>
    <w:rsid w:val="003401D1"/>
    <w:rsid w:val="00340514"/>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2A"/>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870"/>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FEF"/>
    <w:rsid w:val="00377184"/>
    <w:rsid w:val="003771F5"/>
    <w:rsid w:val="00377C44"/>
    <w:rsid w:val="00380067"/>
    <w:rsid w:val="00380863"/>
    <w:rsid w:val="00380CC6"/>
    <w:rsid w:val="00380FCF"/>
    <w:rsid w:val="00381C51"/>
    <w:rsid w:val="003829A0"/>
    <w:rsid w:val="00383165"/>
    <w:rsid w:val="0038335A"/>
    <w:rsid w:val="00383761"/>
    <w:rsid w:val="00383E05"/>
    <w:rsid w:val="00384356"/>
    <w:rsid w:val="0038516D"/>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DF2"/>
    <w:rsid w:val="003D2F1E"/>
    <w:rsid w:val="003D3639"/>
    <w:rsid w:val="003D3A89"/>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963"/>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79B"/>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2EFA"/>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D76D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E97"/>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639"/>
    <w:rsid w:val="00755F3D"/>
    <w:rsid w:val="00756532"/>
    <w:rsid w:val="0075712F"/>
    <w:rsid w:val="007575B1"/>
    <w:rsid w:val="00760665"/>
    <w:rsid w:val="00760FC8"/>
    <w:rsid w:val="00762332"/>
    <w:rsid w:val="007638F5"/>
    <w:rsid w:val="00763BEB"/>
    <w:rsid w:val="00763CFC"/>
    <w:rsid w:val="0076410C"/>
    <w:rsid w:val="00764118"/>
    <w:rsid w:val="00764855"/>
    <w:rsid w:val="007648E2"/>
    <w:rsid w:val="00764C69"/>
    <w:rsid w:val="0076526A"/>
    <w:rsid w:val="0076539F"/>
    <w:rsid w:val="00765940"/>
    <w:rsid w:val="00766B2A"/>
    <w:rsid w:val="00766C11"/>
    <w:rsid w:val="00766F69"/>
    <w:rsid w:val="00767404"/>
    <w:rsid w:val="0076750E"/>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494F"/>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C3D"/>
    <w:rsid w:val="00820128"/>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671"/>
    <w:rsid w:val="008D18AA"/>
    <w:rsid w:val="008D19A1"/>
    <w:rsid w:val="008D224B"/>
    <w:rsid w:val="008D282B"/>
    <w:rsid w:val="008D2BFE"/>
    <w:rsid w:val="008D4123"/>
    <w:rsid w:val="008D4205"/>
    <w:rsid w:val="008D4902"/>
    <w:rsid w:val="008D490F"/>
    <w:rsid w:val="008D4F2E"/>
    <w:rsid w:val="008D559B"/>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B24"/>
    <w:rsid w:val="00915655"/>
    <w:rsid w:val="00915DC4"/>
    <w:rsid w:val="00915F51"/>
    <w:rsid w:val="009164EB"/>
    <w:rsid w:val="00916647"/>
    <w:rsid w:val="0091726E"/>
    <w:rsid w:val="009179D8"/>
    <w:rsid w:val="009208A9"/>
    <w:rsid w:val="00921476"/>
    <w:rsid w:val="00921508"/>
    <w:rsid w:val="00921897"/>
    <w:rsid w:val="00922672"/>
    <w:rsid w:val="0092344C"/>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323"/>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8A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0333"/>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9B7"/>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2D7A"/>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C05"/>
    <w:rsid w:val="00B11FF5"/>
    <w:rsid w:val="00B12420"/>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26F"/>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07D"/>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B764E"/>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3FD"/>
    <w:rsid w:val="00C34C40"/>
    <w:rsid w:val="00C35590"/>
    <w:rsid w:val="00C35862"/>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AEB"/>
    <w:rsid w:val="00C60B5B"/>
    <w:rsid w:val="00C610C6"/>
    <w:rsid w:val="00C61948"/>
    <w:rsid w:val="00C61AA5"/>
    <w:rsid w:val="00C61C7E"/>
    <w:rsid w:val="00C62B25"/>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DFF"/>
    <w:rsid w:val="00CE11F2"/>
    <w:rsid w:val="00CE1450"/>
    <w:rsid w:val="00CE2B43"/>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73D"/>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5682"/>
    <w:rsid w:val="00D15BF6"/>
    <w:rsid w:val="00D1601F"/>
    <w:rsid w:val="00D16C52"/>
    <w:rsid w:val="00D16E78"/>
    <w:rsid w:val="00D16F71"/>
    <w:rsid w:val="00D20020"/>
    <w:rsid w:val="00D201B9"/>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AEC"/>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802"/>
    <w:rsid w:val="00DC5481"/>
    <w:rsid w:val="00DC5ED2"/>
    <w:rsid w:val="00DC6FFE"/>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3FFB"/>
    <w:rsid w:val="00E249A6"/>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3BE"/>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9D2"/>
    <w:rsid w:val="00F30C2E"/>
    <w:rsid w:val="00F30DF4"/>
    <w:rsid w:val="00F31A7C"/>
    <w:rsid w:val="00F31C3B"/>
    <w:rsid w:val="00F31FFA"/>
    <w:rsid w:val="00F320F1"/>
    <w:rsid w:val="00F32423"/>
    <w:rsid w:val="00F324F6"/>
    <w:rsid w:val="00F3276B"/>
    <w:rsid w:val="00F32D0C"/>
    <w:rsid w:val="00F331FA"/>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5F9C"/>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2E5"/>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B08CD6"/>
  <w15:docId w15:val="{D8010548-D2A4-4AAB-B73E-CBCBBBFF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070476"/>
    <w:rPr>
      <w:rFonts w:asciiTheme="minorHAnsi" w:hAnsiTheme="minorHAnsi"/>
      <w:kern w:val="24"/>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FDDB270B-B205-4474-A22C-EBE01A353DFC}"/>
      </w:docPartPr>
      <w:docPartBody>
        <w:p w:rsidR="00D42A85" w:rsidRDefault="00D42A85">
          <w:r w:rsidRPr="008212E1">
            <w:rPr>
              <w:rStyle w:val="PlaceholderText"/>
            </w:rPr>
            <w:t>Choose an item.</w:t>
          </w:r>
        </w:p>
      </w:docPartBody>
    </w:docPart>
    <w:docPart>
      <w:docPartPr>
        <w:name w:val="86C830DB87064EC090D61FFE52490C78"/>
        <w:category>
          <w:name w:val="General"/>
          <w:gallery w:val="placeholder"/>
        </w:category>
        <w:types>
          <w:type w:val="bbPlcHdr"/>
        </w:types>
        <w:behaviors>
          <w:behavior w:val="content"/>
        </w:behaviors>
        <w:guid w:val="{77DCE9D2-0744-4664-AAE6-D369BA63ED73}"/>
      </w:docPartPr>
      <w:docPartBody>
        <w:p w:rsidR="006E5C85" w:rsidRDefault="006E5C85">
          <w:pPr>
            <w:pStyle w:val="86C830DB87064EC090D61FFE52490C78"/>
          </w:pPr>
          <w:r w:rsidRPr="008212E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charset w:val="00"/>
    <w:family w:val="swiss"/>
    <w:pitch w:val="variable"/>
    <w:sig w:usb0="00000287" w:usb1="00000800" w:usb2="00000000" w:usb3="00000000" w:csb0="0000009F" w:csb1="00000000"/>
  </w:font>
  <w:font w:name="MS Reference Sans Serif">
    <w:altName w:val="MS Reference Sans Serif"/>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85"/>
    <w:rsid w:val="000476EF"/>
    <w:rsid w:val="003F237B"/>
    <w:rsid w:val="005F4DB6"/>
    <w:rsid w:val="006E5C85"/>
    <w:rsid w:val="00D4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133C4B1C634EE3B9777EF4B099E7CE">
    <w:name w:val="3F133C4B1C634EE3B9777EF4B099E7CE"/>
    <w:rsid w:val="00D42A85"/>
  </w:style>
  <w:style w:type="paragraph" w:customStyle="1" w:styleId="86C830DB87064EC090D61FFE52490C78">
    <w:name w:val="86C830DB87064EC090D61FFE52490C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130FE-7BF1-489C-BA4D-3E6FB33613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4A9CC4-ACB5-48B7-AB99-52D10E2C97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D9F30-3C62-4E28-916A-1056F060D5E2}">
  <ds:schemaRefs>
    <ds:schemaRef ds:uri="http://schemas.microsoft.com/sharepoint/v3/contenttype/forms"/>
  </ds:schemaRefs>
</ds:datastoreItem>
</file>

<file path=customXml/itemProps4.xml><?xml version="1.0" encoding="utf-8"?>
<ds:datastoreItem xmlns:ds="http://schemas.openxmlformats.org/officeDocument/2006/customXml" ds:itemID="{1A0C3E9D-FA13-435B-B99A-C5B3C6EC6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735</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4603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Michael Martino</cp:lastModifiedBy>
  <cp:revision>2</cp:revision>
  <cp:lastPrinted>2019-01-21T18:26:00Z</cp:lastPrinted>
  <dcterms:created xsi:type="dcterms:W3CDTF">2020-06-07T19:01:00Z</dcterms:created>
  <dcterms:modified xsi:type="dcterms:W3CDTF">2020-06-07T19:01:00Z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