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36D8EE89" w14:textId="77777777" w:rsidTr="009338EB">
        <w:trPr>
          <w:trHeight w:hRule="exact" w:val="590"/>
        </w:trPr>
        <w:tc>
          <w:tcPr>
            <w:tcW w:w="9490" w:type="dxa"/>
            <w:vAlign w:val="center"/>
          </w:tcPr>
          <w:p w14:paraId="4C2EB4BF" w14:textId="77777777" w:rsidR="005A24B3" w:rsidRPr="000754FA" w:rsidRDefault="005A24B3" w:rsidP="009338EB">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195804A6" wp14:editId="60B7059B">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7436CAF5"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5151F7F" w14:textId="77777777" w:rsidR="005A24B3" w:rsidRPr="00E03623" w:rsidRDefault="005A24B3" w:rsidP="005A24B3">
                                  <w:pPr>
                                    <w:pStyle w:val="TOC1"/>
                                  </w:pPr>
                                </w:p>
                                <w:p w14:paraId="46664D23"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BA795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rsidR="005A24B3" w:rsidRPr="00E03623" w:rsidRDefault="005A24B3" w:rsidP="005A24B3">
                            <w:pPr>
                              <w:pStyle w:val="TOC1"/>
                            </w:pPr>
                          </w:p>
                          <w:p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3B43CDDE"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Methodology</w:t>
      </w:r>
    </w:p>
    <w:p w14:paraId="333D9E28" w14:textId="77777777" w:rsidR="005A24B3" w:rsidRPr="00087E8D" w:rsidRDefault="005A24B3" w:rsidP="005A24B3">
      <w:pPr>
        <w:rPr>
          <w:rFonts w:cs="Arial"/>
          <w:szCs w:val="22"/>
        </w:rPr>
      </w:pPr>
      <w:r w:rsidRPr="00087E8D">
        <w:rPr>
          <w:rFonts w:cs="Arial"/>
          <w:szCs w:val="22"/>
        </w:rPr>
        <w:t xml:space="preserve">The market valuation of the subject property is summarized in this section via the </w:t>
      </w:r>
      <w:r w:rsidRPr="00087E8D">
        <w:rPr>
          <w:rFonts w:cs="Arial"/>
          <w:b/>
          <w:szCs w:val="22"/>
        </w:rPr>
        <w:t>Direct Capitalization Method</w:t>
      </w:r>
      <w:r w:rsidRPr="00087E8D">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w:t>
      </w:r>
      <w:bookmarkStart w:id="3" w:name="_GoBack"/>
      <w:bookmarkEnd w:id="3"/>
      <w:r w:rsidRPr="00087E8D">
        <w:rPr>
          <w:rFonts w:cs="Arial"/>
          <w:szCs w:val="22"/>
        </w:rPr>
        <w:t>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5DE93C92"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Potential Gross Rental Income</w:t>
      </w:r>
    </w:p>
    <w:p w14:paraId="57C59749" w14:textId="77777777" w:rsidR="005A24B3" w:rsidRPr="00087E8D" w:rsidRDefault="005A24B3" w:rsidP="005A24B3">
      <w:pPr>
        <w:rPr>
          <w:rFonts w:cs="Arial"/>
          <w:szCs w:val="22"/>
        </w:rPr>
      </w:pPr>
      <w:r w:rsidRPr="00087E8D">
        <w:rPr>
          <w:rFonts w:cs="Arial"/>
          <w:szCs w:val="22"/>
        </w:rPr>
        <w:t xml:space="preserve">The first step in the Income Approach is to estimate the subject's potential gross income, which reflects its market rent if currently leased in the marketplace. The analysis is conducted on the basis of a monthly dollar per square foot rental, which is then applied to the gross leasable area (GLA) of the property. </w:t>
      </w:r>
    </w:p>
    <w:p w14:paraId="5249BB16" w14:textId="77777777" w:rsidR="005A24B3" w:rsidRPr="00087E8D" w:rsidRDefault="005A24B3" w:rsidP="005A24B3">
      <w:pPr>
        <w:rPr>
          <w:rFonts w:cs="Arial"/>
          <w:szCs w:val="22"/>
        </w:rPr>
      </w:pPr>
    </w:p>
    <w:p w14:paraId="719B2696" w14:textId="77777777" w:rsidR="005A24B3" w:rsidRPr="00087E8D" w:rsidRDefault="005A24B3" w:rsidP="005A24B3">
      <w:pPr>
        <w:rPr>
          <w:rFonts w:cs="Arial"/>
          <w:szCs w:val="22"/>
        </w:rPr>
      </w:pPr>
      <w:r w:rsidRPr="00087E8D">
        <w:rPr>
          <w:rFonts w:cs="Arial"/>
          <w:szCs w:val="22"/>
        </w:rPr>
        <w:t xml:space="preserve">A review of current subject market trends indicates that typical tenant leases in the subject market area are written on a </w:t>
      </w:r>
      <w:r w:rsidRPr="00087E8D">
        <w:rPr>
          <w:rFonts w:cs="Arial"/>
          <w:b/>
          <w:szCs w:val="22"/>
        </w:rPr>
        <w:t xml:space="preserve">triple net </w:t>
      </w:r>
      <w:r w:rsidRPr="00087E8D">
        <w:rPr>
          <w:rFonts w:cs="Arial"/>
          <w:szCs w:val="22"/>
        </w:rPr>
        <w:t xml:space="preserve">rental basis. Triple net tenant rents include only the net base rent, with the tenant typically responsible for all building operating expenses (including management fees for larger investment-grade properties). Generally excluded are reserves for the replacement of capital items. Hence, we have anticipated that all future rent for the subject would be payable on this basis. </w:t>
      </w:r>
    </w:p>
    <w:p w14:paraId="68244266" w14:textId="77777777" w:rsidR="005A24B3" w:rsidRPr="00B323A6"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Comparable Rent Analysis</w:t>
      </w:r>
    </w:p>
    <w:p w14:paraId="52143146" w14:textId="77777777" w:rsidR="005A24B3" w:rsidRPr="00B323A6" w:rsidRDefault="005A24B3" w:rsidP="005A24B3">
      <w:pPr>
        <w:widowControl w:val="0"/>
        <w:rPr>
          <w:rFonts w:cs="Arial"/>
          <w:szCs w:val="22"/>
        </w:rPr>
      </w:pPr>
      <w:r w:rsidRPr="00B323A6">
        <w:rPr>
          <w:rFonts w:cs="Arial"/>
          <w:szCs w:val="22"/>
        </w:rPr>
        <w:t>In order to estimate the current market rent for the subject’s</w:t>
      </w:r>
      <w:r>
        <w:rPr>
          <w:rFonts w:cs="Arial"/>
          <w:szCs w:val="22"/>
        </w:rPr>
        <w:t xml:space="preserve"> industrial</w:t>
      </w:r>
      <w:r w:rsidRPr="00B323A6">
        <w:rPr>
          <w:rFonts w:cs="Arial"/>
          <w:szCs w:val="22"/>
        </w:rPr>
        <w:t xml:space="preserve"> property, we conducted a survey of reasonably comparable tenant leases </w:t>
      </w:r>
      <w:r w:rsidRPr="00BA4BC4">
        <w:rPr>
          <w:rFonts w:cs="Arial"/>
          <w:szCs w:val="22"/>
        </w:rPr>
        <w:t xml:space="preserve">of </w:t>
      </w:r>
      <w:r>
        <w:rPr>
          <w:rFonts w:cs="Arial"/>
          <w:szCs w:val="22"/>
        </w:rPr>
        <w:t xml:space="preserve">industrial </w:t>
      </w:r>
      <w:r w:rsidRPr="00BA4BC4">
        <w:rPr>
          <w:rFonts w:cs="Arial"/>
          <w:szCs w:val="22"/>
        </w:rPr>
        <w:t>buildings</w:t>
      </w:r>
      <w:r w:rsidRPr="00B323A6">
        <w:rPr>
          <w:rFonts w:cs="Arial"/>
          <w:szCs w:val="22"/>
        </w:rPr>
        <w:t xml:space="preserve"> located in the local market area.  The result of this survey is summarized on the preceding pages, along with a location map and photographs of the buildings relating to each lease comparable.</w:t>
      </w:r>
    </w:p>
    <w:p w14:paraId="6BB32BAF"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B323A6">
        <w:rPr>
          <w:rFonts w:eastAsiaTheme="majorEastAsia" w:cs="Arial"/>
          <w:color w:val="1E4959"/>
          <w:sz w:val="24"/>
          <w:szCs w:val="22"/>
          <w:u w:val="single"/>
        </w:rPr>
        <w:t>Rental Adjustments</w:t>
      </w:r>
    </w:p>
    <w:p w14:paraId="539FCFEF" w14:textId="77777777" w:rsidR="005A24B3" w:rsidRDefault="005A24B3" w:rsidP="005A24B3">
      <w:pPr>
        <w:rPr>
          <w:rFonts w:cs="Arial"/>
          <w:szCs w:val="22"/>
        </w:rPr>
      </w:pPr>
      <w:r w:rsidRPr="00AA44C4">
        <w:rPr>
          <w:rFonts w:cs="Arial"/>
          <w:szCs w:val="22"/>
        </w:rPr>
        <w:t>Depending on market conditions, free rent,</w:t>
      </w:r>
      <w:r>
        <w:rPr>
          <w:rFonts w:cs="Arial"/>
          <w:szCs w:val="22"/>
        </w:rPr>
        <w:t xml:space="preserve"> </w:t>
      </w:r>
      <w:r w:rsidRPr="00AA44C4">
        <w:rPr>
          <w:rFonts w:cs="Arial"/>
          <w:szCs w:val="22"/>
        </w:rPr>
        <w:t xml:space="preserve">or other incentives are used to attract tenants. When applicable, the comparable rents are adjusted to reflect current market terms with </w:t>
      </w:r>
      <w:r w:rsidRPr="00BA6391">
        <w:rPr>
          <w:rFonts w:cs="Arial"/>
          <w:szCs w:val="22"/>
        </w:rPr>
        <w:t xml:space="preserve">an effective rent to the property owner. </w:t>
      </w:r>
      <w:r>
        <w:rPr>
          <w:rFonts w:cs="Arial"/>
          <w:szCs w:val="22"/>
        </w:rPr>
        <w:t xml:space="preserve"> </w:t>
      </w:r>
    </w:p>
    <w:p w14:paraId="34F8EB4D" w14:textId="77777777" w:rsidR="005A24B3" w:rsidRPr="000754FA" w:rsidRDefault="005A24B3" w:rsidP="005A24B3">
      <w:pPr>
        <w:rPr>
          <w:rFonts w:cs="Arial"/>
          <w:szCs w:val="22"/>
        </w:rPr>
      </w:pPr>
    </w:p>
    <w:p w14:paraId="4C67BCE4" w14:textId="77777777" w:rsidR="005A24B3" w:rsidRPr="000754FA" w:rsidRDefault="005A24B3" w:rsidP="005A24B3">
      <w:pPr>
        <w:rPr>
          <w:rFonts w:cs="Arial"/>
          <w:szCs w:val="22"/>
        </w:rPr>
        <w:sectPr w:rsidR="005A24B3" w:rsidRPr="000754FA" w:rsidSect="00AD7FDD">
          <w:headerReference w:type="default" r:id="rId9"/>
          <w:pgSz w:w="12240" w:h="15840"/>
          <w:pgMar w:top="1440" w:right="1440" w:bottom="1440" w:left="1440" w:header="720" w:footer="720" w:gutter="0"/>
          <w:cols w:space="720"/>
          <w:noEndnote/>
          <w:docGrid w:linePitch="286"/>
        </w:sectPr>
      </w:pPr>
    </w:p>
    <w:p w14:paraId="42C66174" w14:textId="77777777" w:rsidR="005A24B3" w:rsidRDefault="00B46DD4" w:rsidP="005A24B3">
      <w:pPr>
        <w:ind w:left="-720"/>
        <w:jc w:val="center"/>
        <w:rPr>
          <w:noProof/>
        </w:rPr>
        <w:sectPr w:rsidR="005A24B3" w:rsidSect="00AD7FDD">
          <w:pgSz w:w="12240" w:h="15840"/>
          <w:pgMar w:top="1440" w:right="1440" w:bottom="720" w:left="1440" w:header="720" w:footer="720" w:gutter="0"/>
          <w:cols w:space="720"/>
          <w:vAlign w:val="center"/>
          <w:docGrid w:linePitch="360"/>
        </w:sectPr>
      </w:pPr>
      <w:r w:rsidRPr="00B46DD4">
        <w:rPr>
          <w:noProof/>
        </w:rPr>
        <w:lastRenderedPageBreak/>
        <w:drawing>
          <wp:inline distT="0" distB="0" distL="0" distR="0" wp14:anchorId="685EF914" wp14:editId="1E865214">
            <wp:extent cx="6863859" cy="53062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1057" cy="5311855"/>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p w14:paraId="4F9564D3" w14:textId="77777777" w:rsidR="005A24B3" w:rsidRDefault="005A24B3" w:rsidP="005A24B3">
      <w:pPr>
        <w:ind w:left="-720"/>
        <w:jc w:val="center"/>
        <w:sectPr w:rsidR="005A24B3" w:rsidSect="00AD7FDD">
          <w:pgSz w:w="12240" w:h="15840"/>
          <w:pgMar w:top="1440" w:right="1440" w:bottom="720" w:left="1440" w:header="720" w:footer="720" w:gutter="0"/>
          <w:cols w:space="720"/>
          <w:vAlign w:val="center"/>
          <w:docGrid w:linePitch="360"/>
        </w:sectPr>
      </w:pPr>
      <w:r w:rsidRPr="00117877">
        <w:lastRenderedPageBreak/>
        <w:t xml:space="preserve"> </w:t>
      </w:r>
      <w:r w:rsidR="00B46DD4" w:rsidRPr="00B46DD4">
        <w:rPr>
          <w:noProof/>
        </w:rPr>
        <w:drawing>
          <wp:inline distT="0" distB="0" distL="0" distR="0" wp14:anchorId="22078CA1" wp14:editId="16AABB48">
            <wp:extent cx="6834628" cy="52785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9991" cy="5282724"/>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76C9945B" w14:textId="77777777" w:rsidTr="009338EB">
        <w:trPr>
          <w:jc w:val="center"/>
        </w:trPr>
        <w:tc>
          <w:tcPr>
            <w:tcW w:w="9576" w:type="dxa"/>
            <w:tcBorders>
              <w:top w:val="nil"/>
              <w:left w:val="nil"/>
              <w:bottom w:val="single" w:sz="24" w:space="0" w:color="3FB44F"/>
              <w:right w:val="nil"/>
            </w:tcBorders>
            <w:shd w:val="clear" w:color="auto" w:fill="1E4959"/>
          </w:tcPr>
          <w:p w14:paraId="3149C9A5" w14:textId="77777777" w:rsidR="005A24B3" w:rsidRPr="00601C8F" w:rsidRDefault="005A24B3" w:rsidP="009338EB">
            <w:pPr>
              <w:tabs>
                <w:tab w:val="left" w:pos="3960"/>
              </w:tabs>
              <w:spacing w:before="120" w:after="60" w:line="20" w:lineRule="atLeast"/>
              <w:jc w:val="center"/>
              <w:rPr>
                <w:rFonts w:cs="Arial"/>
                <w:b/>
                <w:smallCaps/>
                <w:color w:val="FFFFFF" w:themeColor="background1"/>
                <w:sz w:val="28"/>
                <w:szCs w:val="22"/>
              </w:rPr>
            </w:pPr>
            <w:r w:rsidRPr="00B46DD4">
              <w:rPr>
                <w:rFonts w:cs="Arial"/>
                <w:b/>
                <w:smallCaps/>
                <w:color w:val="FFFFFF" w:themeColor="background1"/>
                <w:sz w:val="28"/>
                <w:szCs w:val="22"/>
                <w:highlight w:val="magenta"/>
              </w:rPr>
              <w:lastRenderedPageBreak/>
              <w:t>Rent Comparable</w:t>
            </w:r>
            <w:r w:rsidRPr="009A2F0F">
              <w:rPr>
                <w:rFonts w:cs="Arial"/>
                <w:b/>
                <w:smallCaps/>
                <w:color w:val="FFFFFF" w:themeColor="background1"/>
                <w:sz w:val="28"/>
                <w:szCs w:val="22"/>
              </w:rPr>
              <w:t xml:space="preserve"> Location Map</w:t>
            </w:r>
          </w:p>
        </w:tc>
      </w:tr>
      <w:tr w:rsidR="005A24B3" w:rsidRPr="000754FA" w14:paraId="6AE6C26E" w14:textId="77777777" w:rsidTr="009338EB">
        <w:trPr>
          <w:trHeight w:hRule="exact" w:val="144"/>
          <w:jc w:val="center"/>
        </w:trPr>
        <w:tc>
          <w:tcPr>
            <w:tcW w:w="9576" w:type="dxa"/>
            <w:tcBorders>
              <w:top w:val="single" w:sz="24" w:space="0" w:color="3FB44F"/>
              <w:left w:val="nil"/>
              <w:bottom w:val="nil"/>
              <w:right w:val="nil"/>
            </w:tcBorders>
            <w:shd w:val="clear" w:color="auto" w:fill="auto"/>
          </w:tcPr>
          <w:p w14:paraId="2E4D69F6" w14:textId="77777777" w:rsidR="005A24B3" w:rsidRPr="00601C8F" w:rsidRDefault="005A24B3" w:rsidP="009338EB">
            <w:pPr>
              <w:tabs>
                <w:tab w:val="left" w:pos="3960"/>
              </w:tabs>
              <w:spacing w:before="120" w:line="20" w:lineRule="atLeast"/>
              <w:jc w:val="center"/>
              <w:rPr>
                <w:rFonts w:cs="Arial"/>
                <w:b/>
                <w:smallCaps/>
                <w:color w:val="FFFFFF" w:themeColor="background1"/>
                <w:sz w:val="28"/>
                <w:szCs w:val="22"/>
              </w:rPr>
            </w:pPr>
          </w:p>
        </w:tc>
      </w:tr>
      <w:tr w:rsidR="005A24B3" w:rsidRPr="000754FA" w14:paraId="5B97493F" w14:textId="77777777" w:rsidTr="009338EB">
        <w:trPr>
          <w:trHeight w:hRule="exact" w:val="11808"/>
          <w:jc w:val="center"/>
        </w:trPr>
        <w:tc>
          <w:tcPr>
            <w:tcW w:w="9576" w:type="dxa"/>
            <w:tcBorders>
              <w:top w:val="nil"/>
              <w:left w:val="nil"/>
              <w:bottom w:val="nil"/>
              <w:right w:val="nil"/>
            </w:tcBorders>
            <w:shd w:val="clear" w:color="auto" w:fill="auto"/>
            <w:vAlign w:val="center"/>
          </w:tcPr>
          <w:p w14:paraId="31BDDB6A" w14:textId="77777777" w:rsidR="005A24B3" w:rsidRPr="000754FA" w:rsidRDefault="005A24B3" w:rsidP="009338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2EDF74E0" wp14:editId="4D93864C">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5E1EAA0" w14:textId="77777777" w:rsidR="005A24B3" w:rsidRDefault="005A24B3" w:rsidP="005A24B3">
      <w:pPr>
        <w:jc w:val="left"/>
        <w:rPr>
          <w:rFonts w:ascii="Arial" w:hAnsi="Arial"/>
          <w:kern w:val="24"/>
          <w:sz w:val="24"/>
          <w:szCs w:val="20"/>
        </w:rPr>
        <w:sectPr w:rsidR="005A24B3" w:rsidSect="00AD7FDD">
          <w:pgSz w:w="12240" w:h="15840"/>
          <w:pgMar w:top="1080" w:right="1080" w:bottom="878" w:left="1080" w:header="720" w:footer="720" w:gutter="0"/>
          <w:cols w:space="720"/>
          <w:docGrid w:linePitch="360"/>
        </w:sectPr>
      </w:pPr>
    </w:p>
    <w:p w14:paraId="56F2D5D0" w14:textId="77777777" w:rsidR="005A24B3" w:rsidRDefault="00B46DD4" w:rsidP="005A24B3">
      <w:pPr>
        <w:rPr>
          <w:rFonts w:ascii="Calibri" w:hAnsi="Calibri" w:cs="Segoe UI"/>
        </w:rPr>
      </w:pPr>
      <w:r>
        <w:rPr>
          <w:rFonts w:ascii="Calibri" w:hAnsi="Calibri" w:cs="Segoe UI"/>
          <w:highlight w:val="yellow"/>
        </w:rPr>
        <w:lastRenderedPageBreak/>
        <w:t xml:space="preserve">Merge &amp; </w:t>
      </w:r>
      <w:r w:rsidRPr="00B46DD4">
        <w:rPr>
          <w:rFonts w:ascii="Calibri" w:hAnsi="Calibri" w:cs="Segoe UI"/>
          <w:highlight w:val="yellow"/>
        </w:rPr>
        <w:t>Insert Rent Comp Photos or Write-ups</w:t>
      </w:r>
    </w:p>
    <w:p w14:paraId="3D0176A9" w14:textId="77777777" w:rsidR="00B46DD4" w:rsidRDefault="00B46DD4" w:rsidP="005A24B3">
      <w:pPr>
        <w:rPr>
          <w:rFonts w:ascii="Calibri" w:hAnsi="Calibri" w:cs="Segoe UI"/>
        </w:rPr>
      </w:pPr>
    </w:p>
    <w:p w14:paraId="7C321306" w14:textId="77777777" w:rsidR="005A24B3" w:rsidRDefault="005A24B3" w:rsidP="005A24B3">
      <w:pPr>
        <w:rPr>
          <w:rFonts w:ascii="Calibri" w:hAnsi="Calibri" w:cs="Segoe UI"/>
        </w:rPr>
        <w:sectPr w:rsidR="005A24B3" w:rsidSect="00AD7FDD">
          <w:pgSz w:w="12240" w:h="15840"/>
          <w:pgMar w:top="1080" w:right="1440" w:bottom="1080" w:left="1440" w:header="720" w:footer="720" w:gutter="0"/>
          <w:paperSrc w:first="15" w:other="15"/>
          <w:cols w:space="720"/>
          <w:noEndnote/>
          <w:docGrid w:linePitch="360"/>
        </w:sectPr>
      </w:pPr>
    </w:p>
    <w:p w14:paraId="2810C105"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Comparable Rent Analysis</w:t>
      </w:r>
    </w:p>
    <w:p w14:paraId="25C9AFC4" w14:textId="77777777" w:rsidR="005A24B3" w:rsidRDefault="005A24B3" w:rsidP="005A24B3">
      <w:pPr>
        <w:widowControl w:val="0"/>
        <w:rPr>
          <w:rFonts w:cs="Arial"/>
          <w:szCs w:val="22"/>
        </w:rPr>
      </w:pPr>
      <w:r w:rsidRPr="004A610D">
        <w:rPr>
          <w:rFonts w:cs="Arial"/>
          <w:szCs w:val="22"/>
        </w:rPr>
        <w:t xml:space="preserve">Industrial lease rates in the area are typically segmented between rents for the building shell and a surcharge for the interior office build-out, which together, form a blended or effective rental rate. For ease of comparison, our analysis of the subject will be segmented between analyses of the </w:t>
      </w:r>
      <w:r w:rsidRPr="004A610D">
        <w:rPr>
          <w:rFonts w:cs="Arial"/>
          <w:szCs w:val="22"/>
          <w:u w:val="single"/>
        </w:rPr>
        <w:t>shell and office surcharge rent</w:t>
      </w:r>
      <w:r w:rsidRPr="004A610D">
        <w:rPr>
          <w:rFonts w:cs="Arial"/>
          <w:szCs w:val="22"/>
        </w:rPr>
        <w:t xml:space="preserve"> for each area. An analysis of the office build-out surcharge rent will follow the shell rent analysis.</w:t>
      </w:r>
    </w:p>
    <w:p w14:paraId="4568A89A" w14:textId="77777777" w:rsidR="005A24B3" w:rsidRPr="004E1CD2" w:rsidRDefault="005A24B3" w:rsidP="005A24B3">
      <w:pPr>
        <w:widowControl w:val="0"/>
        <w:rPr>
          <w:rFonts w:cs="Arial"/>
          <w:szCs w:val="22"/>
        </w:rPr>
      </w:pPr>
    </w:p>
    <w:p w14:paraId="5B18F0D6" w14:textId="77777777" w:rsidR="005A24B3" w:rsidRDefault="005A24B3" w:rsidP="005A24B3">
      <w:pPr>
        <w:widowControl w:val="0"/>
        <w:rPr>
          <w:rFonts w:cs="Arial"/>
          <w:szCs w:val="22"/>
        </w:rPr>
      </w:pPr>
      <w:r w:rsidRPr="00A617DD">
        <w:rPr>
          <w:rFonts w:cs="Arial"/>
          <w:szCs w:val="22"/>
        </w:rPr>
        <w:t xml:space="preserve">From our rental survey we selected leases of industrial building space most similar to the subject property.  The leases commenced between </w:t>
      </w:r>
      <w:r w:rsidR="00B46DD4" w:rsidRPr="00B46DD4">
        <w:rPr>
          <w:rFonts w:cs="Arial"/>
          <w:szCs w:val="22"/>
          <w:highlight w:val="yellow"/>
        </w:rPr>
        <w:t>_______</w:t>
      </w:r>
      <w:r w:rsidRPr="00B46DD4">
        <w:rPr>
          <w:rFonts w:cs="Arial"/>
          <w:szCs w:val="22"/>
          <w:highlight w:val="yellow"/>
        </w:rPr>
        <w:t xml:space="preserve"> 2018 and an </w:t>
      </w:r>
      <w:r w:rsidR="00B46DD4" w:rsidRPr="00B46DD4">
        <w:rPr>
          <w:rFonts w:cs="Arial"/>
          <w:szCs w:val="22"/>
          <w:highlight w:val="yellow"/>
        </w:rPr>
        <w:t>_____________</w:t>
      </w:r>
      <w:r w:rsidRPr="00B46DD4">
        <w:rPr>
          <w:rFonts w:cs="Arial"/>
          <w:szCs w:val="22"/>
          <w:highlight w:val="yellow"/>
        </w:rPr>
        <w:t xml:space="preserve"> 2020</w:t>
      </w:r>
      <w:r w:rsidRPr="00A617DD">
        <w:rPr>
          <w:rFonts w:cs="Arial"/>
          <w:szCs w:val="22"/>
        </w:rPr>
        <w:t xml:space="preserve">. The </w:t>
      </w:r>
      <w:proofErr w:type="spellStart"/>
      <w:r w:rsidRPr="00A617DD">
        <w:rPr>
          <w:rFonts w:cs="Arial"/>
          <w:szCs w:val="22"/>
        </w:rPr>
        <w:t>comparables</w:t>
      </w:r>
      <w:proofErr w:type="spellEnd"/>
      <w:r w:rsidRPr="00A617DD">
        <w:rPr>
          <w:rFonts w:cs="Arial"/>
          <w:szCs w:val="22"/>
        </w:rPr>
        <w:t xml:space="preserve"> provide a reasonable basis for concluding a market rent for the subject property. The leased space ranges from </w:t>
      </w:r>
      <w:r w:rsidR="00B46DD4" w:rsidRPr="00B46DD4">
        <w:rPr>
          <w:rFonts w:cs="Arial"/>
          <w:szCs w:val="22"/>
          <w:highlight w:val="yellow"/>
        </w:rPr>
        <w:t>___________</w:t>
      </w:r>
      <w:r w:rsidRPr="00B46DD4">
        <w:rPr>
          <w:rFonts w:cs="Arial"/>
          <w:szCs w:val="22"/>
          <w:highlight w:val="yellow"/>
        </w:rPr>
        <w:t xml:space="preserve"> SF to </w:t>
      </w:r>
      <w:r w:rsidR="00B46DD4" w:rsidRPr="00B46DD4">
        <w:rPr>
          <w:rFonts w:cs="Arial"/>
          <w:szCs w:val="22"/>
          <w:highlight w:val="yellow"/>
        </w:rPr>
        <w:t>___________</w:t>
      </w:r>
      <w:r w:rsidRPr="00B46DD4">
        <w:rPr>
          <w:rFonts w:cs="Arial"/>
          <w:szCs w:val="22"/>
          <w:highlight w:val="yellow"/>
        </w:rPr>
        <w:t xml:space="preserve"> SF</w:t>
      </w:r>
      <w:r w:rsidRPr="00A617DD">
        <w:rPr>
          <w:rFonts w:cs="Arial"/>
          <w:szCs w:val="22"/>
        </w:rPr>
        <w:t xml:space="preserve"> and have rental shell rates ranging from </w:t>
      </w:r>
      <w:r w:rsidRPr="00B46DD4">
        <w:rPr>
          <w:rFonts w:cs="Arial"/>
          <w:szCs w:val="22"/>
          <w:highlight w:val="yellow"/>
        </w:rPr>
        <w:t>$</w:t>
      </w:r>
      <w:r w:rsidR="00B46DD4" w:rsidRPr="00B46DD4">
        <w:rPr>
          <w:rFonts w:cs="Arial"/>
          <w:szCs w:val="22"/>
          <w:highlight w:val="yellow"/>
        </w:rPr>
        <w:t>_____</w:t>
      </w:r>
      <w:r w:rsidRPr="00B46DD4">
        <w:rPr>
          <w:rFonts w:cs="Arial"/>
          <w:szCs w:val="22"/>
          <w:highlight w:val="yellow"/>
        </w:rPr>
        <w:t xml:space="preserve"> to $</w:t>
      </w:r>
      <w:r w:rsidR="00B46DD4" w:rsidRPr="00B46DD4">
        <w:rPr>
          <w:rFonts w:cs="Arial"/>
          <w:szCs w:val="22"/>
          <w:highlight w:val="yellow"/>
        </w:rPr>
        <w:t>_____</w:t>
      </w:r>
      <w:r w:rsidRPr="00B46DD4">
        <w:rPr>
          <w:rFonts w:cs="Arial"/>
          <w:szCs w:val="22"/>
          <w:highlight w:val="yellow"/>
        </w:rPr>
        <w:t xml:space="preserve"> per SF NNN</w:t>
      </w:r>
      <w:r w:rsidRPr="00A617DD">
        <w:rPr>
          <w:rFonts w:cs="Arial"/>
          <w:szCs w:val="22"/>
        </w:rPr>
        <w:t xml:space="preserve"> with industrial building lease rates in the area typically quoted on a monthly rental rate basis.  The following analysis is presented</w:t>
      </w:r>
      <w:r w:rsidRPr="004E1CD2">
        <w:rPr>
          <w:rFonts w:cs="Arial"/>
          <w:szCs w:val="22"/>
        </w:rPr>
        <w:t>.</w:t>
      </w:r>
    </w:p>
    <w:p w14:paraId="66DC3A3A" w14:textId="77777777" w:rsidR="005A24B3" w:rsidRDefault="005A24B3" w:rsidP="005A24B3">
      <w:pPr>
        <w:widowControl w:val="0"/>
        <w:rPr>
          <w:rFonts w:cs="Arial"/>
          <w:szCs w:val="22"/>
        </w:rPr>
      </w:pPr>
    </w:p>
    <w:p w14:paraId="29B29FE8" w14:textId="77777777" w:rsidR="00B46DD4" w:rsidRDefault="00B46DD4" w:rsidP="00B46DD4">
      <w:pPr>
        <w:rPr>
          <w:rFonts w:ascii="Calibri" w:hAnsi="Calibri" w:cs="Segoe UI"/>
        </w:rPr>
      </w:pPr>
      <w:r>
        <w:rPr>
          <w:rFonts w:ascii="Calibri" w:hAnsi="Calibri" w:cs="Segoe UI"/>
          <w:highlight w:val="yellow"/>
        </w:rPr>
        <w:t xml:space="preserve">Merge &amp; </w:t>
      </w:r>
      <w:r w:rsidRPr="00B46DD4">
        <w:rPr>
          <w:rFonts w:ascii="Calibri" w:hAnsi="Calibri" w:cs="Segoe UI"/>
          <w:highlight w:val="yellow"/>
        </w:rPr>
        <w:t>Insert Rent Comp Data Analysis Output</w:t>
      </w:r>
    </w:p>
    <w:p w14:paraId="44AD6325" w14:textId="77777777" w:rsidR="00B46DD4" w:rsidRDefault="00B46DD4" w:rsidP="005A24B3">
      <w:pPr>
        <w:widowControl w:val="0"/>
        <w:rPr>
          <w:rFonts w:cs="Arial"/>
          <w:szCs w:val="22"/>
        </w:rPr>
      </w:pPr>
    </w:p>
    <w:p w14:paraId="4AC15071" w14:textId="77777777" w:rsidR="00B46DD4" w:rsidRDefault="00B46DD4" w:rsidP="005A24B3">
      <w:pPr>
        <w:widowControl w:val="0"/>
        <w:rPr>
          <w:rFonts w:cs="Arial"/>
          <w:szCs w:val="22"/>
        </w:rPr>
      </w:pPr>
    </w:p>
    <w:p w14:paraId="7537DC42" w14:textId="77777777" w:rsidR="005A24B3" w:rsidRPr="007D705F" w:rsidRDefault="005A24B3" w:rsidP="005A24B3">
      <w:pPr>
        <w:keepNext/>
        <w:keepLines/>
        <w:spacing w:before="260"/>
        <w:outlineLvl w:val="1"/>
        <w:rPr>
          <w:rFonts w:cs="Arial"/>
          <w:iCs/>
          <w:color w:val="1E4959"/>
          <w:sz w:val="28"/>
          <w:szCs w:val="22"/>
        </w:rPr>
      </w:pPr>
      <w:r w:rsidRPr="007D705F">
        <w:rPr>
          <w:rFonts w:cs="Arial"/>
          <w:iCs/>
          <w:color w:val="1E4959"/>
          <w:sz w:val="28"/>
          <w:szCs w:val="22"/>
        </w:rPr>
        <w:t>Additional Quantitative Analysis</w:t>
      </w:r>
    </w:p>
    <w:p w14:paraId="7B09CEAD" w14:textId="77777777" w:rsidR="005A24B3" w:rsidRDefault="005A24B3" w:rsidP="005A24B3">
      <w:pPr>
        <w:pStyle w:val="Footer"/>
        <w:rPr>
          <w:rFonts w:cs="Arial"/>
          <w:kern w:val="20"/>
          <w:szCs w:val="22"/>
        </w:rPr>
      </w:pPr>
      <w:r w:rsidRPr="007D705F">
        <w:rPr>
          <w:rFonts w:cs="Arial"/>
          <w:kern w:val="20"/>
          <w:szCs w:val="22"/>
        </w:rPr>
        <w:t xml:space="preserve">A comparable adjustment grid for the rents is provided as additional analysis in a preceding chart.  The </w:t>
      </w:r>
      <w:proofErr w:type="spellStart"/>
      <w:r w:rsidRPr="007D705F">
        <w:rPr>
          <w:rFonts w:cs="Arial"/>
          <w:kern w:val="20"/>
          <w:szCs w:val="22"/>
        </w:rPr>
        <w:t>comparables</w:t>
      </w:r>
      <w:proofErr w:type="spellEnd"/>
      <w:r w:rsidRPr="007D705F">
        <w:rPr>
          <w:rFonts w:cs="Arial"/>
          <w:kern w:val="20"/>
          <w:szCs w:val="22"/>
        </w:rPr>
        <w:t xml:space="preserve"> indicate an adjusted shell rental range of between </w:t>
      </w:r>
      <w:r w:rsidRPr="00B46DD4">
        <w:rPr>
          <w:rFonts w:cs="Arial"/>
          <w:kern w:val="20"/>
          <w:szCs w:val="22"/>
          <w:highlight w:val="yellow"/>
        </w:rPr>
        <w:t>$</w:t>
      </w:r>
      <w:r w:rsidR="00B46DD4">
        <w:rPr>
          <w:rFonts w:cs="Arial"/>
          <w:kern w:val="20"/>
          <w:szCs w:val="22"/>
          <w:highlight w:val="yellow"/>
        </w:rPr>
        <w:t>0.</w:t>
      </w:r>
      <w:r w:rsidR="00B46DD4" w:rsidRPr="00B46DD4">
        <w:rPr>
          <w:rFonts w:cs="Arial"/>
          <w:kern w:val="20"/>
          <w:szCs w:val="22"/>
          <w:highlight w:val="yellow"/>
        </w:rPr>
        <w:t>_____</w:t>
      </w:r>
      <w:r w:rsidRPr="00B46DD4">
        <w:rPr>
          <w:rFonts w:cs="Arial"/>
          <w:kern w:val="20"/>
          <w:szCs w:val="22"/>
          <w:highlight w:val="yellow"/>
        </w:rPr>
        <w:t xml:space="preserve"> and $</w:t>
      </w:r>
      <w:r w:rsidR="00B46DD4">
        <w:rPr>
          <w:rFonts w:cs="Arial"/>
          <w:kern w:val="20"/>
          <w:szCs w:val="22"/>
          <w:highlight w:val="yellow"/>
        </w:rPr>
        <w:t>0.</w:t>
      </w:r>
      <w:r w:rsidR="00B46DD4" w:rsidRPr="00B46DD4">
        <w:rPr>
          <w:rFonts w:cs="Arial"/>
          <w:kern w:val="20"/>
          <w:szCs w:val="22"/>
          <w:highlight w:val="yellow"/>
        </w:rPr>
        <w:t xml:space="preserve">_____ </w:t>
      </w:r>
      <w:r w:rsidRPr="00B46DD4">
        <w:rPr>
          <w:rFonts w:cs="Arial"/>
          <w:kern w:val="20"/>
          <w:szCs w:val="22"/>
          <w:highlight w:val="yellow"/>
        </w:rPr>
        <w:t>per SF</w:t>
      </w:r>
      <w:r w:rsidRPr="007D705F">
        <w:rPr>
          <w:rFonts w:cs="Arial"/>
          <w:kern w:val="20"/>
          <w:szCs w:val="22"/>
        </w:rPr>
        <w:t xml:space="preserve"> GLA with an average shell rent of </w:t>
      </w:r>
      <w:r w:rsidRPr="00B46DD4">
        <w:rPr>
          <w:rFonts w:cs="Arial"/>
          <w:kern w:val="20"/>
          <w:szCs w:val="22"/>
          <w:highlight w:val="yellow"/>
        </w:rPr>
        <w:t>$</w:t>
      </w:r>
      <w:r w:rsidR="00B46DD4">
        <w:rPr>
          <w:rFonts w:cs="Arial"/>
          <w:kern w:val="20"/>
          <w:szCs w:val="22"/>
          <w:highlight w:val="yellow"/>
        </w:rPr>
        <w:t>0.</w:t>
      </w:r>
      <w:r w:rsidR="00B46DD4" w:rsidRPr="00B46DD4">
        <w:rPr>
          <w:rFonts w:cs="Arial"/>
          <w:kern w:val="20"/>
          <w:szCs w:val="22"/>
          <w:highlight w:val="yellow"/>
        </w:rPr>
        <w:t>_____</w:t>
      </w:r>
      <w:r w:rsidRPr="00B46DD4">
        <w:rPr>
          <w:rFonts w:cs="Arial"/>
          <w:kern w:val="20"/>
          <w:szCs w:val="22"/>
          <w:highlight w:val="yellow"/>
        </w:rPr>
        <w:t xml:space="preserve"> per SF</w:t>
      </w:r>
      <w:r w:rsidRPr="007D705F">
        <w:rPr>
          <w:rFonts w:cs="Arial"/>
          <w:kern w:val="20"/>
          <w:szCs w:val="22"/>
        </w:rPr>
        <w:t xml:space="preserve"> and median shell rent of </w:t>
      </w:r>
      <w:r w:rsidRPr="00B46DD4">
        <w:rPr>
          <w:rFonts w:cs="Arial"/>
          <w:kern w:val="20"/>
          <w:szCs w:val="22"/>
          <w:highlight w:val="yellow"/>
        </w:rPr>
        <w:t>$0</w:t>
      </w:r>
      <w:r w:rsidR="00B46DD4">
        <w:rPr>
          <w:rFonts w:cs="Arial"/>
          <w:kern w:val="20"/>
          <w:szCs w:val="22"/>
          <w:highlight w:val="yellow"/>
        </w:rPr>
        <w:t>.</w:t>
      </w:r>
      <w:r w:rsidR="00B46DD4" w:rsidRPr="00B46DD4">
        <w:rPr>
          <w:rFonts w:cs="Arial"/>
          <w:kern w:val="20"/>
          <w:szCs w:val="22"/>
          <w:highlight w:val="yellow"/>
        </w:rPr>
        <w:t>_____</w:t>
      </w:r>
      <w:r w:rsidRPr="00B46DD4">
        <w:rPr>
          <w:rFonts w:cs="Arial"/>
          <w:kern w:val="20"/>
          <w:szCs w:val="22"/>
          <w:highlight w:val="yellow"/>
        </w:rPr>
        <w:t>per SF</w:t>
      </w:r>
      <w:r w:rsidRPr="007D705F">
        <w:rPr>
          <w:rFonts w:cs="Arial"/>
          <w:kern w:val="20"/>
          <w:szCs w:val="22"/>
        </w:rPr>
        <w:t xml:space="preserve">.  Note that a </w:t>
      </w:r>
      <w:r w:rsidRPr="00B46DD4">
        <w:rPr>
          <w:rFonts w:cs="Arial"/>
          <w:kern w:val="20"/>
          <w:szCs w:val="22"/>
          <w:highlight w:val="yellow"/>
        </w:rPr>
        <w:t>3.0%</w:t>
      </w:r>
      <w:r w:rsidRPr="007D705F">
        <w:rPr>
          <w:rFonts w:cs="Arial"/>
          <w:kern w:val="20"/>
          <w:szCs w:val="22"/>
        </w:rPr>
        <w:t xml:space="preserve"> per year market conditions adjustment was applied in this analysis. The adjusted rental range provides additional</w:t>
      </w:r>
      <w:r w:rsidRPr="00786EDC">
        <w:rPr>
          <w:rFonts w:cs="Arial"/>
          <w:kern w:val="20"/>
          <w:szCs w:val="22"/>
        </w:rPr>
        <w:t xml:space="preserve"> support for the following final </w:t>
      </w:r>
      <w:r>
        <w:rPr>
          <w:rFonts w:cs="Arial"/>
          <w:kern w:val="20"/>
          <w:szCs w:val="22"/>
        </w:rPr>
        <w:t xml:space="preserve">market shell rent </w:t>
      </w:r>
      <w:r w:rsidRPr="00786EDC">
        <w:rPr>
          <w:rFonts w:cs="Arial"/>
          <w:kern w:val="20"/>
          <w:szCs w:val="22"/>
        </w:rPr>
        <w:t>conclusion.</w:t>
      </w:r>
      <w:r>
        <w:rPr>
          <w:rFonts w:cs="Arial"/>
          <w:kern w:val="20"/>
          <w:szCs w:val="22"/>
        </w:rPr>
        <w:t xml:space="preserve">  </w:t>
      </w:r>
    </w:p>
    <w:p w14:paraId="424AC90B" w14:textId="77777777" w:rsidR="005A24B3" w:rsidRPr="00430A18" w:rsidRDefault="005A24B3" w:rsidP="005A24B3">
      <w:pPr>
        <w:pStyle w:val="Heading20"/>
        <w:rPr>
          <w:rFonts w:asciiTheme="minorHAnsi" w:hAnsiTheme="minorHAnsi" w:cs="Arial"/>
          <w:b w:val="0"/>
          <w:color w:val="1E4959"/>
          <w:spacing w:val="0"/>
          <w:kern w:val="20"/>
          <w:sz w:val="24"/>
          <w:szCs w:val="20"/>
          <w:u w:val="single"/>
        </w:rPr>
      </w:pPr>
      <w:r w:rsidRPr="00430A18">
        <w:rPr>
          <w:rFonts w:asciiTheme="minorHAnsi" w:hAnsiTheme="minorHAnsi" w:cs="Arial"/>
          <w:b w:val="0"/>
          <w:color w:val="1E4959"/>
          <w:spacing w:val="0"/>
          <w:kern w:val="20"/>
          <w:sz w:val="24"/>
          <w:szCs w:val="20"/>
          <w:u w:val="single"/>
        </w:rPr>
        <w:t>Subject Leasing Activity</w:t>
      </w:r>
    </w:p>
    <w:p w14:paraId="4A0F9120" w14:textId="77777777" w:rsidR="00B46DD4" w:rsidRDefault="00B46DD4" w:rsidP="005A24B3">
      <w:r>
        <w:t>None.</w:t>
      </w:r>
    </w:p>
    <w:p w14:paraId="523F4234" w14:textId="77777777" w:rsidR="00B46DD4" w:rsidRDefault="00B46DD4" w:rsidP="005A24B3"/>
    <w:p w14:paraId="5FDBACF7" w14:textId="77777777" w:rsidR="00B46DD4" w:rsidRDefault="00B46DD4" w:rsidP="005A24B3">
      <w:r w:rsidRPr="00B46DD4">
        <w:rPr>
          <w:highlight w:val="yellow"/>
        </w:rPr>
        <w:t>Or here is an example:</w:t>
      </w:r>
    </w:p>
    <w:p w14:paraId="0987650A" w14:textId="77777777" w:rsidR="00B46DD4" w:rsidRDefault="00B46DD4" w:rsidP="005A24B3"/>
    <w:p w14:paraId="2A3BD3ED" w14:textId="77777777" w:rsidR="005A24B3" w:rsidRDefault="005A24B3" w:rsidP="005A24B3">
      <w:r w:rsidRPr="00594C77">
        <w:t xml:space="preserve">As indicated, the subject property is encumbered by a 5-year lease extension to </w:t>
      </w:r>
      <w:r w:rsidRPr="00594C77">
        <w:rPr>
          <w:rFonts w:cs="Arial"/>
          <w:szCs w:val="22"/>
        </w:rPr>
        <w:t>Carl Zeiss Vision, Inc.</w:t>
      </w:r>
      <w:r w:rsidRPr="00594C77">
        <w:t xml:space="preserve"> which began April 1, 2016 (2 Years / 9 months remaining, as of July 1, 2019 – no options to extend).  A tenant rent roll is provided below, while copies of the lease &amp; 2nd amendment</w:t>
      </w:r>
      <w:r>
        <w:t xml:space="preserve"> to lease are contained in the Addenda of this report.  </w:t>
      </w:r>
      <w:r w:rsidRPr="00C30103">
        <w:t>This is a triple net lease with a current contract rent payable monthly as follows:  Year 1 - $11,826.46 per month ($0.597 per SF; blended), which then escalates annually by a fixed rate of +3.0% per year. The current contract rent is $12,</w:t>
      </w:r>
      <w:r w:rsidRPr="009A2F0F">
        <w:t>923.09 ($0.653 per SF, blended), with then escalates to $13,310.78 per month ($0.672 per SF, blended) for final Year 5.  The average rent over the next 12-month period equates to $0.658 per SF, blended.  Note that applying a</w:t>
      </w:r>
      <w:r>
        <w:t xml:space="preserve"> market</w:t>
      </w:r>
      <w:r w:rsidRPr="009A2F0F">
        <w:t xml:space="preserve"> office surcharge of $0.800 per SF to the office portion infers a current contract shell rate of $0.378</w:t>
      </w:r>
      <w:r>
        <w:t xml:space="preserve"> per SF, which is below our concluded market rent of $0.520 per SF.</w:t>
      </w:r>
    </w:p>
    <w:p w14:paraId="543DF3C7" w14:textId="77777777" w:rsidR="005A24B3" w:rsidRDefault="005A24B3" w:rsidP="005A24B3"/>
    <w:p w14:paraId="67BDFA79" w14:textId="77777777" w:rsidR="005A24B3" w:rsidRDefault="005A24B3" w:rsidP="005A24B3">
      <w:pPr>
        <w:ind w:left="-720"/>
        <w:rPr>
          <w:rFonts w:cs="Arial"/>
          <w:szCs w:val="22"/>
        </w:rPr>
      </w:pPr>
      <w:r w:rsidRPr="00022695">
        <w:rPr>
          <w:noProof/>
        </w:rPr>
        <w:lastRenderedPageBreak/>
        <w:drawing>
          <wp:inline distT="0" distB="0" distL="0" distR="0" wp14:anchorId="2F93F20B" wp14:editId="59B96111">
            <wp:extent cx="6758940" cy="2304972"/>
            <wp:effectExtent l="0" t="0" r="3810" b="63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6772620" cy="2309637"/>
                    </a:xfrm>
                    <a:prstGeom prst="rect">
                      <a:avLst/>
                    </a:prstGeom>
                    <a:noFill/>
                    <a:ln>
                      <a:noFill/>
                    </a:ln>
                  </pic:spPr>
                </pic:pic>
              </a:graphicData>
            </a:graphic>
          </wp:inline>
        </w:drawing>
      </w:r>
    </w:p>
    <w:p w14:paraId="7E3EE459" w14:textId="77777777" w:rsidR="005A24B3" w:rsidRDefault="005A24B3" w:rsidP="005A24B3">
      <w:pPr>
        <w:widowControl w:val="0"/>
        <w:tabs>
          <w:tab w:val="left" w:pos="3744"/>
        </w:tabs>
      </w:pPr>
    </w:p>
    <w:p w14:paraId="4DCB15DB" w14:textId="77777777" w:rsidR="005A24B3" w:rsidRPr="00FF1F4B" w:rsidRDefault="005A24B3" w:rsidP="005A24B3">
      <w:pPr>
        <w:widowControl w:val="0"/>
        <w:tabs>
          <w:tab w:val="left" w:pos="3744"/>
        </w:tabs>
        <w:rPr>
          <w:rFonts w:cs="Segoe UI"/>
        </w:rPr>
      </w:pPr>
      <w:r>
        <w:t>Based on the preceding,</w:t>
      </w:r>
      <w:r w:rsidRPr="0061766B">
        <w:t xml:space="preserve"> the tenant’s contract rent is considered </w:t>
      </w:r>
      <w:r w:rsidRPr="00B46DD4">
        <w:rPr>
          <w:highlight w:val="yellow"/>
        </w:rPr>
        <w:t>below market</w:t>
      </w:r>
      <w:r w:rsidRPr="0061766B">
        <w:t xml:space="preserve"> with a modest measurable </w:t>
      </w:r>
      <w:r w:rsidRPr="00B46DD4">
        <w:rPr>
          <w:highlight w:val="yellow"/>
        </w:rPr>
        <w:t>positive</w:t>
      </w:r>
      <w:r w:rsidRPr="0061766B">
        <w:t xml:space="preserve"> leasehold interest noted. Therefore, the </w:t>
      </w:r>
      <w:r w:rsidRPr="0061766B">
        <w:rPr>
          <w:rFonts w:ascii="Calibri" w:hAnsi="Calibri" w:cs="Calibri"/>
          <w:szCs w:val="22"/>
        </w:rPr>
        <w:t xml:space="preserve">value of fee simple interest is </w:t>
      </w:r>
      <w:r w:rsidRPr="00B46DD4">
        <w:rPr>
          <w:rFonts w:ascii="Calibri" w:hAnsi="Calibri" w:cs="Calibri"/>
          <w:szCs w:val="22"/>
          <w:highlight w:val="yellow"/>
        </w:rPr>
        <w:t>slightly greater</w:t>
      </w:r>
      <w:r w:rsidRPr="0061766B">
        <w:rPr>
          <w:rFonts w:ascii="Calibri" w:hAnsi="Calibri" w:cs="Calibri"/>
          <w:szCs w:val="22"/>
        </w:rPr>
        <w:t xml:space="preserve"> than the leased fee interest.</w:t>
      </w:r>
    </w:p>
    <w:p w14:paraId="03123F37" w14:textId="77777777" w:rsidR="005A24B3" w:rsidRPr="002B71DD" w:rsidRDefault="005A24B3" w:rsidP="005A24B3">
      <w:pPr>
        <w:spacing w:before="240"/>
        <w:rPr>
          <w:rFonts w:cs="Arial"/>
          <w:color w:val="1E4959"/>
          <w:sz w:val="28"/>
          <w:szCs w:val="22"/>
        </w:rPr>
      </w:pPr>
      <w:r w:rsidRPr="002B71DD">
        <w:rPr>
          <w:rFonts w:cs="Arial"/>
          <w:color w:val="1E4959"/>
          <w:sz w:val="28"/>
          <w:szCs w:val="22"/>
        </w:rPr>
        <w:t>Market Rent Conclusion</w:t>
      </w:r>
    </w:p>
    <w:p w14:paraId="6E0FCD7C" w14:textId="77777777" w:rsidR="005A24B3" w:rsidRPr="00FF1F4B" w:rsidRDefault="005A24B3" w:rsidP="005A24B3">
      <w:pPr>
        <w:tabs>
          <w:tab w:val="left" w:pos="0"/>
          <w:tab w:val="left" w:pos="259"/>
          <w:tab w:val="left" w:pos="3600"/>
          <w:tab w:val="left" w:pos="6283"/>
        </w:tabs>
        <w:rPr>
          <w:rFonts w:cs="Segoe UI"/>
        </w:rPr>
      </w:pPr>
      <w:r w:rsidRPr="008324E9">
        <w:rPr>
          <w:rFonts w:cs="Segoe UI"/>
        </w:rPr>
        <w:t xml:space="preserve">The rent </w:t>
      </w:r>
      <w:proofErr w:type="spellStart"/>
      <w:r w:rsidRPr="008324E9">
        <w:rPr>
          <w:rFonts w:cs="Segoe UI"/>
        </w:rPr>
        <w:t>comparables</w:t>
      </w:r>
      <w:proofErr w:type="spellEnd"/>
      <w:r w:rsidRPr="008324E9">
        <w:rPr>
          <w:rFonts w:cs="Segoe UI"/>
        </w:rPr>
        <w:t xml:space="preserve"> provide a range of </w:t>
      </w:r>
      <w:r>
        <w:rPr>
          <w:rFonts w:cs="Segoe UI"/>
          <w:b/>
        </w:rPr>
        <w:t>market s</w:t>
      </w:r>
      <w:r w:rsidRPr="008324E9">
        <w:rPr>
          <w:rFonts w:cs="Segoe UI"/>
          <w:b/>
        </w:rPr>
        <w:t>hell rate</w:t>
      </w:r>
      <w:r w:rsidRPr="008324E9">
        <w:rPr>
          <w:rFonts w:cs="Segoe UI"/>
        </w:rPr>
        <w:t xml:space="preserve"> indicators from </w:t>
      </w:r>
      <w:r w:rsidRPr="00B46DD4">
        <w:rPr>
          <w:rFonts w:cs="Segoe UI"/>
          <w:kern w:val="24"/>
          <w:highlight w:val="yellow"/>
        </w:rPr>
        <w:t>$0.</w:t>
      </w:r>
      <w:r w:rsidR="00B46DD4" w:rsidRPr="00B46DD4">
        <w:rPr>
          <w:rFonts w:cs="Segoe UI"/>
          <w:kern w:val="24"/>
          <w:highlight w:val="yellow"/>
        </w:rPr>
        <w:t>____</w:t>
      </w:r>
      <w:r w:rsidRPr="00B46DD4">
        <w:rPr>
          <w:rFonts w:cs="Segoe UI"/>
          <w:kern w:val="24"/>
          <w:highlight w:val="yellow"/>
        </w:rPr>
        <w:t xml:space="preserve"> to $0.</w:t>
      </w:r>
      <w:r w:rsidR="00B46DD4" w:rsidRPr="00B46DD4">
        <w:rPr>
          <w:rFonts w:cs="Segoe UI"/>
          <w:kern w:val="24"/>
          <w:highlight w:val="yellow"/>
        </w:rPr>
        <w:t>____</w:t>
      </w:r>
      <w:r w:rsidRPr="00B46DD4">
        <w:rPr>
          <w:rFonts w:cs="Segoe UI"/>
          <w:kern w:val="24"/>
          <w:highlight w:val="yellow"/>
        </w:rPr>
        <w:t xml:space="preserve"> </w:t>
      </w:r>
      <w:r w:rsidRPr="00B46DD4">
        <w:rPr>
          <w:rFonts w:cs="Segoe UI"/>
          <w:highlight w:val="yellow"/>
        </w:rPr>
        <w:t>per SF</w:t>
      </w:r>
      <w:r w:rsidRPr="008324E9">
        <w:rPr>
          <w:rFonts w:cs="Segoe UI"/>
        </w:rPr>
        <w:t xml:space="preserve"> per month NNN</w:t>
      </w:r>
      <w:r>
        <w:rPr>
          <w:rFonts w:cs="Segoe UI"/>
        </w:rPr>
        <w:t xml:space="preserve">.  </w:t>
      </w:r>
      <w:r w:rsidR="00B46DD4" w:rsidRPr="00B46DD4">
        <w:rPr>
          <w:rFonts w:cs="Segoe UI"/>
          <w:highlight w:val="yellow"/>
        </w:rPr>
        <w:t>Based on the following reasoning _________________</w:t>
      </w:r>
      <w:r w:rsidRPr="00B46DD4">
        <w:rPr>
          <w:rFonts w:cs="Segoe UI"/>
          <w:highlight w:val="yellow"/>
        </w:rPr>
        <w:t>,</w:t>
      </w:r>
      <w:r>
        <w:rPr>
          <w:rFonts w:cs="Segoe UI"/>
        </w:rPr>
        <w:t xml:space="preserve"> </w:t>
      </w:r>
      <w:r w:rsidRPr="00BB15EC">
        <w:rPr>
          <w:rFonts w:cs="Segoe UI"/>
        </w:rPr>
        <w:t xml:space="preserve">it is the appraiser’s opinion that the </w:t>
      </w:r>
      <w:proofErr w:type="spellStart"/>
      <w:r w:rsidRPr="00BB15EC">
        <w:rPr>
          <w:rFonts w:cs="Segoe UI"/>
        </w:rPr>
        <w:t>comparables</w:t>
      </w:r>
      <w:proofErr w:type="spellEnd"/>
      <w:r w:rsidRPr="00BB15EC">
        <w:rPr>
          <w:rFonts w:cs="Segoe UI"/>
        </w:rPr>
        <w:t xml:space="preserve"> provide support </w:t>
      </w:r>
      <w:r w:rsidRPr="000A0706">
        <w:rPr>
          <w:rFonts w:cs="Segoe UI"/>
        </w:rPr>
        <w:t xml:space="preserve">for a </w:t>
      </w:r>
      <w:r w:rsidRPr="000A0706">
        <w:rPr>
          <w:rFonts w:cs="Segoe UI"/>
          <w:u w:val="single"/>
        </w:rPr>
        <w:t>shell rate</w:t>
      </w:r>
      <w:r w:rsidRPr="000A0706">
        <w:rPr>
          <w:rFonts w:cs="Segoe UI"/>
        </w:rPr>
        <w:t xml:space="preserve"> of </w:t>
      </w:r>
      <w:r w:rsidRPr="00B46DD4">
        <w:rPr>
          <w:rFonts w:cs="Segoe UI"/>
          <w:b/>
          <w:highlight w:val="yellow"/>
        </w:rPr>
        <w:t>$0.</w:t>
      </w:r>
      <w:r w:rsidR="00B46DD4" w:rsidRPr="00B46DD4">
        <w:rPr>
          <w:rFonts w:cs="Segoe UI"/>
          <w:b/>
          <w:highlight w:val="yellow"/>
        </w:rPr>
        <w:t>______</w:t>
      </w:r>
      <w:r w:rsidRPr="00B46DD4">
        <w:rPr>
          <w:rFonts w:cs="Segoe UI"/>
          <w:b/>
          <w:highlight w:val="yellow"/>
        </w:rPr>
        <w:t xml:space="preserve"> per SF</w:t>
      </w:r>
      <w:r w:rsidRPr="000A0706">
        <w:rPr>
          <w:rFonts w:cs="Segoe UI"/>
        </w:rPr>
        <w:t xml:space="preserve">.  The rate is well supported </w:t>
      </w:r>
      <w:r>
        <w:rPr>
          <w:rFonts w:cs="Segoe UI"/>
        </w:rPr>
        <w:t>just above</w:t>
      </w:r>
      <w:r w:rsidRPr="000A0706">
        <w:rPr>
          <w:rFonts w:cs="Segoe UI"/>
        </w:rPr>
        <w:t xml:space="preserve"> the average adjusted shell rental rate of </w:t>
      </w:r>
      <w:r w:rsidRPr="00B46DD4">
        <w:rPr>
          <w:rFonts w:cs="Segoe UI"/>
          <w:highlight w:val="yellow"/>
        </w:rPr>
        <w:t>$0.</w:t>
      </w:r>
      <w:r w:rsidR="00B46DD4" w:rsidRPr="00B46DD4">
        <w:rPr>
          <w:rFonts w:cs="Segoe UI"/>
          <w:highlight w:val="yellow"/>
        </w:rPr>
        <w:t>____</w:t>
      </w:r>
      <w:r w:rsidRPr="00B46DD4">
        <w:rPr>
          <w:rFonts w:cs="Segoe UI"/>
          <w:highlight w:val="yellow"/>
        </w:rPr>
        <w:t xml:space="preserve"> per SF</w:t>
      </w:r>
      <w:r w:rsidRPr="000A0706">
        <w:rPr>
          <w:rFonts w:cs="Segoe UI"/>
        </w:rPr>
        <w:t xml:space="preserve"> and median of </w:t>
      </w:r>
      <w:r w:rsidRPr="00B46DD4">
        <w:rPr>
          <w:rFonts w:cs="Segoe UI"/>
          <w:highlight w:val="yellow"/>
        </w:rPr>
        <w:t>$0.</w:t>
      </w:r>
      <w:r w:rsidR="00B46DD4" w:rsidRPr="00B46DD4">
        <w:rPr>
          <w:rFonts w:cs="Segoe UI"/>
          <w:highlight w:val="yellow"/>
        </w:rPr>
        <w:t>_____</w:t>
      </w:r>
      <w:r w:rsidRPr="00B46DD4">
        <w:rPr>
          <w:rFonts w:cs="Segoe UI"/>
          <w:highlight w:val="yellow"/>
        </w:rPr>
        <w:t xml:space="preserve"> per SF</w:t>
      </w:r>
      <w:r w:rsidRPr="000A0706">
        <w:rPr>
          <w:rFonts w:cs="Segoe UI"/>
        </w:rPr>
        <w:t>.</w:t>
      </w:r>
      <w:r w:rsidRPr="00FF1F4B">
        <w:rPr>
          <w:rFonts w:cs="Segoe UI"/>
        </w:rPr>
        <w:t xml:space="preserve">  </w:t>
      </w:r>
    </w:p>
    <w:p w14:paraId="6F4B0A34" w14:textId="77777777" w:rsidR="005A24B3" w:rsidRPr="00FF1F4B" w:rsidRDefault="005A24B3" w:rsidP="005A24B3">
      <w:pPr>
        <w:tabs>
          <w:tab w:val="left" w:pos="0"/>
          <w:tab w:val="left" w:pos="259"/>
          <w:tab w:val="left" w:pos="3600"/>
          <w:tab w:val="left" w:pos="6283"/>
        </w:tabs>
        <w:rPr>
          <w:rFonts w:cs="Segoe UI"/>
        </w:rPr>
      </w:pPr>
    </w:p>
    <w:p w14:paraId="2CD35CE9" w14:textId="77777777" w:rsidR="005A24B3" w:rsidRPr="00FF1F4B" w:rsidRDefault="005A24B3" w:rsidP="005A24B3">
      <w:pPr>
        <w:widowControl w:val="0"/>
        <w:tabs>
          <w:tab w:val="left" w:pos="3744"/>
        </w:tabs>
        <w:rPr>
          <w:rFonts w:cs="Segoe UI"/>
        </w:rPr>
      </w:pPr>
      <w:r w:rsidRPr="00FF1F4B">
        <w:rPr>
          <w:rFonts w:cs="Segoe UI"/>
        </w:rPr>
        <w:t xml:space="preserve">Regarding the </w:t>
      </w:r>
      <w:r w:rsidRPr="00FF1F4B">
        <w:rPr>
          <w:rFonts w:cs="Segoe UI"/>
          <w:b/>
        </w:rPr>
        <w:t>office build-out</w:t>
      </w:r>
      <w:r w:rsidRPr="00FF1F4B">
        <w:rPr>
          <w:rFonts w:cs="Segoe UI"/>
        </w:rPr>
        <w:t xml:space="preserve"> premium, the subject has office space that is well maintained and in average condition.  The </w:t>
      </w:r>
      <w:proofErr w:type="spellStart"/>
      <w:r w:rsidRPr="00FF1F4B">
        <w:rPr>
          <w:rFonts w:cs="Segoe UI"/>
        </w:rPr>
        <w:t>comparables</w:t>
      </w:r>
      <w:proofErr w:type="spellEnd"/>
      <w:r w:rsidRPr="00FF1F4B">
        <w:rPr>
          <w:rFonts w:cs="Segoe UI"/>
        </w:rPr>
        <w:t xml:space="preserve"> indicate </w:t>
      </w:r>
      <w:r>
        <w:rPr>
          <w:rFonts w:cs="Segoe UI"/>
        </w:rPr>
        <w:t xml:space="preserve">an </w:t>
      </w:r>
      <w:r w:rsidRPr="00FF1F4B">
        <w:rPr>
          <w:rFonts w:cs="Segoe UI"/>
        </w:rPr>
        <w:t xml:space="preserve">office of surcharges from </w:t>
      </w:r>
      <w:r w:rsidRPr="00B46DD4">
        <w:rPr>
          <w:rFonts w:cs="Segoe UI"/>
          <w:highlight w:val="yellow"/>
        </w:rPr>
        <w:t>$0.</w:t>
      </w:r>
      <w:r w:rsidR="00B46DD4" w:rsidRPr="00B46DD4">
        <w:rPr>
          <w:rFonts w:cs="Segoe UI"/>
          <w:highlight w:val="yellow"/>
        </w:rPr>
        <w:t>____</w:t>
      </w:r>
      <w:r w:rsidRPr="00B46DD4">
        <w:rPr>
          <w:rFonts w:cs="Segoe UI"/>
          <w:highlight w:val="yellow"/>
        </w:rPr>
        <w:t xml:space="preserve"> to $0.</w:t>
      </w:r>
      <w:r w:rsidR="00B46DD4" w:rsidRPr="00B46DD4">
        <w:rPr>
          <w:rFonts w:cs="Segoe UI"/>
          <w:highlight w:val="yellow"/>
        </w:rPr>
        <w:t>____</w:t>
      </w:r>
      <w:r w:rsidRPr="00B46DD4">
        <w:rPr>
          <w:rFonts w:cs="Segoe UI"/>
          <w:highlight w:val="yellow"/>
        </w:rPr>
        <w:t xml:space="preserve"> per SF</w:t>
      </w:r>
      <w:r w:rsidRPr="00FF1F4B">
        <w:rPr>
          <w:rFonts w:cs="Segoe UI"/>
        </w:rPr>
        <w:t xml:space="preserve">. </w:t>
      </w:r>
      <w:r>
        <w:rPr>
          <w:rFonts w:cs="Segoe UI"/>
        </w:rPr>
        <w:t xml:space="preserve"> Given the higher than typical percentage of office build-out ratio of </w:t>
      </w:r>
      <w:r w:rsidR="00B46DD4" w:rsidRPr="00B46DD4">
        <w:rPr>
          <w:rFonts w:cs="Segoe UI"/>
          <w:highlight w:val="yellow"/>
        </w:rPr>
        <w:t>____</w:t>
      </w:r>
      <w:r w:rsidRPr="00B46DD4">
        <w:rPr>
          <w:rFonts w:cs="Segoe UI"/>
          <w:highlight w:val="yellow"/>
        </w:rPr>
        <w:t>%</w:t>
      </w:r>
      <w:r>
        <w:rPr>
          <w:rFonts w:cs="Segoe UI"/>
        </w:rPr>
        <w:t xml:space="preserve"> and generally average quality, a mid-range </w:t>
      </w:r>
      <w:r w:rsidRPr="007A2688">
        <w:rPr>
          <w:rFonts w:cs="Segoe UI"/>
          <w:b/>
        </w:rPr>
        <w:t>market office surcharge</w:t>
      </w:r>
      <w:r>
        <w:rPr>
          <w:rFonts w:cs="Segoe UI"/>
        </w:rPr>
        <w:t xml:space="preserve"> of </w:t>
      </w:r>
      <w:r w:rsidRPr="00B46DD4">
        <w:rPr>
          <w:rFonts w:cs="Segoe UI"/>
          <w:b/>
          <w:highlight w:val="yellow"/>
        </w:rPr>
        <w:t>$0.</w:t>
      </w:r>
      <w:r w:rsidR="00B46DD4" w:rsidRPr="00B46DD4">
        <w:rPr>
          <w:rFonts w:cs="Segoe UI"/>
          <w:b/>
          <w:highlight w:val="yellow"/>
        </w:rPr>
        <w:t>____</w:t>
      </w:r>
      <w:r w:rsidRPr="00B46DD4">
        <w:rPr>
          <w:rFonts w:cs="Segoe UI"/>
          <w:b/>
          <w:highlight w:val="yellow"/>
        </w:rPr>
        <w:t xml:space="preserve"> per SF</w:t>
      </w:r>
      <w:r>
        <w:rPr>
          <w:rFonts w:cs="Segoe UI"/>
        </w:rPr>
        <w:t xml:space="preserve"> is considered applicable in this analysis.</w:t>
      </w:r>
    </w:p>
    <w:p w14:paraId="43A01F66" w14:textId="77777777" w:rsidR="005A24B3" w:rsidRPr="00FF1F4B" w:rsidRDefault="005A24B3" w:rsidP="005A24B3">
      <w:pPr>
        <w:widowControl w:val="0"/>
        <w:tabs>
          <w:tab w:val="left" w:pos="3744"/>
        </w:tabs>
        <w:rPr>
          <w:rFonts w:cs="Segoe UI"/>
        </w:rPr>
      </w:pPr>
    </w:p>
    <w:p w14:paraId="70E17434" w14:textId="77777777" w:rsidR="005A24B3" w:rsidRDefault="005A24B3" w:rsidP="005A24B3">
      <w:pPr>
        <w:widowControl w:val="0"/>
        <w:tabs>
          <w:tab w:val="left" w:pos="3744"/>
        </w:tabs>
        <w:rPr>
          <w:rFonts w:cs="Segoe UI"/>
        </w:rPr>
      </w:pPr>
      <w:r w:rsidRPr="00FF1F4B">
        <w:rPr>
          <w:rFonts w:cs="Segoe UI"/>
        </w:rPr>
        <w:t xml:space="preserve">Combined, the shell and office rents result in a </w:t>
      </w:r>
      <w:r w:rsidRPr="00FF1F4B">
        <w:rPr>
          <w:rFonts w:cs="Segoe UI"/>
          <w:b/>
        </w:rPr>
        <w:t>blended monthly rate</w:t>
      </w:r>
      <w:r w:rsidRPr="00FF1F4B">
        <w:rPr>
          <w:rFonts w:cs="Segoe UI"/>
        </w:rPr>
        <w:t xml:space="preserve"> of </w:t>
      </w:r>
      <w:r w:rsidRPr="00B46DD4">
        <w:rPr>
          <w:rFonts w:cs="Segoe UI"/>
          <w:b/>
          <w:highlight w:val="yellow"/>
        </w:rPr>
        <w:t>$0.</w:t>
      </w:r>
      <w:r w:rsidR="00B46DD4" w:rsidRPr="00B46DD4">
        <w:rPr>
          <w:rFonts w:cs="Segoe UI"/>
          <w:b/>
          <w:highlight w:val="yellow"/>
        </w:rPr>
        <w:t>____</w:t>
      </w:r>
      <w:r w:rsidRPr="00B46DD4">
        <w:rPr>
          <w:rFonts w:cs="Segoe UI"/>
          <w:b/>
          <w:highlight w:val="yellow"/>
        </w:rPr>
        <w:t xml:space="preserve"> per SF GLA</w:t>
      </w:r>
      <w:r w:rsidRPr="00FF1F4B">
        <w:rPr>
          <w:rFonts w:cs="Segoe UI"/>
        </w:rPr>
        <w:t xml:space="preserve"> which, as the Market Analysis section suggests, is reasonable</w:t>
      </w:r>
      <w:r>
        <w:rPr>
          <w:rFonts w:cs="Segoe UI"/>
        </w:rPr>
        <w:t xml:space="preserve"> and well bracketed by the lease </w:t>
      </w:r>
      <w:proofErr w:type="spellStart"/>
      <w:r>
        <w:rPr>
          <w:rFonts w:cs="Segoe UI"/>
        </w:rPr>
        <w:t>comparables</w:t>
      </w:r>
      <w:proofErr w:type="spellEnd"/>
      <w:r>
        <w:rPr>
          <w:rFonts w:cs="Segoe UI"/>
        </w:rPr>
        <w:t xml:space="preserve">. </w:t>
      </w:r>
    </w:p>
    <w:p w14:paraId="1433DB2A"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Potential Gross</w:t>
      </w:r>
      <w:r>
        <w:rPr>
          <w:rFonts w:asciiTheme="minorHAnsi" w:hAnsiTheme="minorHAnsi" w:cs="Arial"/>
          <w:b w:val="0"/>
          <w:color w:val="1E4959"/>
          <w:spacing w:val="0"/>
          <w:kern w:val="20"/>
          <w:sz w:val="28"/>
          <w:szCs w:val="22"/>
        </w:rPr>
        <w:t xml:space="preserve"> Rental</w:t>
      </w:r>
      <w:r w:rsidRPr="009B6E44">
        <w:rPr>
          <w:rFonts w:asciiTheme="minorHAnsi" w:hAnsiTheme="minorHAnsi" w:cs="Arial"/>
          <w:b w:val="0"/>
          <w:color w:val="1E4959"/>
          <w:spacing w:val="0"/>
          <w:kern w:val="20"/>
          <w:sz w:val="28"/>
          <w:szCs w:val="22"/>
        </w:rPr>
        <w:t xml:space="preserve"> Income</w:t>
      </w:r>
    </w:p>
    <w:p w14:paraId="246B9FDE" w14:textId="77777777" w:rsidR="005A24B3" w:rsidRDefault="005A24B3" w:rsidP="005A24B3">
      <w:pPr>
        <w:rPr>
          <w:rFonts w:cs="Arial"/>
          <w:szCs w:val="22"/>
        </w:rPr>
      </w:pPr>
      <w:r w:rsidRPr="000754FA">
        <w:rPr>
          <w:rFonts w:cs="Arial"/>
          <w:szCs w:val="22"/>
        </w:rPr>
        <w:t xml:space="preserve">Applying the market rent estimates results in an annual potential gross rental income of </w:t>
      </w:r>
      <w:r w:rsidRPr="00B46DD4">
        <w:rPr>
          <w:rFonts w:cs="Arial"/>
          <w:b/>
          <w:szCs w:val="22"/>
          <w:highlight w:val="yellow"/>
        </w:rPr>
        <w:t>$</w:t>
      </w:r>
      <w:r w:rsidR="00B46DD4" w:rsidRPr="00B46DD4">
        <w:rPr>
          <w:rFonts w:cs="Arial"/>
          <w:b/>
          <w:szCs w:val="22"/>
          <w:highlight w:val="yellow"/>
        </w:rPr>
        <w:t>__________</w:t>
      </w:r>
      <w:r w:rsidRPr="00B46DD4">
        <w:rPr>
          <w:rFonts w:cs="Arial"/>
          <w:b/>
          <w:szCs w:val="22"/>
          <w:highlight w:val="yellow"/>
        </w:rPr>
        <w:t xml:space="preserve"> </w:t>
      </w:r>
      <w:r w:rsidRPr="00B46DD4">
        <w:rPr>
          <w:rFonts w:cs="Arial"/>
          <w:szCs w:val="22"/>
          <w:highlight w:val="yellow"/>
        </w:rPr>
        <w:t>($</w:t>
      </w:r>
      <w:r w:rsidR="00B46DD4" w:rsidRPr="00B46DD4">
        <w:rPr>
          <w:rFonts w:cs="Arial"/>
          <w:szCs w:val="22"/>
          <w:highlight w:val="yellow"/>
        </w:rPr>
        <w:t>_____</w:t>
      </w:r>
      <w:r w:rsidRPr="00B46DD4">
        <w:rPr>
          <w:rFonts w:cs="Arial"/>
          <w:szCs w:val="22"/>
          <w:highlight w:val="yellow"/>
        </w:rPr>
        <w:t xml:space="preserve"> per SF GLA)</w:t>
      </w:r>
      <w:r w:rsidRPr="000754FA">
        <w:rPr>
          <w:rFonts w:cs="Arial"/>
          <w:szCs w:val="22"/>
        </w:rPr>
        <w:t>,</w:t>
      </w:r>
      <w:r w:rsidRPr="000754FA">
        <w:rPr>
          <w:rFonts w:cs="Arial"/>
          <w:b/>
          <w:szCs w:val="22"/>
        </w:rPr>
        <w:t xml:space="preserve"> </w:t>
      </w:r>
      <w:r w:rsidRPr="000754FA">
        <w:rPr>
          <w:rFonts w:cs="Arial"/>
          <w:szCs w:val="22"/>
        </w:rPr>
        <w:t>indicated in the following stabilized income and expense statement for the subject property (at the end of this section).</w:t>
      </w:r>
    </w:p>
    <w:p w14:paraId="4FE0D7AC" w14:textId="77777777" w:rsidR="005A24B3" w:rsidRPr="009B6E44" w:rsidRDefault="005A24B3" w:rsidP="005A24B3">
      <w:pPr>
        <w:pStyle w:val="Heading20"/>
        <w:spacing w:before="24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Vacancy and Credit Loss</w:t>
      </w:r>
    </w:p>
    <w:p w14:paraId="7FBEBB05" w14:textId="77777777" w:rsidR="005A24B3" w:rsidRDefault="005A24B3" w:rsidP="005A24B3">
      <w:pPr>
        <w:rPr>
          <w:rFonts w:cs="Arial"/>
          <w:szCs w:val="22"/>
        </w:rPr>
      </w:pPr>
      <w:r w:rsidRPr="009B6E44">
        <w:rPr>
          <w:rFonts w:cs="Arial"/>
          <w:szCs w:val="22"/>
        </w:rPr>
        <w:t xml:space="preserve">This expense category accounts for the time period between tenants, as well as possible prolonged vacancies under slow market conditions.  The assignment will reflect the probable vacancy during the economic life of the property. </w:t>
      </w:r>
    </w:p>
    <w:p w14:paraId="5319B157" w14:textId="77777777" w:rsidR="005A24B3" w:rsidRDefault="005A24B3" w:rsidP="005A24B3">
      <w:pPr>
        <w:rPr>
          <w:rFonts w:cs="Arial"/>
          <w:szCs w:val="22"/>
        </w:rPr>
      </w:pPr>
    </w:p>
    <w:p w14:paraId="1BB540A2" w14:textId="77777777" w:rsidR="005A24B3" w:rsidRDefault="005A24B3" w:rsidP="005A24B3">
      <w:pPr>
        <w:rPr>
          <w:rFonts w:cs="Arial"/>
          <w:szCs w:val="22"/>
        </w:rPr>
      </w:pPr>
      <w:r w:rsidRPr="00B46DD4">
        <w:rPr>
          <w:rFonts w:cs="Arial"/>
          <w:szCs w:val="22"/>
          <w:highlight w:val="yellow"/>
        </w:rPr>
        <w:t xml:space="preserve">The appraiser used </w:t>
      </w:r>
      <w:r w:rsidRPr="00B46DD4">
        <w:rPr>
          <w:rFonts w:cs="Arial"/>
          <w:b/>
          <w:szCs w:val="22"/>
          <w:highlight w:val="yellow"/>
        </w:rPr>
        <w:t>CoStar</w:t>
      </w:r>
      <w:r w:rsidRPr="00B46DD4">
        <w:rPr>
          <w:rFonts w:cs="Arial"/>
          <w:szCs w:val="22"/>
          <w:highlight w:val="yellow"/>
        </w:rPr>
        <w:t xml:space="preserve"> to produce a search of the subject’s immediate / competing </w:t>
      </w:r>
      <w:r w:rsidRPr="00B46DD4">
        <w:rPr>
          <w:rFonts w:cs="Arial"/>
          <w:szCs w:val="22"/>
          <w:highlight w:val="yellow"/>
          <w:u w:val="single"/>
        </w:rPr>
        <w:t>Clackamas / Milwaukie -Industrial Market</w:t>
      </w:r>
      <w:r w:rsidRPr="00B46DD4">
        <w:rPr>
          <w:rFonts w:cs="Arial"/>
          <w:szCs w:val="22"/>
          <w:highlight w:val="yellow"/>
        </w:rPr>
        <w:t xml:space="preserve">.  As of the beginning of June 2019, the search shows a current </w:t>
      </w:r>
      <w:r w:rsidRPr="00B46DD4">
        <w:rPr>
          <w:rFonts w:cs="Arial"/>
          <w:b/>
          <w:szCs w:val="22"/>
          <w:highlight w:val="yellow"/>
        </w:rPr>
        <w:t>industrial vacancy</w:t>
      </w:r>
      <w:r w:rsidRPr="00B46DD4">
        <w:rPr>
          <w:rFonts w:cs="Arial"/>
          <w:szCs w:val="22"/>
          <w:highlight w:val="yellow"/>
        </w:rPr>
        <w:t xml:space="preserve"> of 2.5% </w:t>
      </w:r>
      <w:r w:rsidRPr="00B46DD4">
        <w:rPr>
          <w:rFonts w:cs="Arial"/>
          <w:iCs/>
          <w:szCs w:val="22"/>
          <w:highlight w:val="yellow"/>
        </w:rPr>
        <w:t>(598,476</w:t>
      </w:r>
      <w:r w:rsidRPr="00B46DD4">
        <w:rPr>
          <w:rFonts w:cs="Arial"/>
          <w:szCs w:val="22"/>
          <w:highlight w:val="yellow"/>
        </w:rPr>
        <w:t xml:space="preserve"> SF out of 23,774,295 SF; 617 properties surveyed). The trend has been on a bell-shaped curve in 2018 with the beginning and ending the year rate around 2% and peaking at just over 4% in the first quarter. The rate is still below the 5-year average of 3.9%. Absorption was somewhat mixed with the previous 12 months indicating a positive net absorption of 581,077 SF, above the 5-year average </w:t>
      </w:r>
      <w:r w:rsidRPr="00B46DD4">
        <w:rPr>
          <w:rFonts w:cs="Arial"/>
          <w:szCs w:val="22"/>
          <w:highlight w:val="yellow"/>
        </w:rPr>
        <w:lastRenderedPageBreak/>
        <w:t>of 209,086 SF. In addition, 12-month total leasing was reported at 1,735,363 SF, above the 5-year average of 1,409,368 SF.</w:t>
      </w:r>
    </w:p>
    <w:p w14:paraId="137D3B28" w14:textId="77777777" w:rsidR="005A24B3" w:rsidRDefault="005A24B3" w:rsidP="005A24B3">
      <w:pPr>
        <w:rPr>
          <w:rFonts w:cs="Arial"/>
          <w:szCs w:val="22"/>
        </w:rPr>
      </w:pPr>
    </w:p>
    <w:p w14:paraId="465318C4" w14:textId="77777777" w:rsidR="005A24B3" w:rsidRPr="000754FA" w:rsidRDefault="005A24B3" w:rsidP="005A24B3">
      <w:pPr>
        <w:rPr>
          <w:rFonts w:cs="Arial"/>
          <w:szCs w:val="22"/>
        </w:rPr>
      </w:pPr>
      <w:r w:rsidRPr="000754FA">
        <w:rPr>
          <w:rFonts w:cs="Arial"/>
          <w:szCs w:val="22"/>
        </w:rPr>
        <w:t xml:space="preserve">Based on the subject's good industrial location, as well as prevalent </w:t>
      </w:r>
      <w:r>
        <w:rPr>
          <w:rFonts w:cs="Arial"/>
          <w:szCs w:val="22"/>
        </w:rPr>
        <w:t xml:space="preserve">long-term </w:t>
      </w:r>
      <w:r w:rsidRPr="000754FA">
        <w:rPr>
          <w:rFonts w:cs="Arial"/>
          <w:szCs w:val="22"/>
        </w:rPr>
        <w:t xml:space="preserve">market expectations, a </w:t>
      </w:r>
      <w:r w:rsidRPr="000754FA">
        <w:rPr>
          <w:rFonts w:cs="Arial"/>
          <w:b/>
          <w:bCs/>
          <w:szCs w:val="22"/>
        </w:rPr>
        <w:t xml:space="preserve">stabilized vacancy and credit loss </w:t>
      </w:r>
      <w:r w:rsidRPr="000754FA">
        <w:rPr>
          <w:rFonts w:cs="Arial"/>
          <w:szCs w:val="22"/>
        </w:rPr>
        <w:t xml:space="preserve">of </w:t>
      </w:r>
      <w:r w:rsidRPr="00B46DD4">
        <w:rPr>
          <w:rFonts w:cs="Arial"/>
          <w:b/>
          <w:bCs/>
          <w:szCs w:val="22"/>
          <w:highlight w:val="yellow"/>
        </w:rPr>
        <w:t>5.0%</w:t>
      </w:r>
      <w:r w:rsidRPr="000754FA">
        <w:rPr>
          <w:rFonts w:cs="Arial"/>
          <w:b/>
          <w:bCs/>
          <w:szCs w:val="22"/>
        </w:rPr>
        <w:t xml:space="preserve"> </w:t>
      </w:r>
      <w:r w:rsidRPr="000754FA">
        <w:rPr>
          <w:rFonts w:cs="Arial"/>
          <w:szCs w:val="22"/>
        </w:rPr>
        <w:t xml:space="preserve">is considered applicable for the subject property. The concluded rate is equivalent to </w:t>
      </w:r>
      <w:r w:rsidRPr="00B46DD4">
        <w:rPr>
          <w:rFonts w:cs="Arial"/>
          <w:szCs w:val="22"/>
          <w:highlight w:val="yellow"/>
        </w:rPr>
        <w:t>6 months</w:t>
      </w:r>
      <w:r w:rsidRPr="000754FA">
        <w:rPr>
          <w:rFonts w:cs="Arial"/>
          <w:szCs w:val="22"/>
        </w:rPr>
        <w:t xml:space="preserve"> of rent loss every 10 years. </w:t>
      </w:r>
    </w:p>
    <w:p w14:paraId="7CE9E99F"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0E04ED">
        <w:rPr>
          <w:rFonts w:asciiTheme="minorHAnsi" w:hAnsiTheme="minorHAnsi" w:cs="Arial"/>
          <w:b w:val="0"/>
          <w:color w:val="1E4959"/>
          <w:spacing w:val="0"/>
          <w:kern w:val="20"/>
          <w:sz w:val="28"/>
          <w:szCs w:val="22"/>
        </w:rPr>
        <w:t>Effective Gross Income</w:t>
      </w:r>
    </w:p>
    <w:p w14:paraId="34B47179" w14:textId="77777777" w:rsidR="005A24B3" w:rsidRDefault="005A24B3" w:rsidP="005A24B3">
      <w:pPr>
        <w:widowControl w:val="0"/>
        <w:rPr>
          <w:rFonts w:cs="Arial"/>
          <w:szCs w:val="22"/>
        </w:rPr>
      </w:pPr>
      <w:r w:rsidRPr="00994D88">
        <w:rPr>
          <w:rFonts w:cs="Arial"/>
          <w:szCs w:val="22"/>
        </w:rPr>
        <w:t xml:space="preserve">Based on the preceding, </w:t>
      </w:r>
      <w:r w:rsidRPr="00994D88">
        <w:rPr>
          <w:rFonts w:cs="Arial"/>
          <w:b/>
          <w:szCs w:val="22"/>
        </w:rPr>
        <w:t>effective gross rental income</w:t>
      </w:r>
      <w:r w:rsidRPr="00994D88">
        <w:rPr>
          <w:rFonts w:cs="Arial"/>
          <w:szCs w:val="22"/>
        </w:rPr>
        <w:t xml:space="preserve"> for the subject property is estimated at </w:t>
      </w:r>
      <w:r w:rsidR="00B46DD4" w:rsidRPr="00B46DD4">
        <w:rPr>
          <w:rFonts w:cs="Arial"/>
          <w:b/>
          <w:szCs w:val="22"/>
          <w:highlight w:val="yellow"/>
        </w:rPr>
        <w:t xml:space="preserve">$__________ </w:t>
      </w:r>
      <w:r w:rsidR="00B46DD4" w:rsidRPr="00B46DD4">
        <w:rPr>
          <w:rFonts w:cs="Arial"/>
          <w:szCs w:val="22"/>
          <w:highlight w:val="yellow"/>
        </w:rPr>
        <w:t>($_____ per SF GLA)</w:t>
      </w:r>
      <w:r w:rsidRPr="00994D88">
        <w:rPr>
          <w:rFonts w:cs="Arial"/>
          <w:szCs w:val="22"/>
        </w:rPr>
        <w:t>.</w:t>
      </w:r>
    </w:p>
    <w:p w14:paraId="0971FA6A"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Projected Operating Expenses</w:t>
      </w:r>
    </w:p>
    <w:p w14:paraId="74A0649C" w14:textId="77777777" w:rsidR="005A24B3" w:rsidRPr="000754FA" w:rsidRDefault="005A24B3" w:rsidP="005A24B3">
      <w:pPr>
        <w:rPr>
          <w:rFonts w:cs="Segoe UI"/>
          <w:color w:val="000000"/>
          <w:szCs w:val="22"/>
        </w:rPr>
      </w:pPr>
      <w:r w:rsidRPr="000754FA">
        <w:rPr>
          <w:rFonts w:cs="Segoe UI"/>
          <w:color w:val="000000"/>
          <w:szCs w:val="22"/>
        </w:rPr>
        <w:t xml:space="preserve">The market rent conclusion has been based on a typical triple net lease for industrial properties similar in age to the subject, in which only professional management fees and </w:t>
      </w:r>
      <w:r w:rsidRPr="000754FA">
        <w:rPr>
          <w:rFonts w:cs="Segoe UI"/>
          <w:szCs w:val="22"/>
        </w:rPr>
        <w:t>a reserve allowance for the replacement of capital items</w:t>
      </w:r>
      <w:r w:rsidRPr="000754FA">
        <w:rPr>
          <w:rFonts w:cs="Segoe UI"/>
          <w:color w:val="000000"/>
          <w:szCs w:val="22"/>
        </w:rPr>
        <w:t xml:space="preserve"> are paid by the landlord. To estimate expenses applicable to the subject property on a stabilized basis, local suppliers have been contacted, and comparable properties have been analyzed. </w:t>
      </w:r>
    </w:p>
    <w:p w14:paraId="4840A60A"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Management Fees</w:t>
      </w:r>
    </w:p>
    <w:p w14:paraId="732EA0BA" w14:textId="77777777" w:rsidR="005A24B3" w:rsidRPr="000754FA" w:rsidRDefault="005A24B3" w:rsidP="005A24B3">
      <w:pPr>
        <w:rPr>
          <w:rFonts w:cs="Arial"/>
          <w:szCs w:val="22"/>
        </w:rPr>
      </w:pPr>
      <w:r w:rsidRPr="000754FA">
        <w:rPr>
          <w:rFonts w:cs="Arial"/>
          <w:szCs w:val="22"/>
        </w:rPr>
        <w:t xml:space="preserve">A professional management fee is typically incurred to provide for periodic contact with the tenants, collection of rents, and supervision of required maintenance and replacement items.  Conversations with representatives of property management companies in the market area indicate a range for professional management for industrial properties of 2.0% to 3.0% of effective gross income </w:t>
      </w:r>
      <w:r w:rsidRPr="00091F4C">
        <w:rPr>
          <w:rFonts w:cs="Arial"/>
          <w:szCs w:val="22"/>
        </w:rPr>
        <w:t xml:space="preserve">depending on the property's size, lease structure, and rent levels.  </w:t>
      </w:r>
      <w:r>
        <w:rPr>
          <w:rFonts w:cs="Arial"/>
          <w:szCs w:val="22"/>
        </w:rPr>
        <w:t xml:space="preserve">As property management is reimbursable as an expense, </w:t>
      </w:r>
      <w:r w:rsidRPr="00B46DD4">
        <w:rPr>
          <w:rFonts w:cs="Arial"/>
          <w:b/>
          <w:szCs w:val="22"/>
          <w:highlight w:val="yellow"/>
        </w:rPr>
        <w:t>2.0% management fee</w:t>
      </w:r>
      <w:r w:rsidRPr="00091F4C">
        <w:rPr>
          <w:rFonts w:cs="Arial"/>
          <w:szCs w:val="22"/>
        </w:rPr>
        <w:t xml:space="preserve"> is considered </w:t>
      </w:r>
      <w:r w:rsidR="00B46DD4">
        <w:rPr>
          <w:rFonts w:cs="Arial"/>
          <w:szCs w:val="22"/>
        </w:rPr>
        <w:t xml:space="preserve">reasonable for use </w:t>
      </w:r>
      <w:r w:rsidRPr="00091F4C">
        <w:rPr>
          <w:rFonts w:cs="Arial"/>
          <w:szCs w:val="22"/>
        </w:rPr>
        <w:t>in this analysis.</w:t>
      </w:r>
      <w:r w:rsidRPr="000754FA">
        <w:rPr>
          <w:rFonts w:cs="Arial"/>
          <w:szCs w:val="22"/>
        </w:rPr>
        <w:t xml:space="preserve">  </w:t>
      </w:r>
    </w:p>
    <w:p w14:paraId="5ED8EA44"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Reserves for Replacement</w:t>
      </w:r>
    </w:p>
    <w:p w14:paraId="42A025B8" w14:textId="77777777" w:rsidR="005A24B3" w:rsidRPr="000754FA" w:rsidRDefault="005A24B3" w:rsidP="005A24B3">
      <w:pPr>
        <w:rPr>
          <w:rFonts w:cs="Arial"/>
          <w:szCs w:val="22"/>
        </w:rPr>
      </w:pPr>
      <w:r w:rsidRPr="000754FA">
        <w:rPr>
          <w:rFonts w:cs="Arial"/>
          <w:szCs w:val="22"/>
        </w:rPr>
        <w:t xml:space="preserve">Reserves are not typical annual cash expenditures, but rather, the annualized cost of major expense items in the future, such as repair or replacement of the heating and air-conditioning system, landscaping, paving, and roof cover.  A reserve allowance must be established for the replacement of these components, which the owner may be responsible for replacing during the economic life of the building.  The probable future cost of replacing and repairing these items is converted into an annual figure.  The analysis estimates the amount of money which must be set aside on an annual basis in an interest-bearing account to have adequate funds to repair or replace the item at the end of its economic life.  This reflects typical investor behavior as it accounts for the cost which owners incur or the discount from the market's perspective for the deficiency. </w:t>
      </w:r>
    </w:p>
    <w:p w14:paraId="14D3D6B8" w14:textId="77777777" w:rsidR="005A24B3" w:rsidRPr="000754FA" w:rsidRDefault="005A24B3" w:rsidP="005A24B3">
      <w:pPr>
        <w:rPr>
          <w:rFonts w:cs="Arial"/>
          <w:szCs w:val="22"/>
        </w:rPr>
      </w:pPr>
    </w:p>
    <w:p w14:paraId="1DE10047" w14:textId="77777777" w:rsidR="005A24B3" w:rsidRDefault="005A24B3" w:rsidP="005A24B3">
      <w:pPr>
        <w:widowControl w:val="0"/>
        <w:rPr>
          <w:rFonts w:cs="Arial"/>
          <w:szCs w:val="22"/>
        </w:rPr>
      </w:pPr>
      <w:r w:rsidRPr="009B6E44">
        <w:rPr>
          <w:rFonts w:cs="Arial"/>
          <w:szCs w:val="22"/>
        </w:rPr>
        <w:t>Analysis of the market indicates investors are allocating a reserve equal to 1.0% to 3.0% of effective gross income depending on the property age, size, condition, quality of construction, and value.</w:t>
      </w:r>
      <w:r>
        <w:rPr>
          <w:rFonts w:cs="Arial"/>
          <w:szCs w:val="22"/>
        </w:rPr>
        <w:t xml:space="preserve"> </w:t>
      </w:r>
      <w:r w:rsidRPr="009B6E44">
        <w:rPr>
          <w:rFonts w:cs="Arial"/>
          <w:szCs w:val="22"/>
        </w:rPr>
        <w:t xml:space="preserve"> Considering the subject's overall</w:t>
      </w:r>
      <w:r>
        <w:rPr>
          <w:rFonts w:cs="Arial"/>
          <w:szCs w:val="22"/>
        </w:rPr>
        <w:t xml:space="preserve"> age / condition, an </w:t>
      </w:r>
      <w:r w:rsidRPr="009B6E44">
        <w:rPr>
          <w:rFonts w:cs="Arial"/>
          <w:szCs w:val="22"/>
        </w:rPr>
        <w:t xml:space="preserve">allocation of </w:t>
      </w:r>
      <w:r w:rsidRPr="00B46DD4">
        <w:rPr>
          <w:rFonts w:cs="Arial"/>
          <w:b/>
          <w:szCs w:val="22"/>
          <w:highlight w:val="yellow"/>
        </w:rPr>
        <w:t>3.0% of effective gross income</w:t>
      </w:r>
      <w:r w:rsidRPr="009B6E44">
        <w:rPr>
          <w:rFonts w:cs="Arial"/>
          <w:szCs w:val="22"/>
        </w:rPr>
        <w:t xml:space="preserve"> is </w:t>
      </w:r>
      <w:r>
        <w:rPr>
          <w:rFonts w:cs="Arial"/>
          <w:szCs w:val="22"/>
        </w:rPr>
        <w:t xml:space="preserve">reasonably </w:t>
      </w:r>
      <w:r w:rsidRPr="009B6E44">
        <w:rPr>
          <w:rFonts w:cs="Arial"/>
          <w:szCs w:val="22"/>
        </w:rPr>
        <w:t>made for reserves for replacement items for the subject property.</w:t>
      </w:r>
    </w:p>
    <w:p w14:paraId="5BD45671" w14:textId="77777777" w:rsidR="005A24B3" w:rsidRPr="00F1687C"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F1687C">
        <w:rPr>
          <w:rFonts w:eastAsiaTheme="majorEastAsia" w:cs="Arial"/>
          <w:color w:val="1E4959"/>
          <w:sz w:val="24"/>
          <w:szCs w:val="22"/>
          <w:u w:val="single"/>
        </w:rPr>
        <w:t>Total Operating Expenses</w:t>
      </w:r>
    </w:p>
    <w:p w14:paraId="7C052528" w14:textId="77777777" w:rsidR="005A24B3" w:rsidRPr="00F1687C" w:rsidRDefault="005A24B3" w:rsidP="005A24B3">
      <w:pPr>
        <w:rPr>
          <w:rFonts w:cs="Arial"/>
          <w:szCs w:val="22"/>
        </w:rPr>
      </w:pPr>
      <w:r w:rsidRPr="00F1687C">
        <w:rPr>
          <w:rFonts w:cs="Arial"/>
          <w:szCs w:val="22"/>
        </w:rPr>
        <w:t xml:space="preserve">Based on the preceding, </w:t>
      </w:r>
      <w:r w:rsidRPr="00F1687C">
        <w:rPr>
          <w:rFonts w:cs="Arial"/>
          <w:b/>
          <w:szCs w:val="22"/>
        </w:rPr>
        <w:t>total stabilized operating expenses</w:t>
      </w:r>
      <w:r w:rsidRPr="00F1687C">
        <w:rPr>
          <w:rFonts w:cs="Arial"/>
          <w:szCs w:val="22"/>
        </w:rPr>
        <w:t xml:space="preserve"> for the subject property of </w:t>
      </w:r>
      <w:r w:rsidR="00B46DD4" w:rsidRPr="00B46DD4">
        <w:rPr>
          <w:rFonts w:cs="Arial"/>
          <w:b/>
          <w:szCs w:val="22"/>
          <w:highlight w:val="yellow"/>
        </w:rPr>
        <w:t xml:space="preserve">$__________ </w:t>
      </w:r>
      <w:r w:rsidR="00B46DD4" w:rsidRPr="00B46DD4">
        <w:rPr>
          <w:rFonts w:cs="Arial"/>
          <w:szCs w:val="22"/>
          <w:highlight w:val="yellow"/>
        </w:rPr>
        <w:t>($_____ per SF GLA)</w:t>
      </w:r>
      <w:r w:rsidRPr="00F1687C">
        <w:rPr>
          <w:rFonts w:cs="Arial"/>
          <w:szCs w:val="22"/>
        </w:rPr>
        <w:t xml:space="preserve"> were considered reasonably supported in this analysis. </w:t>
      </w:r>
    </w:p>
    <w:p w14:paraId="6C6F7640"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F1687C">
        <w:rPr>
          <w:rFonts w:asciiTheme="minorHAnsi" w:hAnsiTheme="minorHAnsi" w:cs="Arial"/>
          <w:b w:val="0"/>
          <w:color w:val="1E4959"/>
          <w:spacing w:val="0"/>
          <w:kern w:val="20"/>
          <w:sz w:val="28"/>
          <w:szCs w:val="22"/>
        </w:rPr>
        <w:lastRenderedPageBreak/>
        <w:t>Net Operating Income</w:t>
      </w:r>
    </w:p>
    <w:p w14:paraId="0B1865DF" w14:textId="77777777" w:rsidR="005A24B3" w:rsidRPr="000754FA" w:rsidRDefault="005A24B3" w:rsidP="005A24B3">
      <w:pPr>
        <w:rPr>
          <w:rFonts w:cs="Arial"/>
          <w:szCs w:val="22"/>
        </w:rPr>
      </w:pPr>
      <w:r w:rsidRPr="000754FA">
        <w:rPr>
          <w:rFonts w:cs="Arial"/>
          <w:szCs w:val="22"/>
        </w:rPr>
        <w:t xml:space="preserve">Deducting projected annual operating expenses from the annual effective gross income results in a projected </w:t>
      </w:r>
      <w:r w:rsidRPr="000754FA">
        <w:rPr>
          <w:rFonts w:cs="Arial"/>
          <w:b/>
          <w:szCs w:val="22"/>
        </w:rPr>
        <w:t xml:space="preserve">net operating income </w:t>
      </w:r>
      <w:r w:rsidRPr="000754FA">
        <w:rPr>
          <w:rFonts w:cs="Arial"/>
          <w:szCs w:val="22"/>
        </w:rPr>
        <w:t xml:space="preserve">for the subject property of </w:t>
      </w:r>
      <w:r w:rsidR="00B46DD4" w:rsidRPr="00B46DD4">
        <w:rPr>
          <w:rFonts w:cs="Arial"/>
          <w:b/>
          <w:szCs w:val="22"/>
          <w:highlight w:val="yellow"/>
        </w:rPr>
        <w:t xml:space="preserve">$__________ </w:t>
      </w:r>
      <w:r w:rsidR="00B46DD4" w:rsidRPr="00B46DD4">
        <w:rPr>
          <w:rFonts w:cs="Arial"/>
          <w:szCs w:val="22"/>
          <w:highlight w:val="yellow"/>
        </w:rPr>
        <w:t>($_____ per SF GLA)</w:t>
      </w:r>
      <w:r w:rsidR="00B46DD4">
        <w:rPr>
          <w:rFonts w:cs="Arial"/>
          <w:szCs w:val="22"/>
        </w:rPr>
        <w:t xml:space="preserve"> </w:t>
      </w:r>
      <w:r w:rsidRPr="000754FA">
        <w:rPr>
          <w:rFonts w:cs="Arial"/>
          <w:szCs w:val="22"/>
        </w:rPr>
        <w:t xml:space="preserve">as is summarized on a following page. It is at this time that net income can be capitalized into a value estimate. </w:t>
      </w:r>
    </w:p>
    <w:p w14:paraId="4208CFCA"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67183F90"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284B6695" w14:textId="77777777" w:rsidR="005A24B3" w:rsidRPr="000754FA" w:rsidRDefault="005A24B3" w:rsidP="005A24B3">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6FAB31DA" w14:textId="77777777" w:rsidR="005A24B3" w:rsidRPr="000754FA" w:rsidRDefault="005A24B3" w:rsidP="005A24B3">
      <w:pPr>
        <w:rPr>
          <w:rFonts w:cs="Arial"/>
          <w:szCs w:val="22"/>
        </w:rPr>
      </w:pPr>
    </w:p>
    <w:p w14:paraId="15A45C3A" w14:textId="77777777" w:rsidR="005A24B3" w:rsidRDefault="005A24B3" w:rsidP="005A24B3">
      <w:pPr>
        <w:rPr>
          <w:rFonts w:cs="Arial"/>
          <w:szCs w:val="22"/>
        </w:rPr>
      </w:pPr>
      <w:r w:rsidRPr="000754FA">
        <w:rPr>
          <w:rFonts w:cs="Arial"/>
          <w:szCs w:val="22"/>
        </w:rPr>
        <w:t xml:space="preserve">The primary factors </w:t>
      </w:r>
      <w:r w:rsidRPr="00E955E2">
        <w:rPr>
          <w:rFonts w:cs="Arial"/>
          <w:szCs w:val="22"/>
        </w:rPr>
        <w:t xml:space="preserve">influencing capitalization rates are:  1) The quality and certainty of the net operating income stream; 2) risk factors; 3) physical and locational characteristics of the property; 4) the competitive market position of the property and 5) the potential for future appreciation. The following chart summarizes the data used to estimate the market capitalization rate applicable to the subject property. </w:t>
      </w:r>
      <w:r>
        <w:rPr>
          <w:rFonts w:cs="Arial"/>
          <w:szCs w:val="22"/>
        </w:rPr>
        <w:t>None of the sales used in the Sales Comparison Approach provided cap rate indicator.  Therefore, as supplemental data, several additional sales were provided from the surrounding market and</w:t>
      </w:r>
      <w:r w:rsidRPr="00E955E2">
        <w:rPr>
          <w:rFonts w:cs="Arial"/>
          <w:szCs w:val="22"/>
        </w:rPr>
        <w:t xml:space="preserve"> included as follows.</w:t>
      </w:r>
      <w:r>
        <w:rPr>
          <w:rFonts w:cs="Arial"/>
          <w:szCs w:val="22"/>
        </w:rPr>
        <w:t xml:space="preserve">  </w:t>
      </w:r>
    </w:p>
    <w:p w14:paraId="5D72E36D" w14:textId="77777777" w:rsidR="005A24B3" w:rsidRDefault="005A24B3" w:rsidP="005A24B3">
      <w:pPr>
        <w:rPr>
          <w:rFonts w:cs="Arial"/>
          <w:szCs w:val="22"/>
        </w:rPr>
      </w:pPr>
    </w:p>
    <w:tbl>
      <w:tblPr>
        <w:tblW w:w="0" w:type="auto"/>
        <w:tblLook w:val="01E0" w:firstRow="1" w:lastRow="1" w:firstColumn="1" w:lastColumn="1" w:noHBand="0" w:noVBand="0"/>
      </w:tblPr>
      <w:tblGrid>
        <w:gridCol w:w="816"/>
        <w:gridCol w:w="2218"/>
        <w:gridCol w:w="1132"/>
        <w:gridCol w:w="1391"/>
        <w:gridCol w:w="1181"/>
        <w:gridCol w:w="1701"/>
        <w:gridCol w:w="921"/>
      </w:tblGrid>
      <w:tr w:rsidR="005A24B3" w:rsidRPr="00EE6F4E" w14:paraId="526290D6" w14:textId="77777777" w:rsidTr="00B46DD4">
        <w:tc>
          <w:tcPr>
            <w:tcW w:w="816" w:type="dxa"/>
            <w:tcBorders>
              <w:bottom w:val="single" w:sz="24" w:space="0" w:color="3FB44F"/>
            </w:tcBorders>
            <w:shd w:val="clear" w:color="auto" w:fill="1E4959"/>
            <w:vAlign w:val="bottom"/>
          </w:tcPr>
          <w:p w14:paraId="1B8BBBF2"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218" w:type="dxa"/>
            <w:tcBorders>
              <w:bottom w:val="single" w:sz="24" w:space="0" w:color="3FB44F"/>
            </w:tcBorders>
            <w:shd w:val="clear" w:color="auto" w:fill="1E4959"/>
            <w:vAlign w:val="bottom"/>
          </w:tcPr>
          <w:p w14:paraId="5AB5E33E" w14:textId="77777777" w:rsidR="005A24B3" w:rsidRPr="00674D31" w:rsidRDefault="005A24B3" w:rsidP="009338EB">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1132" w:type="dxa"/>
            <w:tcBorders>
              <w:bottom w:val="single" w:sz="24" w:space="0" w:color="3FB44F"/>
            </w:tcBorders>
            <w:shd w:val="clear" w:color="auto" w:fill="1E4959"/>
            <w:vAlign w:val="bottom"/>
          </w:tcPr>
          <w:p w14:paraId="0EDBA16F"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1ACCE5FC"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81" w:type="dxa"/>
            <w:tcBorders>
              <w:bottom w:val="single" w:sz="24" w:space="0" w:color="3FB44F"/>
            </w:tcBorders>
            <w:shd w:val="clear" w:color="auto" w:fill="1E4959"/>
            <w:vAlign w:val="bottom"/>
          </w:tcPr>
          <w:p w14:paraId="419FB30A" w14:textId="77777777" w:rsidR="005A24B3" w:rsidRDefault="005A24B3" w:rsidP="009338EB">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26A44CD8" w14:textId="77777777" w:rsidR="005A24B3" w:rsidRPr="00674D31" w:rsidRDefault="005A24B3" w:rsidP="009338EB">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701" w:type="dxa"/>
            <w:tcBorders>
              <w:bottom w:val="single" w:sz="24" w:space="0" w:color="3FB44F"/>
            </w:tcBorders>
            <w:shd w:val="clear" w:color="auto" w:fill="1E4959"/>
            <w:vAlign w:val="bottom"/>
          </w:tcPr>
          <w:p w14:paraId="0824B584"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21" w:type="dxa"/>
            <w:tcBorders>
              <w:bottom w:val="single" w:sz="24" w:space="0" w:color="3FB44F"/>
            </w:tcBorders>
            <w:shd w:val="clear" w:color="auto" w:fill="1E4959"/>
            <w:vAlign w:val="bottom"/>
          </w:tcPr>
          <w:p w14:paraId="03544187"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5A24B3" w:rsidRPr="00B46DD4" w14:paraId="5B9FE622" w14:textId="77777777" w:rsidTr="00B46DD4">
        <w:tc>
          <w:tcPr>
            <w:tcW w:w="816" w:type="dxa"/>
            <w:tcBorders>
              <w:bottom w:val="single" w:sz="4" w:space="0" w:color="auto"/>
              <w:right w:val="single" w:sz="2" w:space="0" w:color="auto"/>
            </w:tcBorders>
            <w:shd w:val="clear" w:color="auto" w:fill="auto"/>
          </w:tcPr>
          <w:p w14:paraId="2A5B55CF"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A</w:t>
            </w:r>
          </w:p>
        </w:tc>
        <w:tc>
          <w:tcPr>
            <w:tcW w:w="2218" w:type="dxa"/>
            <w:tcBorders>
              <w:left w:val="single" w:sz="2" w:space="0" w:color="auto"/>
              <w:bottom w:val="single" w:sz="4" w:space="0" w:color="auto"/>
              <w:right w:val="single" w:sz="2" w:space="0" w:color="auto"/>
            </w:tcBorders>
            <w:shd w:val="clear" w:color="auto" w:fill="auto"/>
          </w:tcPr>
          <w:p w14:paraId="0CF7BE8B" w14:textId="77777777" w:rsidR="005A24B3" w:rsidRPr="00B46DD4" w:rsidRDefault="005A24B3" w:rsidP="009338EB">
            <w:pPr>
              <w:pStyle w:val="StylePlainTextArial"/>
              <w:spacing w:before="120" w:line="240" w:lineRule="exact"/>
              <w:jc w:val="left"/>
              <w:rPr>
                <w:rFonts w:ascii="Calibri" w:hAnsi="Calibri" w:cs="Arial"/>
                <w:sz w:val="20"/>
                <w:highlight w:val="yellow"/>
              </w:rPr>
            </w:pPr>
            <w:r w:rsidRPr="00B46DD4">
              <w:rPr>
                <w:rFonts w:ascii="Calibri" w:hAnsi="Calibri" w:cs="Arial"/>
                <w:sz w:val="20"/>
                <w:highlight w:val="yellow"/>
              </w:rPr>
              <w:t>Western Integrated Technologies</w:t>
            </w:r>
            <w:r w:rsidRPr="00B46DD4">
              <w:rPr>
                <w:rFonts w:ascii="Calibri" w:hAnsi="Calibri" w:cs="Arial"/>
                <w:sz w:val="20"/>
                <w:highlight w:val="yellow"/>
              </w:rPr>
              <w:br/>
              <w:t>8900 N Ramsey Blvd.</w:t>
            </w:r>
            <w:r w:rsidRPr="00B46DD4">
              <w:rPr>
                <w:rFonts w:ascii="Calibri" w:hAnsi="Calibri" w:cs="Arial"/>
                <w:sz w:val="20"/>
                <w:highlight w:val="yellow"/>
              </w:rPr>
              <w:br/>
              <w:t>Portland, OR</w:t>
            </w:r>
          </w:p>
        </w:tc>
        <w:tc>
          <w:tcPr>
            <w:tcW w:w="1132" w:type="dxa"/>
            <w:tcBorders>
              <w:left w:val="single" w:sz="2" w:space="0" w:color="auto"/>
              <w:bottom w:val="single" w:sz="4" w:space="0" w:color="auto"/>
            </w:tcBorders>
            <w:shd w:val="clear" w:color="auto" w:fill="auto"/>
          </w:tcPr>
          <w:p w14:paraId="175593E5"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11/18</w:t>
            </w:r>
            <w:r w:rsidRPr="00B46DD4">
              <w:rPr>
                <w:rFonts w:ascii="Calibri" w:hAnsi="Calibri" w:cs="Arial"/>
                <w:sz w:val="20"/>
                <w:highlight w:val="yellow"/>
              </w:rPr>
              <w:br/>
            </w:r>
          </w:p>
        </w:tc>
        <w:tc>
          <w:tcPr>
            <w:tcW w:w="1391" w:type="dxa"/>
            <w:tcBorders>
              <w:bottom w:val="single" w:sz="4" w:space="0" w:color="auto"/>
            </w:tcBorders>
            <w:shd w:val="clear" w:color="auto" w:fill="auto"/>
          </w:tcPr>
          <w:p w14:paraId="491770E9"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2007</w:t>
            </w:r>
            <w:r w:rsidRPr="00B46DD4">
              <w:rPr>
                <w:rFonts w:ascii="Calibri" w:hAnsi="Calibri" w:cs="Arial"/>
                <w:sz w:val="20"/>
                <w:highlight w:val="yellow"/>
              </w:rPr>
              <w:br/>
              <w:t xml:space="preserve"> </w:t>
            </w:r>
          </w:p>
        </w:tc>
        <w:tc>
          <w:tcPr>
            <w:tcW w:w="1181" w:type="dxa"/>
            <w:tcBorders>
              <w:bottom w:val="single" w:sz="4" w:space="0" w:color="auto"/>
            </w:tcBorders>
            <w:shd w:val="clear" w:color="auto" w:fill="auto"/>
          </w:tcPr>
          <w:p w14:paraId="235387BE"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43,335</w:t>
            </w:r>
          </w:p>
        </w:tc>
        <w:tc>
          <w:tcPr>
            <w:tcW w:w="1701" w:type="dxa"/>
            <w:tcBorders>
              <w:bottom w:val="single" w:sz="4" w:space="0" w:color="auto"/>
              <w:right w:val="single" w:sz="2" w:space="0" w:color="auto"/>
            </w:tcBorders>
            <w:shd w:val="clear" w:color="auto" w:fill="auto"/>
          </w:tcPr>
          <w:p w14:paraId="568B497B"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$5,100,000</w:t>
            </w:r>
          </w:p>
        </w:tc>
        <w:tc>
          <w:tcPr>
            <w:tcW w:w="921" w:type="dxa"/>
            <w:tcBorders>
              <w:left w:val="single" w:sz="2" w:space="0" w:color="auto"/>
              <w:bottom w:val="single" w:sz="4" w:space="0" w:color="auto"/>
            </w:tcBorders>
            <w:shd w:val="clear" w:color="auto" w:fill="auto"/>
          </w:tcPr>
          <w:p w14:paraId="388EDC22"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6.47 %</w:t>
            </w:r>
          </w:p>
        </w:tc>
      </w:tr>
      <w:tr w:rsidR="005A24B3" w:rsidRPr="00B46DD4" w14:paraId="358EFFF6" w14:textId="77777777" w:rsidTr="00B46DD4">
        <w:tc>
          <w:tcPr>
            <w:tcW w:w="816" w:type="dxa"/>
            <w:tcBorders>
              <w:bottom w:val="single" w:sz="4" w:space="0" w:color="auto"/>
              <w:right w:val="single" w:sz="2" w:space="0" w:color="auto"/>
            </w:tcBorders>
            <w:shd w:val="clear" w:color="auto" w:fill="auto"/>
          </w:tcPr>
          <w:p w14:paraId="204C81C4"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B</w:t>
            </w:r>
          </w:p>
        </w:tc>
        <w:tc>
          <w:tcPr>
            <w:tcW w:w="2218" w:type="dxa"/>
            <w:tcBorders>
              <w:left w:val="single" w:sz="2" w:space="0" w:color="auto"/>
              <w:bottom w:val="single" w:sz="4" w:space="0" w:color="auto"/>
              <w:right w:val="single" w:sz="2" w:space="0" w:color="auto"/>
            </w:tcBorders>
            <w:shd w:val="clear" w:color="auto" w:fill="auto"/>
          </w:tcPr>
          <w:p w14:paraId="321B06C2" w14:textId="77777777" w:rsidR="005A24B3" w:rsidRPr="00B46DD4" w:rsidRDefault="005A24B3" w:rsidP="009338EB">
            <w:pPr>
              <w:pStyle w:val="StylePlainTextArial"/>
              <w:spacing w:before="120" w:line="240" w:lineRule="exact"/>
              <w:jc w:val="left"/>
              <w:rPr>
                <w:rFonts w:ascii="Calibri" w:hAnsi="Calibri" w:cs="Arial"/>
                <w:sz w:val="20"/>
                <w:highlight w:val="yellow"/>
              </w:rPr>
            </w:pPr>
            <w:r w:rsidRPr="00B46DD4">
              <w:rPr>
                <w:rFonts w:ascii="Calibri" w:hAnsi="Calibri" w:cs="Arial"/>
                <w:sz w:val="20"/>
                <w:highlight w:val="yellow"/>
              </w:rPr>
              <w:t>Allred Industrial Park</w:t>
            </w:r>
            <w:r w:rsidRPr="00B46DD4">
              <w:rPr>
                <w:rFonts w:ascii="Calibri" w:hAnsi="Calibri" w:cs="Arial"/>
                <w:sz w:val="20"/>
                <w:highlight w:val="yellow"/>
              </w:rPr>
              <w:br/>
              <w:t>9380-9452 SW Tigard St.</w:t>
            </w:r>
            <w:r w:rsidRPr="00B46DD4">
              <w:rPr>
                <w:rFonts w:ascii="Calibri" w:hAnsi="Calibri" w:cs="Arial"/>
                <w:sz w:val="20"/>
                <w:highlight w:val="yellow"/>
              </w:rPr>
              <w:br/>
              <w:t>Tigard, OR</w:t>
            </w:r>
          </w:p>
        </w:tc>
        <w:tc>
          <w:tcPr>
            <w:tcW w:w="1132" w:type="dxa"/>
            <w:tcBorders>
              <w:left w:val="single" w:sz="2" w:space="0" w:color="auto"/>
              <w:bottom w:val="single" w:sz="4" w:space="0" w:color="auto"/>
            </w:tcBorders>
            <w:shd w:val="clear" w:color="auto" w:fill="auto"/>
          </w:tcPr>
          <w:p w14:paraId="51DF100D"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09/18</w:t>
            </w:r>
            <w:r w:rsidRPr="00B46DD4">
              <w:rPr>
                <w:rFonts w:ascii="Calibri" w:hAnsi="Calibri" w:cs="Arial"/>
                <w:sz w:val="20"/>
                <w:highlight w:val="yellow"/>
              </w:rPr>
              <w:br/>
            </w:r>
          </w:p>
        </w:tc>
        <w:tc>
          <w:tcPr>
            <w:tcW w:w="1391" w:type="dxa"/>
            <w:tcBorders>
              <w:bottom w:val="single" w:sz="4" w:space="0" w:color="auto"/>
            </w:tcBorders>
            <w:shd w:val="clear" w:color="auto" w:fill="auto"/>
          </w:tcPr>
          <w:p w14:paraId="757798D0"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1990</w:t>
            </w:r>
            <w:r w:rsidRPr="00B46DD4">
              <w:rPr>
                <w:rFonts w:ascii="Calibri" w:hAnsi="Calibri" w:cs="Arial"/>
                <w:sz w:val="20"/>
                <w:highlight w:val="yellow"/>
              </w:rPr>
              <w:br/>
              <w:t xml:space="preserve"> </w:t>
            </w:r>
          </w:p>
        </w:tc>
        <w:tc>
          <w:tcPr>
            <w:tcW w:w="1181" w:type="dxa"/>
            <w:tcBorders>
              <w:bottom w:val="single" w:sz="4" w:space="0" w:color="auto"/>
            </w:tcBorders>
            <w:shd w:val="clear" w:color="auto" w:fill="auto"/>
          </w:tcPr>
          <w:p w14:paraId="082E5874"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48,238</w:t>
            </w:r>
          </w:p>
        </w:tc>
        <w:tc>
          <w:tcPr>
            <w:tcW w:w="1701" w:type="dxa"/>
            <w:tcBorders>
              <w:bottom w:val="single" w:sz="4" w:space="0" w:color="auto"/>
              <w:right w:val="single" w:sz="2" w:space="0" w:color="auto"/>
            </w:tcBorders>
            <w:shd w:val="clear" w:color="auto" w:fill="auto"/>
          </w:tcPr>
          <w:p w14:paraId="75041B66"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$6,250,000</w:t>
            </w:r>
          </w:p>
        </w:tc>
        <w:tc>
          <w:tcPr>
            <w:tcW w:w="921" w:type="dxa"/>
            <w:tcBorders>
              <w:left w:val="single" w:sz="2" w:space="0" w:color="auto"/>
              <w:bottom w:val="single" w:sz="4" w:space="0" w:color="auto"/>
            </w:tcBorders>
            <w:shd w:val="clear" w:color="auto" w:fill="auto"/>
          </w:tcPr>
          <w:p w14:paraId="399C2046"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6.60 %</w:t>
            </w:r>
          </w:p>
        </w:tc>
      </w:tr>
      <w:tr w:rsidR="005A24B3" w:rsidRPr="00B46DD4" w14:paraId="19AB9F5F" w14:textId="77777777" w:rsidTr="00B46DD4">
        <w:tc>
          <w:tcPr>
            <w:tcW w:w="816" w:type="dxa"/>
            <w:tcBorders>
              <w:bottom w:val="single" w:sz="4" w:space="0" w:color="auto"/>
              <w:right w:val="single" w:sz="2" w:space="0" w:color="auto"/>
            </w:tcBorders>
            <w:shd w:val="clear" w:color="auto" w:fill="auto"/>
          </w:tcPr>
          <w:p w14:paraId="49FE54BC"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C</w:t>
            </w:r>
          </w:p>
        </w:tc>
        <w:tc>
          <w:tcPr>
            <w:tcW w:w="2218" w:type="dxa"/>
            <w:tcBorders>
              <w:left w:val="single" w:sz="2" w:space="0" w:color="auto"/>
              <w:bottom w:val="single" w:sz="4" w:space="0" w:color="auto"/>
              <w:right w:val="single" w:sz="2" w:space="0" w:color="auto"/>
            </w:tcBorders>
            <w:shd w:val="clear" w:color="auto" w:fill="auto"/>
          </w:tcPr>
          <w:p w14:paraId="3D059E5E" w14:textId="77777777" w:rsidR="005A24B3" w:rsidRPr="00B46DD4" w:rsidRDefault="005A24B3" w:rsidP="009338EB">
            <w:pPr>
              <w:pStyle w:val="StylePlainTextArial"/>
              <w:spacing w:before="120" w:line="240" w:lineRule="exact"/>
              <w:jc w:val="left"/>
              <w:rPr>
                <w:rFonts w:ascii="Calibri" w:hAnsi="Calibri" w:cs="Arial"/>
                <w:sz w:val="20"/>
                <w:highlight w:val="yellow"/>
              </w:rPr>
            </w:pPr>
            <w:proofErr w:type="spellStart"/>
            <w:r w:rsidRPr="00B46DD4">
              <w:rPr>
                <w:rFonts w:ascii="Calibri" w:hAnsi="Calibri" w:cs="Arial"/>
                <w:sz w:val="20"/>
                <w:highlight w:val="yellow"/>
              </w:rPr>
              <w:t>Ryonet</w:t>
            </w:r>
            <w:proofErr w:type="spellEnd"/>
            <w:r w:rsidRPr="00B46DD4">
              <w:rPr>
                <w:rFonts w:ascii="Calibri" w:hAnsi="Calibri" w:cs="Arial"/>
                <w:sz w:val="20"/>
                <w:highlight w:val="yellow"/>
              </w:rPr>
              <w:t xml:space="preserve"> Building</w:t>
            </w:r>
            <w:r w:rsidRPr="00B46DD4">
              <w:rPr>
                <w:rFonts w:ascii="Calibri" w:hAnsi="Calibri" w:cs="Arial"/>
                <w:sz w:val="20"/>
                <w:highlight w:val="yellow"/>
              </w:rPr>
              <w:br/>
              <w:t>12303 NE 56th Street</w:t>
            </w:r>
            <w:r w:rsidRPr="00B46DD4">
              <w:rPr>
                <w:rFonts w:ascii="Calibri" w:hAnsi="Calibri" w:cs="Arial"/>
                <w:sz w:val="20"/>
                <w:highlight w:val="yellow"/>
              </w:rPr>
              <w:br/>
              <w:t>Vancouver, WA</w:t>
            </w:r>
          </w:p>
        </w:tc>
        <w:tc>
          <w:tcPr>
            <w:tcW w:w="1132" w:type="dxa"/>
            <w:tcBorders>
              <w:left w:val="single" w:sz="2" w:space="0" w:color="auto"/>
              <w:bottom w:val="single" w:sz="4" w:space="0" w:color="auto"/>
            </w:tcBorders>
            <w:shd w:val="clear" w:color="auto" w:fill="auto"/>
          </w:tcPr>
          <w:p w14:paraId="1B994F79"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08/18</w:t>
            </w:r>
            <w:r w:rsidRPr="00B46DD4">
              <w:rPr>
                <w:rFonts w:ascii="Calibri" w:hAnsi="Calibri" w:cs="Arial"/>
                <w:sz w:val="20"/>
                <w:highlight w:val="yellow"/>
              </w:rPr>
              <w:br/>
            </w:r>
          </w:p>
        </w:tc>
        <w:tc>
          <w:tcPr>
            <w:tcW w:w="1391" w:type="dxa"/>
            <w:tcBorders>
              <w:bottom w:val="single" w:sz="4" w:space="0" w:color="auto"/>
            </w:tcBorders>
            <w:shd w:val="clear" w:color="auto" w:fill="auto"/>
          </w:tcPr>
          <w:p w14:paraId="638A87D5"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2004</w:t>
            </w:r>
            <w:r w:rsidRPr="00B46DD4">
              <w:rPr>
                <w:rFonts w:ascii="Calibri" w:hAnsi="Calibri" w:cs="Arial"/>
                <w:sz w:val="20"/>
                <w:highlight w:val="yellow"/>
              </w:rPr>
              <w:br/>
              <w:t xml:space="preserve"> </w:t>
            </w:r>
          </w:p>
        </w:tc>
        <w:tc>
          <w:tcPr>
            <w:tcW w:w="1181" w:type="dxa"/>
            <w:tcBorders>
              <w:bottom w:val="single" w:sz="4" w:space="0" w:color="auto"/>
            </w:tcBorders>
            <w:shd w:val="clear" w:color="auto" w:fill="auto"/>
          </w:tcPr>
          <w:p w14:paraId="5489DD08"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30,000</w:t>
            </w:r>
          </w:p>
        </w:tc>
        <w:tc>
          <w:tcPr>
            <w:tcW w:w="1701" w:type="dxa"/>
            <w:tcBorders>
              <w:bottom w:val="single" w:sz="4" w:space="0" w:color="auto"/>
              <w:right w:val="single" w:sz="2" w:space="0" w:color="auto"/>
            </w:tcBorders>
            <w:shd w:val="clear" w:color="auto" w:fill="auto"/>
          </w:tcPr>
          <w:p w14:paraId="47F14FE7"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$4,850,000</w:t>
            </w:r>
          </w:p>
        </w:tc>
        <w:tc>
          <w:tcPr>
            <w:tcW w:w="921" w:type="dxa"/>
            <w:tcBorders>
              <w:left w:val="single" w:sz="2" w:space="0" w:color="auto"/>
              <w:bottom w:val="single" w:sz="4" w:space="0" w:color="auto"/>
            </w:tcBorders>
            <w:shd w:val="clear" w:color="auto" w:fill="auto"/>
          </w:tcPr>
          <w:p w14:paraId="0F931C26"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5.28 %</w:t>
            </w:r>
          </w:p>
        </w:tc>
      </w:tr>
      <w:tr w:rsidR="005A24B3" w:rsidRPr="00B46DD4" w14:paraId="73C6A4B2" w14:textId="77777777" w:rsidTr="00B46DD4">
        <w:tc>
          <w:tcPr>
            <w:tcW w:w="816" w:type="dxa"/>
            <w:tcBorders>
              <w:bottom w:val="single" w:sz="4" w:space="0" w:color="auto"/>
              <w:right w:val="single" w:sz="2" w:space="0" w:color="auto"/>
            </w:tcBorders>
            <w:shd w:val="clear" w:color="auto" w:fill="auto"/>
          </w:tcPr>
          <w:p w14:paraId="680DB083"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D</w:t>
            </w:r>
          </w:p>
        </w:tc>
        <w:tc>
          <w:tcPr>
            <w:tcW w:w="2218" w:type="dxa"/>
            <w:tcBorders>
              <w:left w:val="single" w:sz="2" w:space="0" w:color="auto"/>
              <w:bottom w:val="single" w:sz="4" w:space="0" w:color="auto"/>
              <w:right w:val="single" w:sz="2" w:space="0" w:color="auto"/>
            </w:tcBorders>
            <w:shd w:val="clear" w:color="auto" w:fill="auto"/>
          </w:tcPr>
          <w:p w14:paraId="703989D9" w14:textId="77777777" w:rsidR="005A24B3" w:rsidRPr="00B46DD4" w:rsidRDefault="005A24B3" w:rsidP="009338EB">
            <w:pPr>
              <w:pStyle w:val="StylePlainTextArial"/>
              <w:spacing w:before="120" w:line="240" w:lineRule="exact"/>
              <w:jc w:val="left"/>
              <w:rPr>
                <w:rFonts w:ascii="Calibri" w:hAnsi="Calibri" w:cs="Arial"/>
                <w:sz w:val="20"/>
                <w:highlight w:val="yellow"/>
              </w:rPr>
            </w:pPr>
            <w:r w:rsidRPr="00B46DD4">
              <w:rPr>
                <w:rFonts w:ascii="Calibri" w:hAnsi="Calibri" w:cs="Arial"/>
                <w:sz w:val="20"/>
                <w:highlight w:val="yellow"/>
              </w:rPr>
              <w:t>Silver Eagle Mfg. Co.</w:t>
            </w:r>
            <w:r w:rsidRPr="00B46DD4">
              <w:rPr>
                <w:rFonts w:ascii="Calibri" w:hAnsi="Calibri" w:cs="Arial"/>
                <w:sz w:val="20"/>
                <w:highlight w:val="yellow"/>
              </w:rPr>
              <w:br/>
              <w:t xml:space="preserve">5825 NE </w:t>
            </w:r>
            <w:proofErr w:type="spellStart"/>
            <w:r w:rsidRPr="00B46DD4">
              <w:rPr>
                <w:rFonts w:ascii="Calibri" w:hAnsi="Calibri" w:cs="Arial"/>
                <w:sz w:val="20"/>
                <w:highlight w:val="yellow"/>
              </w:rPr>
              <w:t>Skyport</w:t>
            </w:r>
            <w:proofErr w:type="spellEnd"/>
            <w:r w:rsidRPr="00B46DD4">
              <w:rPr>
                <w:rFonts w:ascii="Calibri" w:hAnsi="Calibri" w:cs="Arial"/>
                <w:sz w:val="20"/>
                <w:highlight w:val="yellow"/>
              </w:rPr>
              <w:t xml:space="preserve"> Way</w:t>
            </w:r>
            <w:r w:rsidRPr="00B46DD4">
              <w:rPr>
                <w:rFonts w:ascii="Calibri" w:hAnsi="Calibri" w:cs="Arial"/>
                <w:sz w:val="20"/>
                <w:highlight w:val="yellow"/>
              </w:rPr>
              <w:br/>
              <w:t>Portland, OR</w:t>
            </w:r>
          </w:p>
        </w:tc>
        <w:tc>
          <w:tcPr>
            <w:tcW w:w="1132" w:type="dxa"/>
            <w:tcBorders>
              <w:left w:val="single" w:sz="2" w:space="0" w:color="auto"/>
              <w:bottom w:val="single" w:sz="4" w:space="0" w:color="auto"/>
            </w:tcBorders>
            <w:shd w:val="clear" w:color="auto" w:fill="auto"/>
          </w:tcPr>
          <w:p w14:paraId="6A6A3820"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07/18</w:t>
            </w:r>
            <w:r w:rsidRPr="00B46DD4">
              <w:rPr>
                <w:rFonts w:ascii="Calibri" w:hAnsi="Calibri" w:cs="Arial"/>
                <w:sz w:val="20"/>
                <w:highlight w:val="yellow"/>
              </w:rPr>
              <w:br/>
            </w:r>
          </w:p>
        </w:tc>
        <w:tc>
          <w:tcPr>
            <w:tcW w:w="1391" w:type="dxa"/>
            <w:tcBorders>
              <w:bottom w:val="single" w:sz="4" w:space="0" w:color="auto"/>
            </w:tcBorders>
            <w:shd w:val="clear" w:color="auto" w:fill="auto"/>
          </w:tcPr>
          <w:p w14:paraId="07F80BDB"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1979</w:t>
            </w:r>
            <w:r w:rsidRPr="00B46DD4">
              <w:rPr>
                <w:rFonts w:ascii="Calibri" w:hAnsi="Calibri" w:cs="Arial"/>
                <w:sz w:val="20"/>
                <w:highlight w:val="yellow"/>
              </w:rPr>
              <w:br/>
              <w:t xml:space="preserve"> </w:t>
            </w:r>
          </w:p>
        </w:tc>
        <w:tc>
          <w:tcPr>
            <w:tcW w:w="1181" w:type="dxa"/>
            <w:tcBorders>
              <w:bottom w:val="single" w:sz="4" w:space="0" w:color="auto"/>
            </w:tcBorders>
            <w:shd w:val="clear" w:color="auto" w:fill="auto"/>
          </w:tcPr>
          <w:p w14:paraId="51EB7712"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77,960</w:t>
            </w:r>
          </w:p>
        </w:tc>
        <w:tc>
          <w:tcPr>
            <w:tcW w:w="1701" w:type="dxa"/>
            <w:tcBorders>
              <w:bottom w:val="single" w:sz="4" w:space="0" w:color="auto"/>
              <w:right w:val="single" w:sz="2" w:space="0" w:color="auto"/>
            </w:tcBorders>
            <w:shd w:val="clear" w:color="auto" w:fill="auto"/>
          </w:tcPr>
          <w:p w14:paraId="5143D550"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$8,300,000</w:t>
            </w:r>
          </w:p>
        </w:tc>
        <w:tc>
          <w:tcPr>
            <w:tcW w:w="921" w:type="dxa"/>
            <w:tcBorders>
              <w:left w:val="single" w:sz="2" w:space="0" w:color="auto"/>
              <w:bottom w:val="single" w:sz="4" w:space="0" w:color="auto"/>
            </w:tcBorders>
            <w:shd w:val="clear" w:color="auto" w:fill="auto"/>
          </w:tcPr>
          <w:p w14:paraId="325B4DDB"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6.50 %</w:t>
            </w:r>
          </w:p>
        </w:tc>
      </w:tr>
      <w:tr w:rsidR="005A24B3" w:rsidRPr="00B46DD4" w14:paraId="31C15013" w14:textId="77777777" w:rsidTr="00B46DD4">
        <w:tc>
          <w:tcPr>
            <w:tcW w:w="816" w:type="dxa"/>
            <w:tcBorders>
              <w:bottom w:val="single" w:sz="4" w:space="0" w:color="auto"/>
              <w:right w:val="single" w:sz="2" w:space="0" w:color="auto"/>
            </w:tcBorders>
            <w:shd w:val="clear" w:color="auto" w:fill="auto"/>
          </w:tcPr>
          <w:p w14:paraId="26A92E36"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E</w:t>
            </w:r>
          </w:p>
        </w:tc>
        <w:tc>
          <w:tcPr>
            <w:tcW w:w="2218" w:type="dxa"/>
            <w:tcBorders>
              <w:left w:val="single" w:sz="2" w:space="0" w:color="auto"/>
              <w:bottom w:val="single" w:sz="4" w:space="0" w:color="auto"/>
              <w:right w:val="single" w:sz="2" w:space="0" w:color="auto"/>
            </w:tcBorders>
            <w:shd w:val="clear" w:color="auto" w:fill="auto"/>
          </w:tcPr>
          <w:p w14:paraId="435E96AC" w14:textId="77777777" w:rsidR="005A24B3" w:rsidRPr="00B46DD4" w:rsidRDefault="005A24B3" w:rsidP="009338EB">
            <w:pPr>
              <w:pStyle w:val="StylePlainTextArial"/>
              <w:spacing w:before="120" w:line="240" w:lineRule="exact"/>
              <w:jc w:val="left"/>
              <w:rPr>
                <w:rFonts w:ascii="Calibri" w:hAnsi="Calibri" w:cs="Arial"/>
                <w:sz w:val="20"/>
                <w:highlight w:val="yellow"/>
              </w:rPr>
            </w:pPr>
            <w:r w:rsidRPr="00B46DD4">
              <w:rPr>
                <w:rFonts w:ascii="Calibri" w:hAnsi="Calibri" w:cs="Arial"/>
                <w:sz w:val="20"/>
                <w:highlight w:val="yellow"/>
              </w:rPr>
              <w:t>None</w:t>
            </w:r>
            <w:r w:rsidRPr="00B46DD4">
              <w:rPr>
                <w:rFonts w:ascii="Calibri" w:hAnsi="Calibri" w:cs="Arial"/>
                <w:sz w:val="20"/>
                <w:highlight w:val="yellow"/>
              </w:rPr>
              <w:br/>
              <w:t>6333 Lakeview Boulevard</w:t>
            </w:r>
            <w:r w:rsidRPr="00B46DD4">
              <w:rPr>
                <w:rFonts w:ascii="Calibri" w:hAnsi="Calibri" w:cs="Arial"/>
                <w:sz w:val="20"/>
                <w:highlight w:val="yellow"/>
              </w:rPr>
              <w:br/>
              <w:t>Lake Oswego, OR</w:t>
            </w:r>
          </w:p>
        </w:tc>
        <w:tc>
          <w:tcPr>
            <w:tcW w:w="1132" w:type="dxa"/>
            <w:tcBorders>
              <w:left w:val="single" w:sz="2" w:space="0" w:color="auto"/>
              <w:bottom w:val="single" w:sz="4" w:space="0" w:color="auto"/>
            </w:tcBorders>
            <w:shd w:val="clear" w:color="auto" w:fill="auto"/>
          </w:tcPr>
          <w:p w14:paraId="1EC72226"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05/18</w:t>
            </w:r>
            <w:r w:rsidRPr="00B46DD4">
              <w:rPr>
                <w:rFonts w:ascii="Calibri" w:hAnsi="Calibri" w:cs="Arial"/>
                <w:sz w:val="20"/>
                <w:highlight w:val="yellow"/>
              </w:rPr>
              <w:br/>
            </w:r>
          </w:p>
        </w:tc>
        <w:tc>
          <w:tcPr>
            <w:tcW w:w="1391" w:type="dxa"/>
            <w:tcBorders>
              <w:bottom w:val="single" w:sz="4" w:space="0" w:color="auto"/>
            </w:tcBorders>
            <w:shd w:val="clear" w:color="auto" w:fill="auto"/>
          </w:tcPr>
          <w:p w14:paraId="5875C13A"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1967 &amp; 1974</w:t>
            </w:r>
            <w:r w:rsidRPr="00B46DD4">
              <w:rPr>
                <w:rFonts w:ascii="Calibri" w:hAnsi="Calibri" w:cs="Arial"/>
                <w:sz w:val="20"/>
                <w:highlight w:val="yellow"/>
              </w:rPr>
              <w:br/>
              <w:t xml:space="preserve"> </w:t>
            </w:r>
          </w:p>
        </w:tc>
        <w:tc>
          <w:tcPr>
            <w:tcW w:w="1181" w:type="dxa"/>
            <w:tcBorders>
              <w:bottom w:val="single" w:sz="4" w:space="0" w:color="auto"/>
            </w:tcBorders>
            <w:shd w:val="clear" w:color="auto" w:fill="auto"/>
          </w:tcPr>
          <w:p w14:paraId="3882BB77"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27,336</w:t>
            </w:r>
          </w:p>
        </w:tc>
        <w:tc>
          <w:tcPr>
            <w:tcW w:w="1701" w:type="dxa"/>
            <w:tcBorders>
              <w:bottom w:val="single" w:sz="4" w:space="0" w:color="auto"/>
              <w:right w:val="single" w:sz="2" w:space="0" w:color="auto"/>
            </w:tcBorders>
            <w:shd w:val="clear" w:color="auto" w:fill="auto"/>
          </w:tcPr>
          <w:p w14:paraId="0A5EA591"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$3,250,000</w:t>
            </w:r>
          </w:p>
        </w:tc>
        <w:tc>
          <w:tcPr>
            <w:tcW w:w="921" w:type="dxa"/>
            <w:tcBorders>
              <w:left w:val="single" w:sz="2" w:space="0" w:color="auto"/>
              <w:bottom w:val="single" w:sz="4" w:space="0" w:color="auto"/>
            </w:tcBorders>
            <w:shd w:val="clear" w:color="auto" w:fill="auto"/>
          </w:tcPr>
          <w:p w14:paraId="6C025D47"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5.33 %</w:t>
            </w:r>
          </w:p>
        </w:tc>
      </w:tr>
      <w:tr w:rsidR="005A24B3" w:rsidRPr="00EE6F4E" w14:paraId="414BA7C2" w14:textId="77777777" w:rsidTr="00B46DD4">
        <w:tc>
          <w:tcPr>
            <w:tcW w:w="816" w:type="dxa"/>
            <w:tcBorders>
              <w:bottom w:val="single" w:sz="4" w:space="0" w:color="auto"/>
              <w:right w:val="single" w:sz="2" w:space="0" w:color="auto"/>
            </w:tcBorders>
            <w:shd w:val="clear" w:color="auto" w:fill="auto"/>
          </w:tcPr>
          <w:p w14:paraId="6029B64D"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F</w:t>
            </w:r>
          </w:p>
        </w:tc>
        <w:tc>
          <w:tcPr>
            <w:tcW w:w="2218" w:type="dxa"/>
            <w:tcBorders>
              <w:left w:val="single" w:sz="2" w:space="0" w:color="auto"/>
              <w:bottom w:val="single" w:sz="4" w:space="0" w:color="auto"/>
              <w:right w:val="single" w:sz="2" w:space="0" w:color="auto"/>
            </w:tcBorders>
            <w:shd w:val="clear" w:color="auto" w:fill="auto"/>
          </w:tcPr>
          <w:p w14:paraId="3B439A2A" w14:textId="77777777" w:rsidR="005A24B3" w:rsidRPr="00B46DD4" w:rsidRDefault="005A24B3" w:rsidP="009338EB">
            <w:pPr>
              <w:pStyle w:val="StylePlainTextArial"/>
              <w:spacing w:before="120" w:line="240" w:lineRule="exact"/>
              <w:jc w:val="left"/>
              <w:rPr>
                <w:rFonts w:ascii="Calibri" w:hAnsi="Calibri" w:cs="Arial"/>
                <w:sz w:val="20"/>
                <w:highlight w:val="yellow"/>
              </w:rPr>
            </w:pPr>
            <w:r w:rsidRPr="00B46DD4">
              <w:rPr>
                <w:rFonts w:ascii="Calibri" w:hAnsi="Calibri" w:cs="Arial"/>
                <w:sz w:val="20"/>
                <w:highlight w:val="yellow"/>
              </w:rPr>
              <w:t>Pacific Industrial Commons</w:t>
            </w:r>
            <w:r w:rsidRPr="00B46DD4">
              <w:rPr>
                <w:rFonts w:ascii="Calibri" w:hAnsi="Calibri" w:cs="Arial"/>
                <w:sz w:val="20"/>
                <w:highlight w:val="yellow"/>
              </w:rPr>
              <w:br/>
              <w:t>14511 NE 13th Avenue</w:t>
            </w:r>
            <w:r w:rsidRPr="00B46DD4">
              <w:rPr>
                <w:rFonts w:ascii="Calibri" w:hAnsi="Calibri" w:cs="Arial"/>
                <w:sz w:val="20"/>
                <w:highlight w:val="yellow"/>
              </w:rPr>
              <w:br/>
              <w:t>Vancouver, WA</w:t>
            </w:r>
          </w:p>
        </w:tc>
        <w:tc>
          <w:tcPr>
            <w:tcW w:w="1132" w:type="dxa"/>
            <w:tcBorders>
              <w:left w:val="single" w:sz="2" w:space="0" w:color="auto"/>
              <w:bottom w:val="single" w:sz="4" w:space="0" w:color="auto"/>
            </w:tcBorders>
            <w:shd w:val="clear" w:color="auto" w:fill="auto"/>
          </w:tcPr>
          <w:p w14:paraId="2B7E1034"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04/18</w:t>
            </w:r>
            <w:r w:rsidRPr="00B46DD4">
              <w:rPr>
                <w:rFonts w:ascii="Calibri" w:hAnsi="Calibri" w:cs="Arial"/>
                <w:sz w:val="20"/>
                <w:highlight w:val="yellow"/>
              </w:rPr>
              <w:br/>
            </w:r>
          </w:p>
        </w:tc>
        <w:tc>
          <w:tcPr>
            <w:tcW w:w="1391" w:type="dxa"/>
            <w:tcBorders>
              <w:bottom w:val="single" w:sz="4" w:space="0" w:color="auto"/>
            </w:tcBorders>
            <w:shd w:val="clear" w:color="auto" w:fill="auto"/>
          </w:tcPr>
          <w:p w14:paraId="1E4077A7"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1985</w:t>
            </w:r>
            <w:r w:rsidRPr="00B46DD4">
              <w:rPr>
                <w:rFonts w:ascii="Calibri" w:hAnsi="Calibri" w:cs="Arial"/>
                <w:sz w:val="20"/>
                <w:highlight w:val="yellow"/>
              </w:rPr>
              <w:br/>
              <w:t xml:space="preserve"> </w:t>
            </w:r>
          </w:p>
        </w:tc>
        <w:tc>
          <w:tcPr>
            <w:tcW w:w="1181" w:type="dxa"/>
            <w:tcBorders>
              <w:bottom w:val="single" w:sz="4" w:space="0" w:color="auto"/>
            </w:tcBorders>
            <w:shd w:val="clear" w:color="auto" w:fill="auto"/>
          </w:tcPr>
          <w:p w14:paraId="2A3B1690"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44,500</w:t>
            </w:r>
          </w:p>
        </w:tc>
        <w:tc>
          <w:tcPr>
            <w:tcW w:w="1701" w:type="dxa"/>
            <w:tcBorders>
              <w:bottom w:val="single" w:sz="4" w:space="0" w:color="auto"/>
              <w:right w:val="single" w:sz="2" w:space="0" w:color="auto"/>
            </w:tcBorders>
            <w:shd w:val="clear" w:color="auto" w:fill="auto"/>
          </w:tcPr>
          <w:p w14:paraId="37DD646F" w14:textId="77777777" w:rsidR="005A24B3" w:rsidRPr="00B46DD4" w:rsidRDefault="005A24B3" w:rsidP="009338EB">
            <w:pPr>
              <w:pStyle w:val="StylePlainTextArial"/>
              <w:spacing w:before="120" w:line="240" w:lineRule="exact"/>
              <w:jc w:val="center"/>
              <w:rPr>
                <w:rFonts w:ascii="Calibri" w:hAnsi="Calibri" w:cs="Arial"/>
                <w:sz w:val="20"/>
                <w:highlight w:val="yellow"/>
              </w:rPr>
            </w:pPr>
            <w:r w:rsidRPr="00B46DD4">
              <w:rPr>
                <w:rFonts w:ascii="Calibri" w:hAnsi="Calibri" w:cs="Arial"/>
                <w:sz w:val="20"/>
                <w:highlight w:val="yellow"/>
              </w:rPr>
              <w:t>$5,325,000</w:t>
            </w:r>
          </w:p>
        </w:tc>
        <w:tc>
          <w:tcPr>
            <w:tcW w:w="921" w:type="dxa"/>
            <w:tcBorders>
              <w:left w:val="single" w:sz="2" w:space="0" w:color="auto"/>
              <w:bottom w:val="single" w:sz="4" w:space="0" w:color="auto"/>
            </w:tcBorders>
            <w:shd w:val="clear" w:color="auto" w:fill="auto"/>
          </w:tcPr>
          <w:p w14:paraId="4362D329" w14:textId="77777777" w:rsidR="005A24B3" w:rsidRPr="00EE6F4E" w:rsidRDefault="005A24B3" w:rsidP="009338EB">
            <w:pPr>
              <w:pStyle w:val="StylePlainTextArial"/>
              <w:spacing w:before="120" w:line="240" w:lineRule="exact"/>
              <w:jc w:val="center"/>
              <w:rPr>
                <w:rFonts w:ascii="Calibri" w:hAnsi="Calibri" w:cs="Arial"/>
                <w:sz w:val="20"/>
              </w:rPr>
            </w:pPr>
            <w:r w:rsidRPr="00B46DD4">
              <w:rPr>
                <w:rFonts w:ascii="Calibri" w:hAnsi="Calibri" w:cs="Arial"/>
                <w:sz w:val="20"/>
                <w:highlight w:val="yellow"/>
              </w:rPr>
              <w:t>6.54 %</w:t>
            </w:r>
          </w:p>
        </w:tc>
      </w:tr>
    </w:tbl>
    <w:p w14:paraId="0E6F8B7B" w14:textId="77777777" w:rsidR="005A24B3" w:rsidRDefault="005A24B3" w:rsidP="005A24B3">
      <w:pPr>
        <w:rPr>
          <w:rFonts w:cs="Arial"/>
          <w:szCs w:val="22"/>
        </w:rPr>
      </w:pPr>
    </w:p>
    <w:p w14:paraId="6846A487" w14:textId="77777777" w:rsidR="005A24B3" w:rsidRDefault="005A24B3" w:rsidP="005A24B3">
      <w:pPr>
        <w:rPr>
          <w:rFonts w:cs="Arial"/>
          <w:szCs w:val="22"/>
        </w:rPr>
      </w:pPr>
    </w:p>
    <w:p w14:paraId="7922CDBE" w14:textId="77777777" w:rsidR="005A24B3" w:rsidRPr="001433D6" w:rsidRDefault="005A24B3" w:rsidP="005A24B3">
      <w:pPr>
        <w:rPr>
          <w:rFonts w:cs="Arial"/>
          <w:szCs w:val="22"/>
        </w:rPr>
      </w:pPr>
      <w:r w:rsidRPr="006E4B39">
        <w:rPr>
          <w:rFonts w:cs="Arial"/>
          <w:szCs w:val="22"/>
        </w:rPr>
        <w:t xml:space="preserve">The surveyed improved sales data indicate a range of capitalization rates from </w:t>
      </w:r>
      <w:r w:rsidR="00B46DD4">
        <w:rPr>
          <w:rFonts w:cs="Arial"/>
          <w:szCs w:val="22"/>
          <w:highlight w:val="yellow"/>
        </w:rPr>
        <w:t>______</w:t>
      </w:r>
      <w:r w:rsidRPr="00B46DD4">
        <w:rPr>
          <w:rFonts w:cs="Arial"/>
          <w:szCs w:val="22"/>
          <w:highlight w:val="yellow"/>
        </w:rPr>
        <w:t xml:space="preserve">% to </w:t>
      </w:r>
      <w:r w:rsidR="00B46DD4">
        <w:rPr>
          <w:rFonts w:cs="Arial"/>
          <w:szCs w:val="22"/>
          <w:highlight w:val="yellow"/>
        </w:rPr>
        <w:t>______</w:t>
      </w:r>
      <w:r w:rsidRPr="00B46DD4">
        <w:rPr>
          <w:rFonts w:cs="Arial"/>
          <w:szCs w:val="22"/>
          <w:highlight w:val="yellow"/>
        </w:rPr>
        <w:t>%</w:t>
      </w:r>
      <w:r>
        <w:rPr>
          <w:rFonts w:cs="Arial"/>
          <w:szCs w:val="22"/>
        </w:rPr>
        <w:t xml:space="preserve"> </w:t>
      </w:r>
      <w:r w:rsidRPr="00B46DD4">
        <w:rPr>
          <w:rFonts w:cs="Arial"/>
          <w:szCs w:val="22"/>
          <w:highlight w:val="yellow"/>
        </w:rPr>
        <w:t xml:space="preserve">(average = </w:t>
      </w:r>
      <w:r w:rsidR="00B46DD4" w:rsidRPr="00B46DD4">
        <w:rPr>
          <w:rFonts w:cs="Arial"/>
          <w:szCs w:val="22"/>
          <w:highlight w:val="yellow"/>
        </w:rPr>
        <w:t>______</w:t>
      </w:r>
      <w:r w:rsidRPr="00B46DD4">
        <w:rPr>
          <w:rFonts w:cs="Arial"/>
          <w:szCs w:val="22"/>
          <w:highlight w:val="yellow"/>
        </w:rPr>
        <w:t>%).</w:t>
      </w:r>
      <w:r>
        <w:rPr>
          <w:rFonts w:cs="Arial"/>
          <w:szCs w:val="22"/>
        </w:rPr>
        <w:t xml:space="preserve">  Considering the subject’s average condition with some recent updating and average exposure </w:t>
      </w:r>
      <w:r w:rsidRPr="001433D6">
        <w:rPr>
          <w:rFonts w:cs="Arial"/>
          <w:szCs w:val="22"/>
        </w:rPr>
        <w:t xml:space="preserve">location on </w:t>
      </w:r>
      <w:r>
        <w:rPr>
          <w:rFonts w:cs="Arial"/>
          <w:szCs w:val="22"/>
        </w:rPr>
        <w:t xml:space="preserve">a </w:t>
      </w:r>
      <w:r w:rsidRPr="001433D6">
        <w:rPr>
          <w:rFonts w:cs="Arial"/>
          <w:szCs w:val="22"/>
        </w:rPr>
        <w:t xml:space="preserve">secondary </w:t>
      </w:r>
      <w:r>
        <w:rPr>
          <w:rFonts w:cs="Arial"/>
          <w:szCs w:val="22"/>
        </w:rPr>
        <w:t xml:space="preserve">commercial corridor, mid-range </w:t>
      </w:r>
      <w:r w:rsidRPr="001433D6">
        <w:rPr>
          <w:rFonts w:cs="Arial"/>
          <w:szCs w:val="22"/>
        </w:rPr>
        <w:t xml:space="preserve">indicator is considered supportable.  </w:t>
      </w:r>
    </w:p>
    <w:p w14:paraId="473BF825" w14:textId="77777777" w:rsidR="005A24B3" w:rsidRPr="001433D6" w:rsidRDefault="005A24B3" w:rsidP="005A24B3">
      <w:pPr>
        <w:rPr>
          <w:rFonts w:cs="Arial"/>
          <w:szCs w:val="22"/>
        </w:rPr>
      </w:pPr>
    </w:p>
    <w:p w14:paraId="62AB82AC" w14:textId="77777777" w:rsidR="005A24B3" w:rsidRPr="001433D6" w:rsidRDefault="005A24B3" w:rsidP="005A24B3">
      <w:pPr>
        <w:rPr>
          <w:rFonts w:cs="Arial"/>
          <w:szCs w:val="22"/>
        </w:rPr>
      </w:pPr>
      <w:r w:rsidRPr="001433D6">
        <w:rPr>
          <w:rFonts w:cs="Arial"/>
          <w:szCs w:val="22"/>
        </w:rPr>
        <w:t xml:space="preserve">Based on the preceding, a </w:t>
      </w:r>
      <w:r w:rsidRPr="00B46DD4">
        <w:rPr>
          <w:rFonts w:cs="Arial"/>
          <w:szCs w:val="22"/>
          <w:highlight w:val="yellow"/>
        </w:rPr>
        <w:t>mid-range</w:t>
      </w:r>
      <w:r w:rsidRPr="001433D6">
        <w:rPr>
          <w:rFonts w:cs="Arial"/>
          <w:szCs w:val="22"/>
        </w:rPr>
        <w:t xml:space="preserve"> </w:t>
      </w:r>
      <w:r w:rsidRPr="001433D6">
        <w:rPr>
          <w:rFonts w:cs="Arial"/>
          <w:b/>
          <w:szCs w:val="22"/>
        </w:rPr>
        <w:t>direct capitalization rate</w:t>
      </w:r>
      <w:r w:rsidRPr="001433D6">
        <w:rPr>
          <w:rFonts w:cs="Arial"/>
          <w:szCs w:val="22"/>
        </w:rPr>
        <w:t xml:space="preserve"> of </w:t>
      </w:r>
      <w:r w:rsidR="00B46DD4" w:rsidRPr="00B46DD4">
        <w:rPr>
          <w:rFonts w:cs="Arial"/>
          <w:b/>
          <w:szCs w:val="22"/>
          <w:highlight w:val="yellow"/>
        </w:rPr>
        <w:t>_______</w:t>
      </w:r>
      <w:r w:rsidRPr="00B46DD4">
        <w:rPr>
          <w:rFonts w:cs="Arial"/>
          <w:b/>
          <w:szCs w:val="22"/>
          <w:highlight w:val="yellow"/>
        </w:rPr>
        <w:t>%</w:t>
      </w:r>
      <w:r w:rsidRPr="001433D6">
        <w:rPr>
          <w:rFonts w:cs="Arial"/>
          <w:b/>
          <w:szCs w:val="22"/>
        </w:rPr>
        <w:t xml:space="preserve"> </w:t>
      </w:r>
      <w:r w:rsidRPr="001433D6">
        <w:rPr>
          <w:rFonts w:cs="Arial"/>
          <w:szCs w:val="22"/>
        </w:rPr>
        <w:t>is considered reasonable for the subject property on a stabilized basis.</w:t>
      </w:r>
    </w:p>
    <w:p w14:paraId="68C0FB84" w14:textId="77777777" w:rsidR="005A24B3" w:rsidRPr="00B671CF" w:rsidRDefault="005A24B3" w:rsidP="005A24B3">
      <w:pPr>
        <w:keepNext/>
        <w:keepLines/>
        <w:spacing w:before="260"/>
        <w:outlineLvl w:val="1"/>
        <w:rPr>
          <w:rFonts w:cs="Arial"/>
          <w:iCs/>
          <w:color w:val="1E4959"/>
          <w:sz w:val="28"/>
          <w:szCs w:val="22"/>
        </w:rPr>
      </w:pPr>
      <w:r w:rsidRPr="001433D6">
        <w:rPr>
          <w:rFonts w:cs="Arial"/>
          <w:iCs/>
          <w:color w:val="1E4959"/>
          <w:sz w:val="28"/>
          <w:szCs w:val="22"/>
        </w:rPr>
        <w:t>Concluded Market Value Via The</w:t>
      </w:r>
      <w:r w:rsidRPr="004B08E2">
        <w:rPr>
          <w:rFonts w:cs="Arial"/>
          <w:iCs/>
          <w:color w:val="1E4959"/>
          <w:sz w:val="28"/>
          <w:szCs w:val="22"/>
        </w:rPr>
        <w:t xml:space="preserve"> Income Capitalization</w:t>
      </w:r>
      <w:r w:rsidRPr="00B671CF">
        <w:rPr>
          <w:rFonts w:cs="Arial"/>
          <w:iCs/>
          <w:color w:val="1E4959"/>
          <w:sz w:val="28"/>
          <w:szCs w:val="22"/>
        </w:rPr>
        <w:t xml:space="preserve"> Approach </w:t>
      </w:r>
    </w:p>
    <w:p w14:paraId="4E7DDA88" w14:textId="77777777" w:rsidR="005A24B3" w:rsidRPr="000754FA" w:rsidRDefault="005A24B3" w:rsidP="005A24B3">
      <w:pPr>
        <w:rPr>
          <w:rFonts w:cs="Arial"/>
          <w:szCs w:val="22"/>
        </w:rPr>
      </w:pPr>
      <w:r w:rsidRPr="00B671CF">
        <w:rPr>
          <w:rFonts w:cs="Arial"/>
          <w:szCs w:val="22"/>
        </w:rPr>
        <w:t xml:space="preserve">To value the subject by Direct Capitalization, the Net Operating Income was divided by the selected overall rate yielding a </w:t>
      </w:r>
      <w:r w:rsidRPr="00B671CF">
        <w:rPr>
          <w:rFonts w:cs="Arial"/>
          <w:b/>
          <w:bCs/>
          <w:szCs w:val="22"/>
        </w:rPr>
        <w:t xml:space="preserve">stabilized </w:t>
      </w:r>
      <w:r w:rsidRPr="00B671CF">
        <w:rPr>
          <w:rFonts w:cs="Arial"/>
          <w:b/>
          <w:szCs w:val="22"/>
        </w:rPr>
        <w:t>market value</w:t>
      </w:r>
      <w:r w:rsidRPr="00B671CF">
        <w:rPr>
          <w:rFonts w:cs="Arial"/>
          <w:szCs w:val="22"/>
        </w:rPr>
        <w:t xml:space="preserve"> of the </w:t>
      </w:r>
      <w:r>
        <w:rPr>
          <w:rFonts w:cs="Arial"/>
          <w:szCs w:val="22"/>
          <w:u w:val="single"/>
        </w:rPr>
        <w:t>fee simple</w:t>
      </w:r>
      <w:r w:rsidRPr="00B671CF">
        <w:rPr>
          <w:rFonts w:cs="Arial"/>
          <w:szCs w:val="22"/>
        </w:rPr>
        <w:t xml:space="preserve"> interest in the subject property via the </w:t>
      </w:r>
      <w:r w:rsidRPr="00B671CF">
        <w:rPr>
          <w:rFonts w:cs="Arial"/>
          <w:b/>
          <w:szCs w:val="22"/>
        </w:rPr>
        <w:t>Income Capitalization Approach</w:t>
      </w:r>
      <w:r w:rsidRPr="00B671CF">
        <w:rPr>
          <w:rFonts w:cs="Arial"/>
          <w:szCs w:val="22"/>
        </w:rPr>
        <w:t>, rounded to:</w:t>
      </w:r>
      <w:r w:rsidRPr="000754FA">
        <w:rPr>
          <w:rFonts w:cs="Arial"/>
          <w:szCs w:val="22"/>
        </w:rPr>
        <w:t xml:space="preserve"> </w:t>
      </w:r>
    </w:p>
    <w:p w14:paraId="4D357C9B" w14:textId="77777777" w:rsidR="005A24B3" w:rsidRPr="000754FA" w:rsidRDefault="005A24B3" w:rsidP="005A24B3">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5A24B3" w:rsidRPr="000754FA" w14:paraId="389ACF66" w14:textId="77777777" w:rsidTr="009338EB">
        <w:trPr>
          <w:jc w:val="center"/>
        </w:trPr>
        <w:tc>
          <w:tcPr>
            <w:tcW w:w="5314" w:type="dxa"/>
            <w:tcBorders>
              <w:bottom w:val="single" w:sz="24" w:space="0" w:color="3FB44F"/>
            </w:tcBorders>
            <w:shd w:val="clear" w:color="auto" w:fill="1E4959"/>
          </w:tcPr>
          <w:p w14:paraId="17FA210D" w14:textId="77777777" w:rsidR="005A24B3" w:rsidRPr="000754FA" w:rsidRDefault="005A24B3" w:rsidP="009338EB">
            <w:pPr>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71D2A1EC" w14:textId="77777777" w:rsidR="005A24B3" w:rsidRPr="000754FA" w:rsidRDefault="005A24B3" w:rsidP="009338EB">
            <w:pPr>
              <w:tabs>
                <w:tab w:val="left" w:pos="0"/>
                <w:tab w:val="left" w:pos="259"/>
                <w:tab w:val="left" w:pos="518"/>
              </w:tabs>
              <w:spacing w:line="273" w:lineRule="exact"/>
              <w:jc w:val="right"/>
              <w:rPr>
                <w:rFonts w:cs="Arial"/>
                <w:szCs w:val="22"/>
              </w:rPr>
            </w:pPr>
          </w:p>
        </w:tc>
      </w:tr>
      <w:tr w:rsidR="005A24B3" w:rsidRPr="000754FA" w14:paraId="01625E04" w14:textId="77777777" w:rsidTr="009338EB">
        <w:trPr>
          <w:jc w:val="center"/>
        </w:trPr>
        <w:tc>
          <w:tcPr>
            <w:tcW w:w="5314" w:type="dxa"/>
            <w:tcBorders>
              <w:top w:val="single" w:sz="24" w:space="0" w:color="3FB44F"/>
              <w:bottom w:val="double" w:sz="6" w:space="0" w:color="auto"/>
              <w:right w:val="single" w:sz="6" w:space="0" w:color="auto"/>
            </w:tcBorders>
          </w:tcPr>
          <w:p w14:paraId="26134EDA" w14:textId="77777777" w:rsidR="005A24B3" w:rsidRPr="009D6578" w:rsidRDefault="005A24B3" w:rsidP="009338EB">
            <w:pPr>
              <w:tabs>
                <w:tab w:val="left" w:pos="0"/>
                <w:tab w:val="left" w:pos="259"/>
                <w:tab w:val="left" w:pos="518"/>
              </w:tabs>
              <w:spacing w:before="120"/>
              <w:jc w:val="left"/>
              <w:rPr>
                <w:rFonts w:cs="Arial"/>
                <w:b/>
                <w:szCs w:val="22"/>
              </w:rPr>
            </w:pPr>
            <w:r w:rsidRPr="009D6578">
              <w:rPr>
                <w:rFonts w:cs="Arial"/>
                <w:b/>
                <w:szCs w:val="22"/>
              </w:rPr>
              <w:t xml:space="preserve">Concluded Market Value Via the </w:t>
            </w:r>
          </w:p>
          <w:p w14:paraId="4DC4D005" w14:textId="77777777" w:rsidR="005A24B3" w:rsidRPr="009D6578" w:rsidRDefault="005A24B3" w:rsidP="009338EB">
            <w:pPr>
              <w:tabs>
                <w:tab w:val="left" w:pos="0"/>
                <w:tab w:val="left" w:pos="259"/>
                <w:tab w:val="left" w:pos="518"/>
              </w:tabs>
              <w:spacing w:after="58"/>
              <w:jc w:val="left"/>
              <w:rPr>
                <w:rFonts w:cs="Arial"/>
                <w:b/>
                <w:szCs w:val="22"/>
              </w:rPr>
            </w:pPr>
            <w:r w:rsidRPr="009D6578">
              <w:rPr>
                <w:rFonts w:cs="Arial"/>
                <w:b/>
                <w:szCs w:val="22"/>
              </w:rPr>
              <w:t>Income Capitalization Approach:</w:t>
            </w:r>
          </w:p>
        </w:tc>
        <w:tc>
          <w:tcPr>
            <w:tcW w:w="1976" w:type="dxa"/>
            <w:tcBorders>
              <w:top w:val="single" w:sz="24" w:space="0" w:color="3FB44F"/>
              <w:left w:val="nil"/>
              <w:bottom w:val="double" w:sz="6" w:space="0" w:color="auto"/>
            </w:tcBorders>
          </w:tcPr>
          <w:p w14:paraId="126D2CF5" w14:textId="77777777" w:rsidR="005A24B3" w:rsidRPr="000754FA" w:rsidRDefault="005A24B3" w:rsidP="009338EB">
            <w:pPr>
              <w:tabs>
                <w:tab w:val="left" w:pos="0"/>
                <w:tab w:val="left" w:pos="259"/>
                <w:tab w:val="left" w:pos="518"/>
              </w:tabs>
              <w:spacing w:before="120" w:after="58" w:line="400" w:lineRule="exact"/>
              <w:jc w:val="center"/>
              <w:rPr>
                <w:rFonts w:cs="Arial"/>
                <w:b/>
                <w:szCs w:val="22"/>
              </w:rPr>
            </w:pPr>
            <w:r w:rsidRPr="008A1229">
              <w:rPr>
                <w:rFonts w:cs="Arial"/>
                <w:b/>
                <w:szCs w:val="22"/>
                <w:highlight w:val="yellow"/>
              </w:rPr>
              <w:t>$</w:t>
            </w:r>
            <w:r w:rsidR="00B46DD4" w:rsidRPr="008A1229">
              <w:rPr>
                <w:rFonts w:cs="Arial"/>
                <w:b/>
                <w:szCs w:val="22"/>
                <w:highlight w:val="yellow"/>
              </w:rPr>
              <w:t>____________</w:t>
            </w:r>
          </w:p>
        </w:tc>
      </w:tr>
    </w:tbl>
    <w:p w14:paraId="35BD7CF8" w14:textId="77777777" w:rsidR="005A24B3" w:rsidRDefault="005A24B3" w:rsidP="005A24B3">
      <w:pPr>
        <w:pStyle w:val="Style1"/>
        <w:widowControl/>
        <w:tabs>
          <w:tab w:val="clear" w:pos="4680"/>
        </w:tabs>
        <w:rPr>
          <w:rFonts w:cs="Arial"/>
          <w:kern w:val="20"/>
          <w:szCs w:val="22"/>
        </w:rPr>
      </w:pPr>
    </w:p>
    <w:p w14:paraId="417014CE" w14:textId="77777777" w:rsidR="005A24B3" w:rsidRDefault="005A24B3" w:rsidP="005A24B3">
      <w:pPr>
        <w:widowControl w:val="0"/>
        <w:spacing w:after="120"/>
        <w:rPr>
          <w:rFonts w:cs="Arial"/>
          <w:szCs w:val="22"/>
        </w:rPr>
      </w:pPr>
      <w:r w:rsidRPr="00DF65C6">
        <w:rPr>
          <w:rFonts w:cs="Arial"/>
          <w:szCs w:val="22"/>
        </w:rPr>
        <w:t>Our analysis of the subject property via the Income Capitalization Approach is presented on the following page.</w:t>
      </w:r>
    </w:p>
    <w:p w14:paraId="03DAF88F" w14:textId="77777777" w:rsidR="005A24B3" w:rsidRDefault="005A24B3" w:rsidP="005A24B3">
      <w:pPr>
        <w:widowControl w:val="0"/>
        <w:spacing w:after="120"/>
        <w:rPr>
          <w:rFonts w:cs="Arial"/>
          <w:szCs w:val="22"/>
        </w:rPr>
        <w:sectPr w:rsidR="005A24B3" w:rsidSect="00163501">
          <w:headerReference w:type="default" r:id="rId14"/>
          <w:pgSz w:w="12240" w:h="15840"/>
          <w:pgMar w:top="1440" w:right="1440" w:bottom="720" w:left="1440" w:header="720" w:footer="720" w:gutter="0"/>
          <w:cols w:space="720"/>
          <w:docGrid w:linePitch="360"/>
        </w:sectPr>
      </w:pPr>
    </w:p>
    <w:p w14:paraId="027E31A3" w14:textId="77777777" w:rsidR="005A24B3" w:rsidRDefault="008A1229" w:rsidP="005A24B3">
      <w:pPr>
        <w:widowControl w:val="0"/>
        <w:spacing w:after="120"/>
        <w:ind w:left="-720"/>
        <w:rPr>
          <w:rFonts w:cs="Arial"/>
          <w:szCs w:val="22"/>
        </w:rPr>
      </w:pPr>
      <w:r w:rsidRPr="008A1229">
        <w:rPr>
          <w:noProof/>
        </w:rPr>
        <w:lastRenderedPageBreak/>
        <w:drawing>
          <wp:inline distT="0" distB="0" distL="0" distR="0" wp14:anchorId="37CDB78C" wp14:editId="6A073EB0">
            <wp:extent cx="6871855" cy="4970348"/>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6450" cy="4973672"/>
                    </a:xfrm>
                    <a:prstGeom prst="rect">
                      <a:avLst/>
                    </a:prstGeom>
                    <a:noFill/>
                    <a:ln>
                      <a:noFill/>
                    </a:ln>
                  </pic:spPr>
                </pic:pic>
              </a:graphicData>
            </a:graphic>
          </wp:inline>
        </w:drawing>
      </w:r>
      <w:r w:rsidR="005A24B3" w:rsidRPr="004C46AD">
        <w:t xml:space="preserve"> </w:t>
      </w:r>
      <w:r w:rsidR="005A24B3" w:rsidRPr="00117877">
        <w:t xml:space="preserve"> </w:t>
      </w:r>
      <w:r w:rsidR="005A24B3" w:rsidRPr="002278EA">
        <w:t xml:space="preserve"> </w:t>
      </w:r>
      <w:r w:rsidR="005A24B3" w:rsidRPr="00483A54">
        <w:t xml:space="preserve"> </w:t>
      </w:r>
    </w:p>
    <w:p w14:paraId="3E42E9B8" w14:textId="77777777" w:rsidR="005A24B3" w:rsidRPr="000754FA" w:rsidRDefault="005A24B3" w:rsidP="005A24B3">
      <w:pPr>
        <w:rPr>
          <w:rFonts w:eastAsia="Calibri" w:cs="Arial"/>
          <w:color w:val="000000"/>
          <w:szCs w:val="22"/>
        </w:rPr>
        <w:sectPr w:rsidR="005A24B3" w:rsidRPr="000754FA" w:rsidSect="00AD7FDD">
          <w:headerReference w:type="default" r:id="rId16"/>
          <w:pgSz w:w="12240" w:h="15840"/>
          <w:pgMar w:top="1440" w:right="1440" w:bottom="720" w:left="1440" w:header="720" w:footer="720" w:gutter="0"/>
          <w:cols w:space="720"/>
          <w:vAlign w:val="center"/>
          <w:docGrid w:linePitch="360"/>
        </w:sectPr>
      </w:pPr>
    </w:p>
    <w:p w14:paraId="280D17D5" w14:textId="77777777" w:rsidR="00DA4B42" w:rsidRDefault="00DA4B42"/>
    <w:sectPr w:rsidR="00DA4B42" w:rsidSect="00B651F9">
      <w:pgSz w:w="12240" w:h="15840" w:code="1"/>
      <w:pgMar w:top="1440" w:right="720" w:bottom="720" w:left="72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4DDF5" w14:textId="77777777" w:rsidR="00000000" w:rsidRDefault="00E34B12">
      <w:r>
        <w:separator/>
      </w:r>
    </w:p>
  </w:endnote>
  <w:endnote w:type="continuationSeparator" w:id="0">
    <w:p w14:paraId="43BB9E8C" w14:textId="77777777" w:rsidR="00000000" w:rsidRDefault="00E3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CD50F" w14:textId="77777777" w:rsidR="00000000" w:rsidRDefault="00E34B12">
      <w:r>
        <w:separator/>
      </w:r>
    </w:p>
  </w:footnote>
  <w:footnote w:type="continuationSeparator" w:id="0">
    <w:p w14:paraId="46738411" w14:textId="77777777" w:rsidR="00000000" w:rsidRDefault="00E34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462D82" w:rsidRPr="006C283F" w14:paraId="7C6D1637" w14:textId="77777777" w:rsidTr="00CA3661">
      <w:trPr>
        <w:trHeight w:val="800"/>
      </w:trPr>
      <w:tc>
        <w:tcPr>
          <w:tcW w:w="5124" w:type="dxa"/>
        </w:tcPr>
        <w:p w14:paraId="0D0D372A" w14:textId="77777777" w:rsidR="00462D82" w:rsidRDefault="008A1229" w:rsidP="00492705">
          <w:pPr>
            <w:pStyle w:val="ValbridgeHeader"/>
            <w:spacing w:line="240" w:lineRule="auto"/>
            <w:jc w:val="left"/>
          </w:pPr>
          <w:r w:rsidRPr="006C283F">
            <w:rPr>
              <w:noProof/>
            </w:rPr>
            <w:drawing>
              <wp:inline distT="0" distB="0" distL="0" distR="0" wp14:anchorId="6B68C125" wp14:editId="2CC69A42">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F09F7DC" w14:textId="4324058F" w:rsidR="00462D82" w:rsidRPr="00F01ADE" w:rsidRDefault="00E34B12"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${cappropname}</w:t>
          </w:r>
        </w:p>
        <w:p w14:paraId="4C769634" w14:textId="77777777" w:rsidR="00462D82" w:rsidRPr="00883365" w:rsidRDefault="008A1229"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7FFA2733" w14:textId="77777777" w:rsidR="00462D82" w:rsidRDefault="00E34B12" w:rsidP="00FE229A">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592"/>
    </w:tblGrid>
    <w:tr w:rsidR="00462D82" w:rsidRPr="006C283F" w14:paraId="4D3E2A5C" w14:textId="77777777" w:rsidTr="00AD7FDD">
      <w:trPr>
        <w:trHeight w:val="800"/>
      </w:trPr>
      <w:tc>
        <w:tcPr>
          <w:tcW w:w="4854" w:type="dxa"/>
        </w:tcPr>
        <w:p w14:paraId="44CC8F56" w14:textId="77777777" w:rsidR="00462D82" w:rsidRDefault="008A1229" w:rsidP="00492705">
          <w:pPr>
            <w:pStyle w:val="ValbridgeHeader"/>
            <w:spacing w:line="240" w:lineRule="auto"/>
            <w:jc w:val="left"/>
          </w:pPr>
          <w:r w:rsidRPr="006C283F">
            <w:rPr>
              <w:noProof/>
            </w:rPr>
            <w:drawing>
              <wp:inline distT="0" distB="0" distL="0" distR="0" wp14:anchorId="5A18AC84" wp14:editId="7F9F3C49">
                <wp:extent cx="2231136" cy="493776"/>
                <wp:effectExtent l="0" t="0" r="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5226" w:type="dxa"/>
          <w:vAlign w:val="center"/>
        </w:tcPr>
        <w:p w14:paraId="76A3B180" w14:textId="77777777" w:rsidR="00462D82" w:rsidRPr="00F01ADE" w:rsidRDefault="008A1229"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SINGLE-TENANT INDUSTRIAL PROPERTY</w:t>
          </w:r>
        </w:p>
        <w:p w14:paraId="00DD84D9" w14:textId="77777777" w:rsidR="00462D82" w:rsidRPr="00883365" w:rsidRDefault="008A1229"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64EBE7BC" w14:textId="77777777" w:rsidR="00462D82" w:rsidRDefault="00E34B12" w:rsidP="00BA6391">
    <w:pPr>
      <w:pStyle w:val="ValbridgeHeader"/>
      <w:tabs>
        <w:tab w:val="left" w:pos="2235"/>
        <w:tab w:val="right" w:pos="9360"/>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4"/>
      <w:gridCol w:w="5226"/>
    </w:tblGrid>
    <w:tr w:rsidR="00462D82" w:rsidRPr="006C283F" w14:paraId="29F5BF67" w14:textId="77777777" w:rsidTr="00AD7FDD">
      <w:trPr>
        <w:trHeight w:val="800"/>
      </w:trPr>
      <w:tc>
        <w:tcPr>
          <w:tcW w:w="4854" w:type="dxa"/>
        </w:tcPr>
        <w:p w14:paraId="50167815" w14:textId="77777777" w:rsidR="00462D82" w:rsidRDefault="008A1229" w:rsidP="00492705">
          <w:pPr>
            <w:pStyle w:val="ValbridgeHeader"/>
            <w:spacing w:line="240" w:lineRule="auto"/>
            <w:jc w:val="left"/>
          </w:pPr>
          <w:r w:rsidRPr="006C283F">
            <w:rPr>
              <w:noProof/>
            </w:rPr>
            <w:drawing>
              <wp:inline distT="0" distB="0" distL="0" distR="0" wp14:anchorId="1AD8B1C9" wp14:editId="062929D7">
                <wp:extent cx="2231136" cy="493776"/>
                <wp:effectExtent l="0" t="0" r="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5226" w:type="dxa"/>
          <w:vAlign w:val="center"/>
        </w:tcPr>
        <w:p w14:paraId="0909ADE0" w14:textId="77777777" w:rsidR="00462D82" w:rsidRPr="00F01ADE" w:rsidRDefault="008A1229"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SINGLE-TENANT INDUSTRIAL PROPERTY</w:t>
          </w:r>
        </w:p>
        <w:p w14:paraId="53602199" w14:textId="77777777" w:rsidR="00462D82" w:rsidRPr="00883365" w:rsidRDefault="008A1229"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53BC9D92" w14:textId="77777777" w:rsidR="00462D82" w:rsidRDefault="00E34B12" w:rsidP="00BA6391">
    <w:pPr>
      <w:pStyle w:val="ValbridgeHeader"/>
      <w:tabs>
        <w:tab w:val="left" w:pos="2235"/>
        <w:tab w:val="right" w:pos="9360"/>
      </w:tabs>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5A24B3"/>
    <w:rsid w:val="008A1229"/>
    <w:rsid w:val="00B46DD4"/>
    <w:rsid w:val="00B651F9"/>
    <w:rsid w:val="00DA4B42"/>
    <w:rsid w:val="00E3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52C9"/>
  <w15:chartTrackingRefBased/>
  <w15:docId w15:val="{91D027CB-9A0D-43F1-89DE-41B17193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E34B12"/>
    <w:pPr>
      <w:tabs>
        <w:tab w:val="center" w:pos="4680"/>
        <w:tab w:val="right" w:pos="9360"/>
      </w:tabs>
    </w:pPr>
  </w:style>
  <w:style w:type="character" w:customStyle="1" w:styleId="HeaderChar">
    <w:name w:val="Header Char"/>
    <w:basedOn w:val="DefaultParagraphFont"/>
    <w:link w:val="Header"/>
    <w:uiPriority w:val="99"/>
    <w:rsid w:val="00E34B12"/>
    <w:rPr>
      <w:rFonts w:eastAsia="Times New Roman" w:cs="Times New Roman"/>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C90538-7CBE-421C-B67B-108A1CAD7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9D283B-D468-449C-888F-E6148BBF2CEE}">
  <ds:schemaRefs>
    <ds:schemaRef ds:uri="http://schemas.microsoft.com/sharepoint/v3/contenttype/forms"/>
  </ds:schemaRefs>
</ds:datastoreItem>
</file>

<file path=customXml/itemProps3.xml><?xml version="1.0" encoding="utf-8"?>
<ds:datastoreItem xmlns:ds="http://schemas.openxmlformats.org/officeDocument/2006/customXml" ds:itemID="{FE0B8462-98A1-4DA7-A588-645FFC4B4C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Michael Martino</cp:lastModifiedBy>
  <cp:revision>2</cp:revision>
  <dcterms:created xsi:type="dcterms:W3CDTF">2020-01-17T19:30:00Z</dcterms:created>
  <dcterms:modified xsi:type="dcterms:W3CDTF">2020-01-17T19:30:00Z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