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E3E65" w14:textId="77777777" w:rsidR="004F42CC" w:rsidRPr="000754FA" w:rsidRDefault="004F42CC" w:rsidP="004F42C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Assessed Values and Property Taxes</w:t>
      </w:r>
    </w:p>
    <w:p w14:paraId="68AC7617" w14:textId="77777777" w:rsidR="004F42CC" w:rsidRPr="000754FA" w:rsidRDefault="004F42CC" w:rsidP="004F42CC">
      <w:pPr>
        <w:rPr>
          <w:rFonts w:cs="Arial"/>
          <w:szCs w:val="22"/>
        </w:rPr>
      </w:pPr>
      <w:r w:rsidRPr="000754FA">
        <w:rPr>
          <w:rFonts w:cs="Arial"/>
          <w:szCs w:val="22"/>
        </w:rPr>
        <w:t xml:space="preserve">The State of Oregon has provided for a unified system to assess real estate for property taxes.  Assessment Districts are established on a county basis to assess real estate within the county.  The appraised property falls under the taxing jurisdiction of the county and is subject to both general taxes and direct assessments.   </w:t>
      </w:r>
    </w:p>
    <w:p w14:paraId="3B3B428C" w14:textId="77777777" w:rsidR="004F42CC" w:rsidRPr="000754FA" w:rsidRDefault="004F42CC" w:rsidP="004F42CC">
      <w:pPr>
        <w:rPr>
          <w:rFonts w:cs="Arial"/>
          <w:szCs w:val="22"/>
        </w:rPr>
      </w:pPr>
    </w:p>
    <w:p w14:paraId="6B74C7CD" w14:textId="520BAFC8" w:rsidR="004F42CC" w:rsidRPr="000754FA" w:rsidRDefault="002C4230" w:rsidP="004F42CC">
      <w:pPr>
        <w:rPr>
          <w:rFonts w:cs="Arial"/>
          <w:szCs w:val="22"/>
        </w:rPr>
      </w:pPr>
      <w:r w:rsidRPr="002C4230">
        <w:rPr>
          <w:rFonts w:cs="Arial"/>
          <w:szCs w:val="22"/>
        </w:rPr>
        <w:t xml:space="preserve">Map </w:t>
      </w:r>
      <w:r w:rsidR="00ED7F70">
        <w:rPr>
          <w:rFonts w:cs="Arial"/>
          <w:szCs w:val="22"/>
        </w:rPr>
        <w:t>${mappage}</w:t>
      </w:r>
      <w:r w:rsidRPr="002C4230">
        <w:rPr>
          <w:rFonts w:cs="Arial"/>
          <w:szCs w:val="22"/>
        </w:rPr>
        <w:t xml:space="preserve">  – Tax Lot</w:t>
      </w:r>
      <w:r w:rsidR="00342C73">
        <w:rPr>
          <w:rFonts w:cs="Arial"/>
          <w:szCs w:val="22"/>
        </w:rPr>
        <w:t>s</w:t>
      </w:r>
      <w:r w:rsidRPr="002C4230">
        <w:rPr>
          <w:rFonts w:cs="Arial"/>
          <w:szCs w:val="22"/>
        </w:rPr>
        <w:t xml:space="preserve"> </w:t>
      </w:r>
      <w:r w:rsidR="00ED7F70">
        <w:rPr>
          <w:rFonts w:cs="Arial"/>
          <w:szCs w:val="22"/>
        </w:rPr>
        <w:t>${taxlot}</w:t>
      </w:r>
      <w:r w:rsidRPr="002C4230">
        <w:rPr>
          <w:rFonts w:cs="Arial"/>
          <w:szCs w:val="22"/>
        </w:rPr>
        <w:t xml:space="preserve">, </w:t>
      </w:r>
      <w:r w:rsidR="00ED7F70">
        <w:rPr>
          <w:rFonts w:cs="Arial"/>
          <w:szCs w:val="22"/>
        </w:rPr>
        <w:t>${county}</w:t>
      </w:r>
      <w:r w:rsidR="004F42CC" w:rsidRPr="002C4230">
        <w:rPr>
          <w:rFonts w:cs="Arial"/>
          <w:szCs w:val="22"/>
        </w:rPr>
        <w:t>,</w:t>
      </w:r>
      <w:r w:rsidR="004F42CC" w:rsidRPr="000754FA">
        <w:rPr>
          <w:rFonts w:cs="Arial"/>
          <w:szCs w:val="22"/>
        </w:rPr>
        <w:t xml:space="preserve"> </w:t>
      </w:r>
      <w:r w:rsidR="00863A56">
        <w:rPr>
          <w:rFonts w:cs="Arial"/>
          <w:szCs w:val="22"/>
        </w:rPr>
        <w:t xml:space="preserve">State of </w:t>
      </w:r>
      <w:r w:rsidR="004F42CC" w:rsidRPr="00ED7F70">
        <w:rPr>
          <w:rFonts w:cs="Arial"/>
          <w:szCs w:val="22"/>
        </w:rPr>
        <w:t>Oregon</w:t>
      </w:r>
      <w:r w:rsidR="004F42CC">
        <w:rPr>
          <w:rFonts w:cs="Arial"/>
          <w:szCs w:val="22"/>
        </w:rPr>
        <w:t>.</w:t>
      </w:r>
    </w:p>
    <w:p w14:paraId="7A220698" w14:textId="77777777" w:rsidR="004F42CC" w:rsidRDefault="004F42CC" w:rsidP="004F42CC">
      <w:pPr>
        <w:jc w:val="left"/>
        <w:rPr>
          <w:rFonts w:cs="Arial"/>
          <w:szCs w:val="22"/>
        </w:rPr>
      </w:pPr>
    </w:p>
    <w:p w14:paraId="0663F0A1" w14:textId="7FDC53C4" w:rsidR="004F42CC" w:rsidRPr="000754FA" w:rsidRDefault="004F42CC" w:rsidP="004F42CC">
      <w:pPr>
        <w:jc w:val="left"/>
        <w:rPr>
          <w:rFonts w:cs="Arial"/>
          <w:szCs w:val="22"/>
        </w:rPr>
      </w:pPr>
      <w:r>
        <w:rPr>
          <w:rFonts w:cs="Arial"/>
          <w:szCs w:val="22"/>
        </w:rPr>
        <w:t>Assessor Parcel No</w:t>
      </w:r>
      <w:r w:rsidR="00342C73">
        <w:rPr>
          <w:rFonts w:cs="Arial"/>
          <w:szCs w:val="22"/>
        </w:rPr>
        <w:t>s</w:t>
      </w:r>
      <w:r>
        <w:rPr>
          <w:rFonts w:cs="Arial"/>
          <w:szCs w:val="22"/>
        </w:rPr>
        <w:t xml:space="preserve">.:  </w:t>
      </w:r>
      <w:r w:rsidR="00ED7F70">
        <w:rPr>
          <w:rFonts w:cs="Arial"/>
          <w:szCs w:val="22"/>
        </w:rPr>
        <w:t>${parcelarray}</w:t>
      </w:r>
      <w:r w:rsidRPr="000754FA">
        <w:rPr>
          <w:rFonts w:cs="Arial"/>
          <w:szCs w:val="22"/>
        </w:rPr>
        <w:t>.</w:t>
      </w:r>
    </w:p>
    <w:p w14:paraId="43130A42" w14:textId="77777777" w:rsidR="004F42CC" w:rsidRDefault="004F42CC" w:rsidP="004F42CC">
      <w:pPr>
        <w:rPr>
          <w:rFonts w:cs="Arial"/>
          <w:szCs w:val="22"/>
        </w:rPr>
      </w:pPr>
    </w:p>
    <w:p w14:paraId="4C7D618A" w14:textId="77777777" w:rsidR="004F42CC" w:rsidRDefault="004F42CC" w:rsidP="004F42CC">
      <w:pPr>
        <w:rPr>
          <w:rFonts w:cs="Arial"/>
          <w:szCs w:val="22"/>
        </w:rPr>
      </w:pPr>
      <w:r w:rsidRPr="000754FA">
        <w:rPr>
          <w:rFonts w:cs="Arial"/>
          <w:szCs w:val="22"/>
        </w:rPr>
        <w:t>The subject</w:t>
      </w:r>
      <w:r>
        <w:rPr>
          <w:rFonts w:cs="Arial"/>
          <w:szCs w:val="22"/>
        </w:rPr>
        <w:t xml:space="preserve"> property’s</w:t>
      </w:r>
      <w:r w:rsidRPr="000754FA">
        <w:rPr>
          <w:rFonts w:cs="Arial"/>
          <w:szCs w:val="22"/>
        </w:rPr>
        <w:t xml:space="preserve"> assessed values and total taxes including direct assessments are shown in the following table:</w:t>
      </w:r>
    </w:p>
    <w:p w14:paraId="0113C3A1" w14:textId="77777777" w:rsidR="004F42CC" w:rsidRPr="000754FA" w:rsidRDefault="004F42CC" w:rsidP="004F42CC">
      <w:pPr>
        <w:rPr>
          <w:rFonts w:cs="Arial"/>
          <w:szCs w:val="22"/>
        </w:rPr>
      </w:pPr>
    </w:p>
    <w:p w14:paraId="6E449874" w14:textId="77777777" w:rsidR="004F42CC" w:rsidRPr="00E167E2" w:rsidRDefault="004F42CC" w:rsidP="004F42CC">
      <w:pPr>
        <w:pStyle w:val="Heading7"/>
        <w:tabs>
          <w:tab w:val="clear" w:pos="0"/>
          <w:tab w:val="clear" w:pos="259"/>
          <w:tab w:val="clear" w:pos="3600"/>
          <w:tab w:val="clear" w:pos="6283"/>
        </w:tabs>
        <w:spacing w:after="0"/>
        <w:rPr>
          <w:rFonts w:cs="Arial"/>
          <w:kern w:val="20"/>
          <w:sz w:val="22"/>
          <w:szCs w:val="22"/>
        </w:rPr>
      </w:pPr>
      <w:bookmarkStart w:id="0" w:name="_Hlk535500087"/>
      <w:r w:rsidRPr="00E167E2">
        <w:rPr>
          <w:rFonts w:cs="Arial"/>
          <w:kern w:val="20"/>
          <w:sz w:val="22"/>
          <w:szCs w:val="22"/>
        </w:rPr>
        <w:t xml:space="preserve">Real Property Assessment and Taxes </w:t>
      </w:r>
    </w:p>
    <w:p w14:paraId="58999759" w14:textId="7E2632B8" w:rsidR="004F42CC" w:rsidRPr="00E167E2" w:rsidRDefault="004F42CC" w:rsidP="004F42CC">
      <w:pPr>
        <w:spacing w:after="120"/>
        <w:jc w:val="center"/>
        <w:rPr>
          <w:rFonts w:cs="Arial"/>
          <w:b/>
          <w:szCs w:val="22"/>
        </w:rPr>
      </w:pPr>
      <w:r w:rsidRPr="004F42CC">
        <w:rPr>
          <w:rFonts w:cs="Arial"/>
          <w:b/>
          <w:szCs w:val="22"/>
        </w:rPr>
        <w:t xml:space="preserve">Fiscal Tax Year </w:t>
      </w:r>
      <w:bookmarkEnd w:id="0"/>
      <w:r w:rsidR="00CB39C5">
        <w:rPr>
          <w:rFonts w:cs="Arial"/>
          <w:b/>
          <w:szCs w:val="22"/>
        </w:rPr>
        <w:t>${</w:t>
      </w:r>
      <w:r w:rsidR="00CB39C5" w:rsidRPr="00CB39C5">
        <w:rPr>
          <w:rFonts w:cs="Arial"/>
          <w:b/>
          <w:szCs w:val="22"/>
        </w:rPr>
        <w:t>assessedyear</w:t>
      </w:r>
      <w:r w:rsidR="00CB39C5">
        <w:rPr>
          <w:rFonts w:cs="Arial"/>
          <w:b/>
          <w:szCs w:val="22"/>
        </w:rPr>
        <w:t>}</w:t>
      </w:r>
    </w:p>
    <w:tbl>
      <w:tblPr>
        <w:tblW w:w="8910" w:type="dxa"/>
        <w:jc w:val="center"/>
        <w:tblLayout w:type="fixed"/>
        <w:tblLook w:val="0000" w:firstRow="0" w:lastRow="0" w:firstColumn="0" w:lastColumn="0" w:noHBand="0" w:noVBand="0"/>
      </w:tblPr>
      <w:tblGrid>
        <w:gridCol w:w="1485"/>
        <w:gridCol w:w="1485"/>
        <w:gridCol w:w="1485"/>
        <w:gridCol w:w="1485"/>
        <w:gridCol w:w="1485"/>
        <w:gridCol w:w="1485"/>
      </w:tblGrid>
      <w:tr w:rsidR="004F42CC" w:rsidRPr="00E167E2" w14:paraId="2A593A23" w14:textId="77777777" w:rsidTr="00D85495">
        <w:trPr>
          <w:jc w:val="center"/>
        </w:trPr>
        <w:tc>
          <w:tcPr>
            <w:tcW w:w="1485" w:type="dxa"/>
            <w:tcBorders>
              <w:bottom w:val="single" w:sz="24" w:space="0" w:color="3FB44F"/>
            </w:tcBorders>
            <w:shd w:val="clear" w:color="auto" w:fill="1E4959"/>
          </w:tcPr>
          <w:p w14:paraId="1750046E"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p>
          <w:p w14:paraId="73C6B44B"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Pr>
                <w:rFonts w:cs="Arial"/>
                <w:b/>
                <w:smallCaps/>
                <w:color w:val="FFFFFF" w:themeColor="background1"/>
                <w:szCs w:val="22"/>
              </w:rPr>
              <w:t>Parcel</w:t>
            </w:r>
          </w:p>
          <w:p w14:paraId="28FF9443"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Pr>
                <w:rFonts w:cs="Arial"/>
                <w:b/>
                <w:smallCaps/>
                <w:color w:val="FFFFFF" w:themeColor="background1"/>
                <w:szCs w:val="22"/>
              </w:rPr>
              <w:t>Number</w:t>
            </w:r>
          </w:p>
        </w:tc>
        <w:tc>
          <w:tcPr>
            <w:tcW w:w="1485" w:type="dxa"/>
            <w:tcBorders>
              <w:bottom w:val="single" w:sz="24" w:space="0" w:color="3FB44F"/>
            </w:tcBorders>
            <w:shd w:val="clear" w:color="auto" w:fill="1E4959"/>
          </w:tcPr>
          <w:p w14:paraId="6FE7A148"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p>
          <w:p w14:paraId="24234A48"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Market</w:t>
            </w:r>
          </w:p>
          <w:p w14:paraId="78E58132"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Land</w:t>
            </w:r>
          </w:p>
        </w:tc>
        <w:tc>
          <w:tcPr>
            <w:tcW w:w="1485" w:type="dxa"/>
            <w:tcBorders>
              <w:bottom w:val="single" w:sz="24" w:space="0" w:color="3FB44F"/>
            </w:tcBorders>
            <w:shd w:val="clear" w:color="auto" w:fill="1E4959"/>
          </w:tcPr>
          <w:p w14:paraId="179A6197"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p>
          <w:p w14:paraId="189E8C3D"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Market</w:t>
            </w:r>
          </w:p>
          <w:p w14:paraId="1576C459"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Imps.</w:t>
            </w:r>
          </w:p>
        </w:tc>
        <w:tc>
          <w:tcPr>
            <w:tcW w:w="1485" w:type="dxa"/>
            <w:tcBorders>
              <w:bottom w:val="single" w:sz="24" w:space="0" w:color="3FB44F"/>
            </w:tcBorders>
            <w:shd w:val="clear" w:color="auto" w:fill="1E4959"/>
          </w:tcPr>
          <w:p w14:paraId="0857490D"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p>
          <w:p w14:paraId="179A2C7A"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Market</w:t>
            </w:r>
          </w:p>
          <w:p w14:paraId="10A8F301"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Total</w:t>
            </w:r>
          </w:p>
        </w:tc>
        <w:tc>
          <w:tcPr>
            <w:tcW w:w="1485" w:type="dxa"/>
            <w:tcBorders>
              <w:bottom w:val="single" w:sz="24" w:space="0" w:color="3FB44F"/>
            </w:tcBorders>
            <w:shd w:val="clear" w:color="auto" w:fill="1E4959"/>
          </w:tcPr>
          <w:p w14:paraId="3C7F270F"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Meas. 50</w:t>
            </w:r>
          </w:p>
          <w:p w14:paraId="750A3F0A"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Assessed</w:t>
            </w:r>
          </w:p>
          <w:p w14:paraId="2521659C"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Value</w:t>
            </w:r>
          </w:p>
        </w:tc>
        <w:tc>
          <w:tcPr>
            <w:tcW w:w="1485" w:type="dxa"/>
            <w:tcBorders>
              <w:bottom w:val="single" w:sz="24" w:space="0" w:color="3FB44F"/>
            </w:tcBorders>
            <w:shd w:val="clear" w:color="auto" w:fill="1E4959"/>
          </w:tcPr>
          <w:p w14:paraId="0D43D8A2"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p>
          <w:p w14:paraId="7EDA72D9"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Annual</w:t>
            </w:r>
          </w:p>
          <w:p w14:paraId="1D74F149" w14:textId="77777777" w:rsidR="004F42CC" w:rsidRPr="00E167E2" w:rsidRDefault="004F42CC" w:rsidP="0067262C">
            <w:pPr>
              <w:tabs>
                <w:tab w:val="left" w:pos="3600"/>
              </w:tabs>
              <w:spacing w:after="60" w:line="20" w:lineRule="atLeast"/>
              <w:jc w:val="center"/>
              <w:rPr>
                <w:rFonts w:cs="Arial"/>
                <w:b/>
                <w:smallCaps/>
                <w:color w:val="FFFFFF" w:themeColor="background1"/>
                <w:szCs w:val="22"/>
              </w:rPr>
            </w:pPr>
            <w:r w:rsidRPr="00E167E2">
              <w:rPr>
                <w:rFonts w:cs="Arial"/>
                <w:b/>
                <w:smallCaps/>
                <w:color w:val="FFFFFF" w:themeColor="background1"/>
                <w:szCs w:val="22"/>
              </w:rPr>
              <w:t>Taxes</w:t>
            </w:r>
          </w:p>
        </w:tc>
      </w:tr>
      <w:tr w:rsidR="00342C73" w:rsidRPr="001669FC" w14:paraId="75584BF1" w14:textId="77777777" w:rsidTr="00D85495">
        <w:trPr>
          <w:trHeight w:val="444"/>
          <w:jc w:val="center"/>
        </w:trPr>
        <w:tc>
          <w:tcPr>
            <w:tcW w:w="1485" w:type="dxa"/>
            <w:tcBorders>
              <w:top w:val="single" w:sz="24" w:space="0" w:color="3FB44F"/>
              <w:bottom w:val="single" w:sz="4" w:space="0" w:color="auto"/>
              <w:right w:val="single" w:sz="4" w:space="0" w:color="auto"/>
            </w:tcBorders>
            <w:vAlign w:val="center"/>
          </w:tcPr>
          <w:p w14:paraId="3C182888" w14:textId="441015A3" w:rsidR="00342C73" w:rsidRPr="00A9621E" w:rsidRDefault="00ED7F70" w:rsidP="00B81268">
            <w:pPr>
              <w:jc w:val="center"/>
              <w:rPr>
                <w:rFonts w:cstheme="minorHAnsi"/>
                <w:szCs w:val="22"/>
              </w:rPr>
            </w:pPr>
            <w:r>
              <w:rPr>
                <w:rFonts w:cstheme="minorHAnsi"/>
                <w:szCs w:val="22"/>
              </w:rPr>
              <w:t>${</w:t>
            </w:r>
            <w:r w:rsidR="00B81268">
              <w:rPr>
                <w:rFonts w:cstheme="minorHAnsi"/>
                <w:szCs w:val="22"/>
              </w:rPr>
              <w:t>firstRow_removeit</w:t>
            </w:r>
            <w:r>
              <w:rPr>
                <w:rFonts w:cstheme="minorHAnsi"/>
                <w:szCs w:val="22"/>
              </w:rPr>
              <w:t>}</w:t>
            </w:r>
          </w:p>
        </w:tc>
        <w:tc>
          <w:tcPr>
            <w:tcW w:w="1485" w:type="dxa"/>
            <w:tcBorders>
              <w:top w:val="single" w:sz="24" w:space="0" w:color="3FB44F"/>
              <w:left w:val="nil"/>
              <w:bottom w:val="single" w:sz="4" w:space="0" w:color="auto"/>
              <w:right w:val="nil"/>
            </w:tcBorders>
            <w:shd w:val="clear" w:color="auto" w:fill="auto"/>
            <w:vAlign w:val="center"/>
          </w:tcPr>
          <w:p w14:paraId="05D7BEC1" w14:textId="40A4182A" w:rsidR="00342C73" w:rsidRPr="00A9621E" w:rsidRDefault="00342C73" w:rsidP="00342C73">
            <w:pPr>
              <w:jc w:val="center"/>
              <w:rPr>
                <w:rFonts w:cstheme="minorHAnsi"/>
                <w:szCs w:val="22"/>
              </w:rPr>
            </w:pPr>
          </w:p>
        </w:tc>
        <w:tc>
          <w:tcPr>
            <w:tcW w:w="1485" w:type="dxa"/>
            <w:tcBorders>
              <w:top w:val="single" w:sz="24" w:space="0" w:color="3FB44F"/>
              <w:left w:val="nil"/>
              <w:bottom w:val="single" w:sz="4" w:space="0" w:color="auto"/>
              <w:right w:val="nil"/>
            </w:tcBorders>
            <w:shd w:val="clear" w:color="auto" w:fill="auto"/>
            <w:vAlign w:val="center"/>
          </w:tcPr>
          <w:p w14:paraId="40BDA152" w14:textId="723FE530" w:rsidR="00342C73" w:rsidRPr="00A9621E" w:rsidRDefault="00342C73" w:rsidP="00ED7F70">
            <w:pPr>
              <w:jc w:val="center"/>
              <w:rPr>
                <w:rFonts w:cstheme="minorHAnsi"/>
                <w:szCs w:val="22"/>
              </w:rPr>
            </w:pPr>
          </w:p>
        </w:tc>
        <w:tc>
          <w:tcPr>
            <w:tcW w:w="1485" w:type="dxa"/>
            <w:tcBorders>
              <w:top w:val="single" w:sz="24" w:space="0" w:color="3FB44F"/>
              <w:left w:val="nil"/>
              <w:bottom w:val="single" w:sz="4" w:space="0" w:color="auto"/>
              <w:right w:val="single" w:sz="6" w:space="0" w:color="auto"/>
            </w:tcBorders>
            <w:shd w:val="clear" w:color="auto" w:fill="auto"/>
            <w:vAlign w:val="center"/>
          </w:tcPr>
          <w:p w14:paraId="45E28AE6" w14:textId="18484BCA" w:rsidR="00342C73" w:rsidRPr="00A9621E" w:rsidRDefault="00342C73" w:rsidP="00342C73">
            <w:pPr>
              <w:jc w:val="center"/>
              <w:rPr>
                <w:rFonts w:cstheme="minorHAnsi"/>
                <w:szCs w:val="22"/>
              </w:rPr>
            </w:pPr>
          </w:p>
        </w:tc>
        <w:tc>
          <w:tcPr>
            <w:tcW w:w="1485" w:type="dxa"/>
            <w:tcBorders>
              <w:top w:val="single" w:sz="24" w:space="0" w:color="3FB44F"/>
              <w:left w:val="single" w:sz="6" w:space="0" w:color="auto"/>
              <w:bottom w:val="single" w:sz="4" w:space="0" w:color="auto"/>
              <w:right w:val="single" w:sz="6" w:space="0" w:color="auto"/>
            </w:tcBorders>
            <w:shd w:val="clear" w:color="auto" w:fill="auto"/>
            <w:vAlign w:val="center"/>
          </w:tcPr>
          <w:p w14:paraId="1EF777AB" w14:textId="289046D9" w:rsidR="00342C73" w:rsidRPr="00A9621E" w:rsidRDefault="00342C73" w:rsidP="00342C73">
            <w:pPr>
              <w:jc w:val="center"/>
              <w:rPr>
                <w:rFonts w:cstheme="minorHAnsi"/>
                <w:szCs w:val="22"/>
              </w:rPr>
            </w:pPr>
          </w:p>
        </w:tc>
        <w:tc>
          <w:tcPr>
            <w:tcW w:w="1485" w:type="dxa"/>
            <w:tcBorders>
              <w:top w:val="single" w:sz="24" w:space="0" w:color="3FB44F"/>
              <w:left w:val="single" w:sz="6" w:space="0" w:color="auto"/>
              <w:bottom w:val="single" w:sz="4" w:space="0" w:color="auto"/>
              <w:right w:val="nil"/>
            </w:tcBorders>
            <w:shd w:val="clear" w:color="auto" w:fill="auto"/>
            <w:vAlign w:val="center"/>
          </w:tcPr>
          <w:p w14:paraId="16B693FF" w14:textId="41FAAABB" w:rsidR="00342C73" w:rsidRPr="00A9621E" w:rsidRDefault="00342C73" w:rsidP="00342C73">
            <w:pPr>
              <w:jc w:val="center"/>
              <w:rPr>
                <w:rFonts w:cstheme="minorHAnsi"/>
                <w:szCs w:val="22"/>
              </w:rPr>
            </w:pPr>
          </w:p>
        </w:tc>
      </w:tr>
      <w:tr w:rsidR="00342C73" w:rsidRPr="001669FC" w14:paraId="24C72298" w14:textId="77777777" w:rsidTr="00342C73">
        <w:trPr>
          <w:trHeight w:val="444"/>
          <w:jc w:val="center"/>
        </w:trPr>
        <w:tc>
          <w:tcPr>
            <w:tcW w:w="1485" w:type="dxa"/>
            <w:tcBorders>
              <w:top w:val="single" w:sz="4" w:space="0" w:color="auto"/>
              <w:bottom w:val="single" w:sz="4" w:space="0" w:color="auto"/>
              <w:right w:val="single" w:sz="4" w:space="0" w:color="auto"/>
            </w:tcBorders>
            <w:vAlign w:val="center"/>
          </w:tcPr>
          <w:p w14:paraId="4FD005BF" w14:textId="090C8702" w:rsidR="00342C73" w:rsidRPr="00A9621E" w:rsidRDefault="00B81268" w:rsidP="00342C73">
            <w:pPr>
              <w:jc w:val="center"/>
              <w:rPr>
                <w:rFonts w:cstheme="minorHAnsi"/>
                <w:szCs w:val="22"/>
                <w:highlight w:val="magenta"/>
              </w:rPr>
            </w:pPr>
            <w:r>
              <w:rPr>
                <w:rFonts w:cstheme="minorHAnsi"/>
                <w:szCs w:val="22"/>
              </w:rPr>
              <w:t>${parcelno}</w:t>
            </w:r>
          </w:p>
        </w:tc>
        <w:tc>
          <w:tcPr>
            <w:tcW w:w="1485" w:type="dxa"/>
            <w:tcBorders>
              <w:top w:val="single" w:sz="4" w:space="0" w:color="auto"/>
              <w:left w:val="single" w:sz="4" w:space="0" w:color="auto"/>
              <w:bottom w:val="single" w:sz="4" w:space="0" w:color="auto"/>
            </w:tcBorders>
            <w:shd w:val="clear" w:color="auto" w:fill="auto"/>
            <w:vAlign w:val="center"/>
          </w:tcPr>
          <w:p w14:paraId="7A795B15" w14:textId="212AF8F6" w:rsidR="00342C73" w:rsidRPr="00A9621E" w:rsidRDefault="00B81268" w:rsidP="00342C73">
            <w:pPr>
              <w:jc w:val="center"/>
              <w:rPr>
                <w:rFonts w:cstheme="minorHAnsi"/>
                <w:szCs w:val="22"/>
              </w:rPr>
            </w:pPr>
            <w:r w:rsidRPr="00A9621E">
              <w:rPr>
                <w:rFonts w:cstheme="minorHAnsi"/>
                <w:szCs w:val="22"/>
              </w:rPr>
              <w:t>$</w:t>
            </w:r>
            <w:r>
              <w:rPr>
                <w:rFonts w:cstheme="minorHAnsi"/>
                <w:szCs w:val="22"/>
              </w:rPr>
              <w:t>{landval}</w:t>
            </w:r>
          </w:p>
        </w:tc>
        <w:tc>
          <w:tcPr>
            <w:tcW w:w="1485" w:type="dxa"/>
            <w:tcBorders>
              <w:top w:val="single" w:sz="4" w:space="0" w:color="auto"/>
              <w:bottom w:val="single" w:sz="4" w:space="0" w:color="auto"/>
            </w:tcBorders>
            <w:shd w:val="clear" w:color="auto" w:fill="auto"/>
            <w:vAlign w:val="center"/>
          </w:tcPr>
          <w:p w14:paraId="1CA827A5" w14:textId="1396CB70" w:rsidR="00342C73" w:rsidRPr="00A9621E" w:rsidRDefault="00B81268" w:rsidP="00342C73">
            <w:pPr>
              <w:jc w:val="center"/>
              <w:rPr>
                <w:rFonts w:cstheme="minorHAnsi"/>
                <w:szCs w:val="22"/>
              </w:rPr>
            </w:pPr>
            <w:r w:rsidRPr="00A9621E">
              <w:rPr>
                <w:rFonts w:cstheme="minorHAnsi"/>
                <w:szCs w:val="22"/>
              </w:rPr>
              <w:t>$</w:t>
            </w:r>
            <w:r>
              <w:rPr>
                <w:rFonts w:cstheme="minorHAnsi"/>
                <w:szCs w:val="22"/>
              </w:rPr>
              <w:t>{</w:t>
            </w:r>
            <w:r>
              <w:t>impval</w:t>
            </w:r>
            <w:r>
              <w:rPr>
                <w:rFonts w:cstheme="minorHAnsi"/>
                <w:szCs w:val="22"/>
              </w:rPr>
              <w:t>}</w:t>
            </w:r>
          </w:p>
        </w:tc>
        <w:tc>
          <w:tcPr>
            <w:tcW w:w="1485" w:type="dxa"/>
            <w:tcBorders>
              <w:top w:val="single" w:sz="4" w:space="0" w:color="auto"/>
              <w:bottom w:val="single" w:sz="4" w:space="0" w:color="auto"/>
              <w:right w:val="single" w:sz="4" w:space="0" w:color="auto"/>
            </w:tcBorders>
            <w:shd w:val="clear" w:color="auto" w:fill="auto"/>
            <w:vAlign w:val="center"/>
          </w:tcPr>
          <w:p w14:paraId="7A05B7E2" w14:textId="746235E9" w:rsidR="00342C73" w:rsidRPr="00A9621E" w:rsidRDefault="00B81268" w:rsidP="00342C73">
            <w:pPr>
              <w:jc w:val="center"/>
              <w:rPr>
                <w:rFonts w:cstheme="minorHAnsi"/>
                <w:szCs w:val="22"/>
              </w:rPr>
            </w:pPr>
            <w:r w:rsidRPr="00A9621E">
              <w:rPr>
                <w:rFonts w:cstheme="minorHAnsi"/>
                <w:szCs w:val="22"/>
              </w:rPr>
              <w:t>$</w:t>
            </w:r>
            <w:r>
              <w:rPr>
                <w:rFonts w:cstheme="minorHAnsi"/>
                <w:szCs w:val="22"/>
              </w:rPr>
              <w:t>{totalval}</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14:paraId="486C5C3A" w14:textId="00D6A7B9" w:rsidR="00342C73" w:rsidRPr="00A9621E" w:rsidRDefault="00B81268" w:rsidP="00342C73">
            <w:pPr>
              <w:jc w:val="center"/>
              <w:rPr>
                <w:rFonts w:cstheme="minorHAnsi"/>
                <w:szCs w:val="22"/>
              </w:rPr>
            </w:pPr>
            <w:r w:rsidRPr="00A9621E">
              <w:rPr>
                <w:rFonts w:cstheme="minorHAnsi"/>
                <w:szCs w:val="22"/>
              </w:rPr>
              <w:t>$</w:t>
            </w:r>
            <w:r>
              <w:rPr>
                <w:rFonts w:cstheme="minorHAnsi"/>
                <w:szCs w:val="22"/>
              </w:rPr>
              <w:t>{meas50}</w:t>
            </w:r>
          </w:p>
        </w:tc>
        <w:tc>
          <w:tcPr>
            <w:tcW w:w="1485" w:type="dxa"/>
            <w:tcBorders>
              <w:top w:val="single" w:sz="4" w:space="0" w:color="auto"/>
              <w:left w:val="single" w:sz="4" w:space="0" w:color="auto"/>
              <w:bottom w:val="single" w:sz="4" w:space="0" w:color="auto"/>
              <w:right w:val="nil"/>
            </w:tcBorders>
            <w:shd w:val="clear" w:color="auto" w:fill="auto"/>
            <w:vAlign w:val="center"/>
          </w:tcPr>
          <w:p w14:paraId="001AF21E" w14:textId="6D719356" w:rsidR="00342C73" w:rsidRPr="00A9621E" w:rsidRDefault="00B81268" w:rsidP="00342C73">
            <w:pPr>
              <w:jc w:val="center"/>
              <w:rPr>
                <w:rFonts w:cstheme="minorHAnsi"/>
                <w:szCs w:val="22"/>
              </w:rPr>
            </w:pPr>
            <w:r w:rsidRPr="00A9621E">
              <w:rPr>
                <w:rFonts w:cstheme="minorHAnsi"/>
                <w:szCs w:val="22"/>
              </w:rPr>
              <w:t>$</w:t>
            </w:r>
            <w:r>
              <w:rPr>
                <w:rFonts w:cstheme="minorHAnsi"/>
                <w:szCs w:val="22"/>
              </w:rPr>
              <w:t>{taxes}</w:t>
            </w:r>
          </w:p>
        </w:tc>
      </w:tr>
      <w:tr w:rsidR="00A9621E" w:rsidRPr="001669FC" w14:paraId="10B9155D" w14:textId="77777777" w:rsidTr="00341F7A">
        <w:trPr>
          <w:trHeight w:val="444"/>
          <w:jc w:val="center"/>
        </w:trPr>
        <w:tc>
          <w:tcPr>
            <w:tcW w:w="1485" w:type="dxa"/>
            <w:tcBorders>
              <w:top w:val="single" w:sz="4" w:space="0" w:color="auto"/>
              <w:bottom w:val="double" w:sz="6" w:space="0" w:color="auto"/>
              <w:right w:val="single" w:sz="4" w:space="0" w:color="auto"/>
            </w:tcBorders>
            <w:vAlign w:val="center"/>
          </w:tcPr>
          <w:p w14:paraId="6A916FDB" w14:textId="726FA9CB" w:rsidR="00A9621E" w:rsidRPr="00342C73" w:rsidRDefault="00A9621E" w:rsidP="00A9621E">
            <w:pPr>
              <w:jc w:val="center"/>
              <w:rPr>
                <w:rFonts w:cstheme="minorHAnsi"/>
                <w:b/>
                <w:bCs/>
                <w:szCs w:val="22"/>
                <w:highlight w:val="magenta"/>
              </w:rPr>
            </w:pPr>
            <w:r w:rsidRPr="00ED7F70">
              <w:rPr>
                <w:rFonts w:cstheme="minorHAnsi"/>
                <w:b/>
                <w:bCs/>
                <w:szCs w:val="22"/>
              </w:rPr>
              <w:t>TOTAL</w:t>
            </w:r>
          </w:p>
        </w:tc>
        <w:tc>
          <w:tcPr>
            <w:tcW w:w="1485" w:type="dxa"/>
            <w:tcBorders>
              <w:top w:val="nil"/>
              <w:left w:val="nil"/>
              <w:bottom w:val="double" w:sz="6" w:space="0" w:color="auto"/>
              <w:right w:val="nil"/>
            </w:tcBorders>
            <w:shd w:val="clear" w:color="auto" w:fill="auto"/>
            <w:vAlign w:val="center"/>
          </w:tcPr>
          <w:p w14:paraId="687D0CEE" w14:textId="33B55404" w:rsidR="00A9621E" w:rsidRPr="00AC6712" w:rsidRDefault="00A9621E" w:rsidP="00A9621E">
            <w:pPr>
              <w:jc w:val="center"/>
              <w:rPr>
                <w:rFonts w:cstheme="minorHAnsi"/>
                <w:b/>
                <w:szCs w:val="22"/>
              </w:rPr>
            </w:pPr>
            <w:r>
              <w:rPr>
                <w:rFonts w:ascii="Calibri" w:hAnsi="Calibri" w:cstheme="minorHAnsi"/>
                <w:b/>
                <w:bCs/>
                <w:color w:val="000000"/>
                <w:szCs w:val="22"/>
              </w:rPr>
              <w:t>$</w:t>
            </w:r>
            <w:r w:rsidR="00ED7F70">
              <w:rPr>
                <w:rFonts w:ascii="Calibri" w:hAnsi="Calibri" w:cstheme="minorHAnsi"/>
                <w:b/>
                <w:bCs/>
                <w:color w:val="000000"/>
                <w:szCs w:val="22"/>
              </w:rPr>
              <w:t>{sumland}</w:t>
            </w:r>
          </w:p>
        </w:tc>
        <w:tc>
          <w:tcPr>
            <w:tcW w:w="1485" w:type="dxa"/>
            <w:tcBorders>
              <w:top w:val="nil"/>
              <w:left w:val="nil"/>
              <w:bottom w:val="double" w:sz="6" w:space="0" w:color="auto"/>
              <w:right w:val="nil"/>
            </w:tcBorders>
            <w:shd w:val="clear" w:color="auto" w:fill="auto"/>
            <w:vAlign w:val="center"/>
          </w:tcPr>
          <w:p w14:paraId="206607A4" w14:textId="1B05F99A" w:rsidR="00A9621E" w:rsidRPr="00AC6712" w:rsidRDefault="00A9621E" w:rsidP="00A9621E">
            <w:pPr>
              <w:jc w:val="center"/>
              <w:rPr>
                <w:rFonts w:cstheme="minorHAnsi"/>
                <w:b/>
                <w:szCs w:val="22"/>
              </w:rPr>
            </w:pPr>
            <w:r>
              <w:rPr>
                <w:rFonts w:ascii="Calibri" w:hAnsi="Calibri" w:cstheme="minorHAnsi"/>
                <w:b/>
                <w:bCs/>
                <w:color w:val="000000"/>
                <w:szCs w:val="22"/>
              </w:rPr>
              <w:t>$</w:t>
            </w:r>
            <w:r w:rsidR="00ED7F70">
              <w:rPr>
                <w:rFonts w:ascii="Calibri" w:hAnsi="Calibri" w:cstheme="minorHAnsi"/>
                <w:b/>
                <w:bCs/>
                <w:color w:val="000000"/>
                <w:szCs w:val="22"/>
              </w:rPr>
              <w:t>{sumimp}</w:t>
            </w:r>
            <w:r>
              <w:rPr>
                <w:rFonts w:ascii="Calibri" w:hAnsi="Calibri" w:cstheme="minorHAnsi"/>
                <w:b/>
                <w:bCs/>
                <w:color w:val="000000"/>
                <w:szCs w:val="22"/>
              </w:rPr>
              <w:t xml:space="preserve"> </w:t>
            </w:r>
          </w:p>
        </w:tc>
        <w:tc>
          <w:tcPr>
            <w:tcW w:w="1485" w:type="dxa"/>
            <w:tcBorders>
              <w:top w:val="nil"/>
              <w:left w:val="nil"/>
              <w:bottom w:val="double" w:sz="6" w:space="0" w:color="auto"/>
              <w:right w:val="single" w:sz="8" w:space="0" w:color="auto"/>
            </w:tcBorders>
            <w:shd w:val="clear" w:color="auto" w:fill="auto"/>
            <w:vAlign w:val="center"/>
          </w:tcPr>
          <w:p w14:paraId="053FD7C1" w14:textId="2B4C1DDF" w:rsidR="00A9621E" w:rsidRPr="00AC6712" w:rsidRDefault="00A9621E" w:rsidP="00A9621E">
            <w:pPr>
              <w:jc w:val="center"/>
              <w:rPr>
                <w:rFonts w:cstheme="minorHAnsi"/>
                <w:b/>
                <w:szCs w:val="22"/>
              </w:rPr>
            </w:pPr>
            <w:r>
              <w:rPr>
                <w:rFonts w:ascii="Calibri" w:hAnsi="Calibri" w:cstheme="minorHAnsi"/>
                <w:b/>
                <w:bCs/>
                <w:color w:val="000000"/>
                <w:szCs w:val="22"/>
              </w:rPr>
              <w:t>$</w:t>
            </w:r>
            <w:r w:rsidR="00ED7F70">
              <w:rPr>
                <w:rFonts w:ascii="Calibri" w:hAnsi="Calibri" w:cstheme="minorHAnsi"/>
                <w:b/>
                <w:bCs/>
                <w:color w:val="000000"/>
                <w:szCs w:val="22"/>
              </w:rPr>
              <w:t>{sumtotal}</w:t>
            </w:r>
          </w:p>
        </w:tc>
        <w:tc>
          <w:tcPr>
            <w:tcW w:w="1485" w:type="dxa"/>
            <w:tcBorders>
              <w:top w:val="nil"/>
              <w:left w:val="nil"/>
              <w:bottom w:val="double" w:sz="6" w:space="0" w:color="auto"/>
              <w:right w:val="single" w:sz="8" w:space="0" w:color="auto"/>
            </w:tcBorders>
            <w:shd w:val="clear" w:color="auto" w:fill="auto"/>
            <w:vAlign w:val="center"/>
          </w:tcPr>
          <w:p w14:paraId="7D44AAED" w14:textId="1B27A18A" w:rsidR="00A9621E" w:rsidRPr="00AC6712" w:rsidRDefault="00A9621E" w:rsidP="00A9621E">
            <w:pPr>
              <w:jc w:val="center"/>
              <w:rPr>
                <w:rFonts w:cstheme="minorHAnsi"/>
                <w:b/>
                <w:bCs/>
                <w:szCs w:val="22"/>
              </w:rPr>
            </w:pPr>
            <w:r>
              <w:rPr>
                <w:rFonts w:ascii="Calibri" w:hAnsi="Calibri" w:cstheme="minorHAnsi"/>
                <w:b/>
                <w:bCs/>
                <w:color w:val="000000"/>
                <w:szCs w:val="22"/>
              </w:rPr>
              <w:t>$</w:t>
            </w:r>
            <w:r w:rsidR="00ED7F70">
              <w:rPr>
                <w:rFonts w:ascii="Calibri" w:hAnsi="Calibri" w:cstheme="minorHAnsi"/>
                <w:b/>
                <w:bCs/>
                <w:color w:val="000000"/>
                <w:szCs w:val="22"/>
              </w:rPr>
              <w:t>{summeas}</w:t>
            </w:r>
          </w:p>
        </w:tc>
        <w:tc>
          <w:tcPr>
            <w:tcW w:w="1485" w:type="dxa"/>
            <w:tcBorders>
              <w:top w:val="nil"/>
              <w:left w:val="nil"/>
              <w:bottom w:val="double" w:sz="6" w:space="0" w:color="auto"/>
              <w:right w:val="nil"/>
            </w:tcBorders>
            <w:shd w:val="clear" w:color="auto" w:fill="auto"/>
            <w:vAlign w:val="center"/>
          </w:tcPr>
          <w:p w14:paraId="4E5E3F8E" w14:textId="6EAAA841" w:rsidR="00A9621E" w:rsidRPr="00AC6712" w:rsidRDefault="00A9621E" w:rsidP="00A9621E">
            <w:pPr>
              <w:jc w:val="center"/>
              <w:rPr>
                <w:rFonts w:cstheme="minorHAnsi"/>
                <w:b/>
                <w:bCs/>
                <w:szCs w:val="22"/>
              </w:rPr>
            </w:pPr>
            <w:r>
              <w:rPr>
                <w:rFonts w:ascii="Calibri" w:hAnsi="Calibri" w:cstheme="minorHAnsi"/>
                <w:b/>
                <w:bCs/>
                <w:color w:val="000000"/>
                <w:szCs w:val="22"/>
              </w:rPr>
              <w:t>$</w:t>
            </w:r>
            <w:r w:rsidR="00ED7F70">
              <w:rPr>
                <w:rFonts w:ascii="Calibri" w:hAnsi="Calibri" w:cstheme="minorHAnsi"/>
                <w:b/>
                <w:bCs/>
                <w:color w:val="000000"/>
                <w:szCs w:val="22"/>
              </w:rPr>
              <w:t>{sumtaxes}</w:t>
            </w:r>
          </w:p>
        </w:tc>
      </w:tr>
    </w:tbl>
    <w:p w14:paraId="57664021" w14:textId="77777777" w:rsidR="004F42CC" w:rsidRDefault="004F42CC" w:rsidP="004F42CC">
      <w:pPr>
        <w:rPr>
          <w:rFonts w:cs="Arial"/>
          <w:szCs w:val="22"/>
        </w:rPr>
      </w:pPr>
    </w:p>
    <w:p w14:paraId="08B71B44" w14:textId="77777777" w:rsidR="004F42CC" w:rsidRPr="000754FA" w:rsidRDefault="004F42CC" w:rsidP="004F42CC">
      <w:pPr>
        <w:rPr>
          <w:rFonts w:cs="Arial"/>
          <w:szCs w:val="22"/>
        </w:rPr>
      </w:pPr>
      <w:r w:rsidRPr="007D330B">
        <w:rPr>
          <w:rFonts w:cs="Arial"/>
          <w:szCs w:val="22"/>
        </w:rPr>
        <w:t xml:space="preserve">The county sets the new fiscal tax year beginning </w:t>
      </w:r>
      <w:r>
        <w:rPr>
          <w:rFonts w:cs="Arial"/>
          <w:szCs w:val="22"/>
        </w:rPr>
        <w:t xml:space="preserve">each </w:t>
      </w:r>
      <w:r w:rsidRPr="007D330B">
        <w:rPr>
          <w:rFonts w:cs="Arial"/>
          <w:szCs w:val="22"/>
        </w:rPr>
        <w:t xml:space="preserve">July 1, with no new taxes due until </w:t>
      </w:r>
      <w:r>
        <w:rPr>
          <w:rFonts w:cs="Arial"/>
          <w:szCs w:val="22"/>
        </w:rPr>
        <w:t xml:space="preserve">the following </w:t>
      </w:r>
      <w:r w:rsidRPr="007D330B">
        <w:rPr>
          <w:rFonts w:cs="Arial"/>
          <w:szCs w:val="22"/>
        </w:rPr>
        <w:t xml:space="preserve">November 15. </w:t>
      </w:r>
      <w:r w:rsidRPr="000754FA">
        <w:rPr>
          <w:rFonts w:cs="Arial"/>
          <w:szCs w:val="22"/>
        </w:rPr>
        <w:t xml:space="preserve">Note that Ballot Measure 50 passed in 1997 limits future property assessed value increases to no more than 3.0% per year, unless voter approved bonded indebtedness is incurred. Hence, the future taxes for the subject will most likely continue to increase, as they have over the last few years, but likely no more than 3.0% per year. </w:t>
      </w:r>
    </w:p>
    <w:p w14:paraId="739DBB0B" w14:textId="77777777" w:rsidR="004F42CC" w:rsidRPr="002179EB" w:rsidRDefault="004F42CC" w:rsidP="004F42CC">
      <w:pPr>
        <w:rPr>
          <w:rFonts w:cs="Arial"/>
          <w:szCs w:val="22"/>
        </w:rPr>
      </w:pPr>
      <w:bookmarkStart w:id="1" w:name="_Hlk525296634"/>
    </w:p>
    <w:p w14:paraId="4803EC84" w14:textId="77777777" w:rsidR="00197752" w:rsidRDefault="004F42CC" w:rsidP="004F42CC">
      <w:pPr>
        <w:rPr>
          <w:rFonts w:cs="Arial"/>
          <w:szCs w:val="22"/>
        </w:rPr>
      </w:pPr>
      <w:r w:rsidRPr="002179EB">
        <w:rPr>
          <w:rFonts w:cs="Arial"/>
          <w:szCs w:val="22"/>
        </w:rPr>
        <w:t xml:space="preserve">According to the County Tax Assessor’s Office, the subject’s property taxes for the most recent year are paid in full.  </w:t>
      </w:r>
    </w:p>
    <w:p w14:paraId="52CE9FD2" w14:textId="77777777" w:rsidR="00197752" w:rsidRDefault="00197752" w:rsidP="004F42CC">
      <w:pPr>
        <w:rPr>
          <w:rFonts w:cs="Arial"/>
          <w:szCs w:val="22"/>
        </w:rPr>
      </w:pPr>
    </w:p>
    <w:p w14:paraId="051D8FCF" w14:textId="7BD714CF" w:rsidR="004F42CC" w:rsidRPr="002179EB" w:rsidRDefault="004F42CC" w:rsidP="004F42CC">
      <w:pPr>
        <w:rPr>
          <w:rFonts w:cs="Arial"/>
          <w:szCs w:val="22"/>
        </w:rPr>
      </w:pPr>
      <w:r w:rsidRPr="002179EB">
        <w:rPr>
          <w:rFonts w:cs="Arial"/>
          <w:szCs w:val="22"/>
        </w:rPr>
        <w:t>While the current tax year began July 1, 20</w:t>
      </w:r>
      <w:r w:rsidR="008E308E">
        <w:rPr>
          <w:rFonts w:cs="Arial"/>
          <w:szCs w:val="22"/>
        </w:rPr>
        <w:t>19</w:t>
      </w:r>
      <w:r w:rsidRPr="002179EB">
        <w:rPr>
          <w:rFonts w:cs="Arial"/>
          <w:szCs w:val="22"/>
        </w:rPr>
        <w:t>, the assessed values and tax liability have yet to be certified and reported.  The first installment for real estate taxes will be November 15, 20</w:t>
      </w:r>
      <w:r w:rsidR="008E308E">
        <w:rPr>
          <w:rFonts w:cs="Arial"/>
          <w:szCs w:val="22"/>
        </w:rPr>
        <w:t>19</w:t>
      </w:r>
      <w:r w:rsidR="00197752">
        <w:rPr>
          <w:rFonts w:cs="Arial"/>
          <w:szCs w:val="22"/>
        </w:rPr>
        <w:t>, and eligible for a -3.0% discount if paid in full by this date</w:t>
      </w:r>
      <w:r w:rsidRPr="002179EB">
        <w:rPr>
          <w:rFonts w:cs="Arial"/>
          <w:szCs w:val="22"/>
        </w:rPr>
        <w:t>.</w:t>
      </w:r>
    </w:p>
    <w:bookmarkEnd w:id="1"/>
    <w:p w14:paraId="4C1E4EF6" w14:textId="562B485F" w:rsidR="00423852" w:rsidRPr="00423852" w:rsidRDefault="00423852" w:rsidP="00423852">
      <w:pPr>
        <w:pStyle w:val="Heading20"/>
        <w:rPr>
          <w:rFonts w:asciiTheme="minorHAnsi" w:hAnsiTheme="minorHAnsi" w:cs="Arial"/>
          <w:b w:val="0"/>
          <w:color w:val="1E4959"/>
          <w:spacing w:val="0"/>
          <w:kern w:val="20"/>
          <w:sz w:val="24"/>
          <w:szCs w:val="20"/>
          <w:u w:val="single"/>
        </w:rPr>
      </w:pPr>
      <w:r>
        <w:rPr>
          <w:rFonts w:asciiTheme="minorHAnsi" w:hAnsiTheme="minorHAnsi" w:cs="Arial"/>
          <w:b w:val="0"/>
          <w:color w:val="1E4959"/>
          <w:spacing w:val="0"/>
          <w:kern w:val="20"/>
          <w:sz w:val="24"/>
          <w:szCs w:val="20"/>
          <w:u w:val="single"/>
        </w:rPr>
        <w:t>Additional LID Payment</w:t>
      </w:r>
    </w:p>
    <w:p w14:paraId="39AF0F64" w14:textId="77777777" w:rsidR="00423852" w:rsidRDefault="00423852" w:rsidP="00423852">
      <w:pPr>
        <w:rPr>
          <w:rFonts w:cs="Arial"/>
          <w:szCs w:val="22"/>
        </w:rPr>
      </w:pPr>
      <w:r>
        <w:rPr>
          <w:rFonts w:cs="Arial"/>
          <w:szCs w:val="22"/>
        </w:rPr>
        <w:t>Note that the county assessment records in the Addenda indicate that total tax liability cited above is divided between a base, ad valorem tax assessment of $2,128.61, plus and LID payment of $315.02.  This local improvement district / LID payment has been ongoing since 2012, and recently increase in 2018.</w:t>
      </w:r>
    </w:p>
    <w:p w14:paraId="3F66D450" w14:textId="1A3D3C2F" w:rsidR="00DA4B42" w:rsidRDefault="00DA4B42"/>
    <w:p w14:paraId="3A3A91F8" w14:textId="3F860A3B" w:rsidR="00D85495" w:rsidRDefault="00D85495"/>
    <w:p w14:paraId="14434B09" w14:textId="74A24453" w:rsidR="00180BBF" w:rsidRDefault="00180BBF"/>
    <w:p w14:paraId="10241CDD" w14:textId="547415BD" w:rsidR="00180BBF" w:rsidRDefault="00180BBF"/>
    <w:p w14:paraId="0472CA22" w14:textId="42C11EFE" w:rsidR="00180BBF" w:rsidRDefault="00180BBF"/>
    <w:p w14:paraId="05CEC94C" w14:textId="690D25F9" w:rsidR="00180BBF" w:rsidRDefault="00180BBF"/>
    <w:p w14:paraId="3D9471B7" w14:textId="77777777" w:rsidR="00180BBF" w:rsidRPr="00D85495" w:rsidRDefault="00180BBF" w:rsidP="00180BBF">
      <w:pPr>
        <w:pStyle w:val="Heading20"/>
        <w:rPr>
          <w:rFonts w:asciiTheme="minorHAnsi" w:hAnsiTheme="minorHAnsi" w:cs="Arial"/>
          <w:b w:val="0"/>
          <w:color w:val="1E4959"/>
          <w:spacing w:val="0"/>
          <w:kern w:val="20"/>
          <w:sz w:val="28"/>
          <w:szCs w:val="22"/>
        </w:rPr>
      </w:pPr>
      <w:r w:rsidRPr="00D85495">
        <w:rPr>
          <w:rFonts w:asciiTheme="minorHAnsi" w:hAnsiTheme="minorHAnsi" w:cs="Arial"/>
          <w:b w:val="0"/>
          <w:color w:val="1E4959"/>
          <w:spacing w:val="0"/>
          <w:kern w:val="20"/>
          <w:sz w:val="28"/>
          <w:szCs w:val="22"/>
        </w:rPr>
        <w:lastRenderedPageBreak/>
        <w:t xml:space="preserve">National Historic Register / Tax Freeze </w:t>
      </w:r>
    </w:p>
    <w:p w14:paraId="02DB52CD" w14:textId="77777777" w:rsidR="00180BBF" w:rsidRPr="00C525DC" w:rsidRDefault="00180BBF" w:rsidP="00180BBF">
      <w:pPr>
        <w:rPr>
          <w:iCs/>
        </w:rPr>
      </w:pPr>
      <w:r w:rsidRPr="00D85495">
        <w:rPr>
          <w:iCs/>
        </w:rPr>
        <w:t xml:space="preserve">The subject was placed on the National Historic Register in </w:t>
      </w:r>
      <w:r w:rsidRPr="00C525DC">
        <w:rPr>
          <w:iCs/>
        </w:rPr>
        <w:t>2015. This resulted in a 15-year Assessed Value freeze. This freeze commenced July 1, 2016 and expires June 30, 2031. The subject’s tax or millage rate will vary over the next 10 years; however, this should have little impact on the subject’s tax liability.  As such, the subject’s current taxes of $16,290 (rounded) will likely remain frozen for the next 10 years. The Real Market Value continues to be reassessed; however, this does not affect the subject’s tax burden.</w:t>
      </w:r>
    </w:p>
    <w:p w14:paraId="3304235E" w14:textId="77777777" w:rsidR="00180BBF" w:rsidRPr="00C525DC" w:rsidRDefault="00180BBF" w:rsidP="00180BBF">
      <w:pPr>
        <w:pStyle w:val="Heading20"/>
        <w:rPr>
          <w:rFonts w:asciiTheme="minorHAnsi" w:hAnsiTheme="minorHAnsi" w:cs="Arial"/>
          <w:b w:val="0"/>
          <w:color w:val="1E4959"/>
          <w:spacing w:val="0"/>
          <w:kern w:val="20"/>
          <w:sz w:val="24"/>
          <w:szCs w:val="20"/>
          <w:u w:val="single"/>
        </w:rPr>
      </w:pPr>
      <w:r w:rsidRPr="00C525DC">
        <w:rPr>
          <w:rFonts w:asciiTheme="minorHAnsi" w:hAnsiTheme="minorHAnsi" w:cs="Arial"/>
          <w:b w:val="0"/>
          <w:color w:val="1E4959"/>
          <w:spacing w:val="0"/>
          <w:kern w:val="20"/>
          <w:sz w:val="24"/>
          <w:szCs w:val="20"/>
          <w:u w:val="single"/>
        </w:rPr>
        <w:t>Stabilized Real Property Tax Liability Calculation</w:t>
      </w:r>
    </w:p>
    <w:p w14:paraId="40CD9D06" w14:textId="72FD984D" w:rsidR="00180BBF" w:rsidRPr="00C525DC" w:rsidRDefault="00180BBF" w:rsidP="00180BBF">
      <w:pPr>
        <w:tabs>
          <w:tab w:val="left" w:pos="360"/>
        </w:tabs>
        <w:rPr>
          <w:rFonts w:cstheme="minorHAnsi"/>
          <w:szCs w:val="22"/>
        </w:rPr>
      </w:pPr>
      <w:r w:rsidRPr="00C525DC">
        <w:rPr>
          <w:rFonts w:cstheme="minorHAnsi"/>
          <w:szCs w:val="22"/>
        </w:rPr>
        <w:t xml:space="preserve">Our estimation of the real property taxes for the subject without the tax freeze is provided following, with the assessed value based on our concluded stabilized value, multiplied by the current </w:t>
      </w:r>
      <w:r w:rsidR="00CB39C5">
        <w:rPr>
          <w:rFonts w:cstheme="minorHAnsi"/>
          <w:szCs w:val="22"/>
        </w:rPr>
        <w:t>${</w:t>
      </w:r>
      <w:r w:rsidR="00CB39C5" w:rsidRPr="00CB39C5">
        <w:rPr>
          <w:rFonts w:cstheme="minorHAnsi"/>
          <w:szCs w:val="22"/>
        </w:rPr>
        <w:t>assessedyear</w:t>
      </w:r>
      <w:r w:rsidR="00CB39C5">
        <w:rPr>
          <w:rFonts w:cstheme="minorHAnsi"/>
          <w:szCs w:val="22"/>
        </w:rPr>
        <w:t>}</w:t>
      </w:r>
      <w:r w:rsidRPr="00C525DC">
        <w:rPr>
          <w:rFonts w:cstheme="minorHAnsi"/>
          <w:szCs w:val="22"/>
        </w:rPr>
        <w:t xml:space="preserve"> change ratio of 54.13% for commercial properties in Multnomah County (stabilized fee simple value of $5,030,000 x 54.13% = $2,722,739). Finally, our estimation assumes a stabilized millage rate based on the current rate of $22.4618 per $1,000.</w:t>
      </w:r>
    </w:p>
    <w:p w14:paraId="2B0DD1C9" w14:textId="77777777" w:rsidR="00180BBF" w:rsidRPr="00C525DC" w:rsidRDefault="00180BBF" w:rsidP="00180BBF">
      <w:pPr>
        <w:ind w:left="720" w:hanging="720"/>
        <w:rPr>
          <w:rFonts w:cstheme="minorHAnsi"/>
          <w:szCs w:val="22"/>
        </w:rPr>
      </w:pPr>
    </w:p>
    <w:p w14:paraId="4C35E75B" w14:textId="77777777" w:rsidR="00180BBF" w:rsidRPr="00C525DC" w:rsidRDefault="00180BBF" w:rsidP="00180BBF">
      <w:pPr>
        <w:jc w:val="center"/>
        <w:rPr>
          <w:rFonts w:cstheme="minorHAnsi"/>
          <w:b/>
          <w:szCs w:val="22"/>
        </w:rPr>
      </w:pPr>
      <w:r w:rsidRPr="00C525DC">
        <w:rPr>
          <w:rFonts w:cstheme="minorHAnsi"/>
          <w:b/>
          <w:szCs w:val="22"/>
        </w:rPr>
        <w:t>Estimated Real Property Assessment and Taxes Without a Tax Freeze</w:t>
      </w:r>
    </w:p>
    <w:p w14:paraId="4AF97802" w14:textId="46E911AB" w:rsidR="00180BBF" w:rsidRPr="00D85495" w:rsidRDefault="00180BBF" w:rsidP="00180BBF">
      <w:pPr>
        <w:jc w:val="center"/>
        <w:rPr>
          <w:rFonts w:cstheme="minorHAnsi"/>
          <w:b/>
          <w:szCs w:val="22"/>
        </w:rPr>
      </w:pPr>
      <w:r w:rsidRPr="00C525DC">
        <w:rPr>
          <w:rFonts w:cstheme="minorHAnsi"/>
          <w:b/>
          <w:szCs w:val="22"/>
        </w:rPr>
        <w:t xml:space="preserve">Fiscal Tax Year </w:t>
      </w:r>
      <w:r w:rsidR="00CB39C5">
        <w:rPr>
          <w:rFonts w:cstheme="minorHAnsi"/>
          <w:b/>
          <w:szCs w:val="22"/>
        </w:rPr>
        <w:t>${</w:t>
      </w:r>
      <w:r w:rsidR="00CB39C5" w:rsidRPr="00CB39C5">
        <w:rPr>
          <w:rFonts w:cstheme="minorHAnsi"/>
          <w:b/>
          <w:szCs w:val="22"/>
        </w:rPr>
        <w:t>assessedyear</w:t>
      </w:r>
      <w:r w:rsidR="00CB39C5">
        <w:rPr>
          <w:rFonts w:cstheme="minorHAnsi"/>
          <w:b/>
          <w:szCs w:val="22"/>
        </w:rPr>
        <w:t>}</w:t>
      </w:r>
    </w:p>
    <w:p w14:paraId="5F7DB86B" w14:textId="77777777" w:rsidR="00180BBF" w:rsidRPr="00D85495" w:rsidRDefault="00180BBF" w:rsidP="00180BBF">
      <w:pPr>
        <w:jc w:val="center"/>
        <w:rPr>
          <w:rFonts w:cstheme="minorHAnsi"/>
          <w:b/>
          <w:szCs w:val="22"/>
        </w:rPr>
      </w:pPr>
    </w:p>
    <w:tbl>
      <w:tblPr>
        <w:tblW w:w="0" w:type="auto"/>
        <w:tblInd w:w="828" w:type="dxa"/>
        <w:tblLayout w:type="fixed"/>
        <w:tblLook w:val="0000" w:firstRow="0" w:lastRow="0" w:firstColumn="0" w:lastColumn="0" w:noHBand="0" w:noVBand="0"/>
      </w:tblPr>
      <w:tblGrid>
        <w:gridCol w:w="1839"/>
        <w:gridCol w:w="1653"/>
        <w:gridCol w:w="363"/>
        <w:gridCol w:w="1767"/>
        <w:gridCol w:w="431"/>
        <w:gridCol w:w="1687"/>
      </w:tblGrid>
      <w:tr w:rsidR="00180BBF" w:rsidRPr="00D85495" w14:paraId="2401D3AC" w14:textId="77777777" w:rsidTr="0068527D">
        <w:tc>
          <w:tcPr>
            <w:tcW w:w="1839" w:type="dxa"/>
            <w:tcBorders>
              <w:bottom w:val="single" w:sz="24" w:space="0" w:color="3FB44F"/>
            </w:tcBorders>
            <w:shd w:val="clear" w:color="auto" w:fill="1E4959"/>
          </w:tcPr>
          <w:p w14:paraId="7518DCF3" w14:textId="77777777" w:rsidR="00180BBF" w:rsidRPr="00D85495" w:rsidRDefault="00180BBF" w:rsidP="0068527D">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Real</w:t>
            </w:r>
          </w:p>
          <w:p w14:paraId="55E14EB0" w14:textId="77777777" w:rsidR="00180BBF" w:rsidRPr="00D85495" w:rsidRDefault="00180BBF" w:rsidP="0068527D">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Property</w:t>
            </w:r>
          </w:p>
          <w:p w14:paraId="3F948BE1" w14:textId="77777777" w:rsidR="00180BBF" w:rsidRPr="00D85495" w:rsidRDefault="00180BBF" w:rsidP="0068527D">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Component</w:t>
            </w:r>
          </w:p>
        </w:tc>
        <w:tc>
          <w:tcPr>
            <w:tcW w:w="1653" w:type="dxa"/>
            <w:tcBorders>
              <w:bottom w:val="single" w:sz="24" w:space="0" w:color="3FB44F"/>
            </w:tcBorders>
            <w:shd w:val="clear" w:color="auto" w:fill="1E4959"/>
          </w:tcPr>
          <w:p w14:paraId="40C71DB1" w14:textId="77777777" w:rsidR="00180BBF" w:rsidRPr="00D85495" w:rsidRDefault="00180BBF" w:rsidP="0068527D">
            <w:pPr>
              <w:tabs>
                <w:tab w:val="left" w:pos="3600"/>
              </w:tabs>
              <w:jc w:val="center"/>
              <w:rPr>
                <w:rFonts w:cstheme="minorHAnsi"/>
                <w:b/>
                <w:smallCaps/>
                <w:color w:val="FFFFFF" w:themeColor="background1"/>
                <w:szCs w:val="22"/>
              </w:rPr>
            </w:pPr>
          </w:p>
          <w:p w14:paraId="31CAD8CE" w14:textId="77777777" w:rsidR="00180BBF" w:rsidRPr="00D85495" w:rsidRDefault="00180BBF" w:rsidP="0068527D">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Assessed</w:t>
            </w:r>
          </w:p>
          <w:p w14:paraId="4DEC37F1" w14:textId="77777777" w:rsidR="00180BBF" w:rsidRPr="00D85495" w:rsidRDefault="00180BBF" w:rsidP="0068527D">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Value</w:t>
            </w:r>
          </w:p>
        </w:tc>
        <w:tc>
          <w:tcPr>
            <w:tcW w:w="363" w:type="dxa"/>
            <w:tcBorders>
              <w:bottom w:val="single" w:sz="24" w:space="0" w:color="3FB44F"/>
            </w:tcBorders>
            <w:shd w:val="clear" w:color="auto" w:fill="1E4959"/>
          </w:tcPr>
          <w:p w14:paraId="7A2B01F9" w14:textId="77777777" w:rsidR="00180BBF" w:rsidRPr="00D85495" w:rsidRDefault="00180BBF" w:rsidP="0068527D">
            <w:pPr>
              <w:tabs>
                <w:tab w:val="left" w:pos="3600"/>
              </w:tabs>
              <w:jc w:val="center"/>
              <w:rPr>
                <w:rFonts w:cstheme="minorHAnsi"/>
                <w:b/>
                <w:smallCaps/>
                <w:color w:val="FFFFFF" w:themeColor="background1"/>
                <w:szCs w:val="22"/>
              </w:rPr>
            </w:pPr>
          </w:p>
          <w:p w14:paraId="5EF79D19" w14:textId="77777777" w:rsidR="00180BBF" w:rsidRPr="00D85495" w:rsidRDefault="00180BBF" w:rsidP="0068527D">
            <w:pPr>
              <w:tabs>
                <w:tab w:val="left" w:pos="3600"/>
              </w:tabs>
              <w:jc w:val="center"/>
              <w:rPr>
                <w:rFonts w:cstheme="minorHAnsi"/>
                <w:b/>
                <w:smallCaps/>
                <w:color w:val="FFFFFF" w:themeColor="background1"/>
                <w:szCs w:val="22"/>
              </w:rPr>
            </w:pPr>
          </w:p>
          <w:p w14:paraId="5C52BACC" w14:textId="77777777" w:rsidR="00180BBF" w:rsidRPr="00D85495" w:rsidRDefault="00180BBF" w:rsidP="0068527D">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x</w:t>
            </w:r>
          </w:p>
        </w:tc>
        <w:tc>
          <w:tcPr>
            <w:tcW w:w="1767" w:type="dxa"/>
            <w:tcBorders>
              <w:bottom w:val="single" w:sz="24" w:space="0" w:color="3FB44F"/>
            </w:tcBorders>
            <w:shd w:val="clear" w:color="auto" w:fill="1E4959"/>
          </w:tcPr>
          <w:p w14:paraId="6CD50178" w14:textId="77777777" w:rsidR="00180BBF" w:rsidRPr="00D85495" w:rsidRDefault="00180BBF" w:rsidP="0068527D">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Millage Rate</w:t>
            </w:r>
          </w:p>
          <w:p w14:paraId="42A63EDF" w14:textId="77777777" w:rsidR="00180BBF" w:rsidRPr="00D85495" w:rsidRDefault="00180BBF" w:rsidP="0068527D">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Per $1,000</w:t>
            </w:r>
          </w:p>
          <w:p w14:paraId="7EC6C899" w14:textId="77777777" w:rsidR="00180BBF" w:rsidRPr="00D85495" w:rsidRDefault="00180BBF" w:rsidP="0068527D">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Assessed Value</w:t>
            </w:r>
          </w:p>
        </w:tc>
        <w:tc>
          <w:tcPr>
            <w:tcW w:w="431" w:type="dxa"/>
            <w:tcBorders>
              <w:bottom w:val="single" w:sz="24" w:space="0" w:color="3FB44F"/>
            </w:tcBorders>
            <w:shd w:val="clear" w:color="auto" w:fill="1E4959"/>
          </w:tcPr>
          <w:p w14:paraId="2B0AA2C0" w14:textId="77777777" w:rsidR="00180BBF" w:rsidRPr="00D85495" w:rsidRDefault="00180BBF" w:rsidP="0068527D">
            <w:pPr>
              <w:tabs>
                <w:tab w:val="left" w:pos="3600"/>
              </w:tabs>
              <w:jc w:val="center"/>
              <w:rPr>
                <w:rFonts w:cstheme="minorHAnsi"/>
                <w:b/>
                <w:smallCaps/>
                <w:color w:val="FFFFFF" w:themeColor="background1"/>
                <w:szCs w:val="22"/>
              </w:rPr>
            </w:pPr>
          </w:p>
          <w:p w14:paraId="52125B51" w14:textId="77777777" w:rsidR="00180BBF" w:rsidRPr="00D85495" w:rsidRDefault="00180BBF" w:rsidP="0068527D">
            <w:pPr>
              <w:tabs>
                <w:tab w:val="left" w:pos="3600"/>
              </w:tabs>
              <w:jc w:val="center"/>
              <w:rPr>
                <w:rFonts w:cstheme="minorHAnsi"/>
                <w:b/>
                <w:smallCaps/>
                <w:color w:val="FFFFFF" w:themeColor="background1"/>
                <w:szCs w:val="22"/>
              </w:rPr>
            </w:pPr>
          </w:p>
          <w:p w14:paraId="25461BC7" w14:textId="77777777" w:rsidR="00180BBF" w:rsidRPr="00D85495" w:rsidRDefault="00180BBF" w:rsidP="0068527D">
            <w:pPr>
              <w:tabs>
                <w:tab w:val="left" w:pos="3600"/>
              </w:tabs>
              <w:jc w:val="center"/>
              <w:rPr>
                <w:rFonts w:cstheme="minorHAnsi"/>
                <w:b/>
                <w:smallCaps/>
                <w:color w:val="FFFFFF" w:themeColor="background1"/>
                <w:szCs w:val="22"/>
              </w:rPr>
            </w:pPr>
          </w:p>
        </w:tc>
        <w:tc>
          <w:tcPr>
            <w:tcW w:w="1687" w:type="dxa"/>
            <w:tcBorders>
              <w:bottom w:val="single" w:sz="24" w:space="0" w:color="3FB44F"/>
            </w:tcBorders>
            <w:shd w:val="clear" w:color="auto" w:fill="1E4959"/>
          </w:tcPr>
          <w:p w14:paraId="0DA4639C" w14:textId="77777777" w:rsidR="00180BBF" w:rsidRPr="00D85495" w:rsidRDefault="00180BBF" w:rsidP="0068527D">
            <w:pPr>
              <w:tabs>
                <w:tab w:val="left" w:pos="3600"/>
              </w:tabs>
              <w:jc w:val="center"/>
              <w:rPr>
                <w:rFonts w:cstheme="minorHAnsi"/>
                <w:b/>
                <w:smallCaps/>
                <w:color w:val="FFFFFF" w:themeColor="background1"/>
                <w:szCs w:val="22"/>
              </w:rPr>
            </w:pPr>
          </w:p>
          <w:p w14:paraId="768E01A1" w14:textId="77777777" w:rsidR="00180BBF" w:rsidRPr="00D85495" w:rsidRDefault="00180BBF" w:rsidP="0068527D">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Annual</w:t>
            </w:r>
          </w:p>
          <w:p w14:paraId="40E172E7" w14:textId="77777777" w:rsidR="00180BBF" w:rsidRPr="00D85495" w:rsidRDefault="00180BBF" w:rsidP="0068527D">
            <w:pPr>
              <w:tabs>
                <w:tab w:val="left" w:pos="3600"/>
              </w:tabs>
              <w:jc w:val="center"/>
              <w:rPr>
                <w:rFonts w:cstheme="minorHAnsi"/>
                <w:b/>
                <w:smallCaps/>
                <w:color w:val="FFFFFF" w:themeColor="background1"/>
                <w:szCs w:val="22"/>
              </w:rPr>
            </w:pPr>
            <w:r w:rsidRPr="00D85495">
              <w:rPr>
                <w:rFonts w:cstheme="minorHAnsi"/>
                <w:b/>
                <w:smallCaps/>
                <w:color w:val="FFFFFF" w:themeColor="background1"/>
                <w:szCs w:val="22"/>
              </w:rPr>
              <w:t>Taxes</w:t>
            </w:r>
          </w:p>
        </w:tc>
      </w:tr>
      <w:tr w:rsidR="00180BBF" w:rsidRPr="00D85495" w14:paraId="3CE06A25" w14:textId="77777777" w:rsidTr="0068527D">
        <w:tc>
          <w:tcPr>
            <w:tcW w:w="1839" w:type="dxa"/>
            <w:tcBorders>
              <w:top w:val="single" w:sz="24" w:space="0" w:color="3FB44F"/>
              <w:bottom w:val="double" w:sz="6" w:space="0" w:color="auto"/>
              <w:right w:val="single" w:sz="6" w:space="0" w:color="auto"/>
            </w:tcBorders>
          </w:tcPr>
          <w:p w14:paraId="75223975" w14:textId="77777777" w:rsidR="00180BBF" w:rsidRPr="00D85495" w:rsidRDefault="00180BBF" w:rsidP="0068527D">
            <w:pPr>
              <w:tabs>
                <w:tab w:val="left" w:pos="3600"/>
              </w:tabs>
              <w:spacing w:line="400" w:lineRule="exact"/>
              <w:jc w:val="center"/>
              <w:rPr>
                <w:rFonts w:cstheme="minorHAnsi"/>
                <w:b/>
                <w:szCs w:val="22"/>
              </w:rPr>
            </w:pPr>
            <w:r w:rsidRPr="00D85495">
              <w:rPr>
                <w:rFonts w:cstheme="minorHAnsi"/>
                <w:b/>
                <w:szCs w:val="22"/>
              </w:rPr>
              <w:t>TOTAL</w:t>
            </w:r>
          </w:p>
        </w:tc>
        <w:tc>
          <w:tcPr>
            <w:tcW w:w="1653" w:type="dxa"/>
            <w:tcBorders>
              <w:top w:val="single" w:sz="24" w:space="0" w:color="3FB44F"/>
              <w:left w:val="nil"/>
              <w:bottom w:val="double" w:sz="6" w:space="0" w:color="auto"/>
            </w:tcBorders>
          </w:tcPr>
          <w:p w14:paraId="3D0344C0" w14:textId="77777777" w:rsidR="00180BBF" w:rsidRPr="00D85495" w:rsidRDefault="00180BBF" w:rsidP="0068527D">
            <w:pPr>
              <w:tabs>
                <w:tab w:val="left" w:pos="3600"/>
              </w:tabs>
              <w:spacing w:line="400" w:lineRule="exact"/>
              <w:jc w:val="right"/>
              <w:rPr>
                <w:rFonts w:cstheme="minorHAnsi"/>
                <w:b/>
                <w:szCs w:val="22"/>
              </w:rPr>
            </w:pPr>
            <w:r w:rsidRPr="00D85495">
              <w:rPr>
                <w:rFonts w:cstheme="minorHAnsi"/>
                <w:b/>
                <w:szCs w:val="22"/>
              </w:rPr>
              <w:t>$2,722,739</w:t>
            </w:r>
          </w:p>
        </w:tc>
        <w:tc>
          <w:tcPr>
            <w:tcW w:w="363" w:type="dxa"/>
            <w:tcBorders>
              <w:top w:val="single" w:sz="24" w:space="0" w:color="3FB44F"/>
              <w:bottom w:val="double" w:sz="6" w:space="0" w:color="auto"/>
            </w:tcBorders>
          </w:tcPr>
          <w:p w14:paraId="41714E58" w14:textId="77777777" w:rsidR="00180BBF" w:rsidRPr="00D85495" w:rsidRDefault="00180BBF" w:rsidP="0068527D">
            <w:pPr>
              <w:tabs>
                <w:tab w:val="left" w:pos="3600"/>
              </w:tabs>
              <w:spacing w:line="400" w:lineRule="exact"/>
              <w:jc w:val="center"/>
              <w:rPr>
                <w:rFonts w:cstheme="minorHAnsi"/>
                <w:b/>
                <w:szCs w:val="22"/>
              </w:rPr>
            </w:pPr>
          </w:p>
        </w:tc>
        <w:tc>
          <w:tcPr>
            <w:tcW w:w="1767" w:type="dxa"/>
            <w:tcBorders>
              <w:top w:val="single" w:sz="24" w:space="0" w:color="3FB44F"/>
              <w:bottom w:val="double" w:sz="6" w:space="0" w:color="auto"/>
            </w:tcBorders>
          </w:tcPr>
          <w:p w14:paraId="32D76295" w14:textId="77777777" w:rsidR="00180BBF" w:rsidRPr="00D85495" w:rsidRDefault="00180BBF" w:rsidP="0068527D">
            <w:pPr>
              <w:tabs>
                <w:tab w:val="left" w:pos="3600"/>
              </w:tabs>
              <w:spacing w:line="400" w:lineRule="exact"/>
              <w:jc w:val="center"/>
              <w:rPr>
                <w:rFonts w:cstheme="minorHAnsi"/>
                <w:b/>
                <w:szCs w:val="22"/>
              </w:rPr>
            </w:pPr>
            <w:r w:rsidRPr="00D85495">
              <w:rPr>
                <w:rFonts w:cstheme="minorHAnsi"/>
                <w:b/>
                <w:szCs w:val="22"/>
              </w:rPr>
              <w:t>$22.4618</w:t>
            </w:r>
          </w:p>
        </w:tc>
        <w:tc>
          <w:tcPr>
            <w:tcW w:w="431" w:type="dxa"/>
            <w:tcBorders>
              <w:top w:val="single" w:sz="24" w:space="0" w:color="3FB44F"/>
              <w:bottom w:val="double" w:sz="6" w:space="0" w:color="auto"/>
            </w:tcBorders>
          </w:tcPr>
          <w:p w14:paraId="0BEDB517" w14:textId="77777777" w:rsidR="00180BBF" w:rsidRPr="00D85495" w:rsidRDefault="00180BBF" w:rsidP="0068527D">
            <w:pPr>
              <w:tabs>
                <w:tab w:val="left" w:pos="3600"/>
              </w:tabs>
              <w:spacing w:line="400" w:lineRule="exact"/>
              <w:jc w:val="center"/>
              <w:rPr>
                <w:rFonts w:cstheme="minorHAnsi"/>
                <w:b/>
                <w:szCs w:val="22"/>
              </w:rPr>
            </w:pPr>
          </w:p>
        </w:tc>
        <w:tc>
          <w:tcPr>
            <w:tcW w:w="1687" w:type="dxa"/>
            <w:tcBorders>
              <w:top w:val="single" w:sz="24" w:space="0" w:color="3FB44F"/>
              <w:left w:val="single" w:sz="6" w:space="0" w:color="auto"/>
              <w:bottom w:val="double" w:sz="6" w:space="0" w:color="auto"/>
            </w:tcBorders>
          </w:tcPr>
          <w:p w14:paraId="3948E75B" w14:textId="77777777" w:rsidR="00180BBF" w:rsidRPr="00D85495" w:rsidRDefault="00180BBF" w:rsidP="0068527D">
            <w:pPr>
              <w:tabs>
                <w:tab w:val="left" w:pos="3600"/>
              </w:tabs>
              <w:spacing w:line="400" w:lineRule="exact"/>
              <w:jc w:val="center"/>
              <w:rPr>
                <w:rFonts w:cstheme="minorHAnsi"/>
                <w:b/>
                <w:szCs w:val="22"/>
              </w:rPr>
            </w:pPr>
            <w:r w:rsidRPr="00D85495">
              <w:rPr>
                <w:rFonts w:cstheme="minorHAnsi"/>
                <w:b/>
                <w:szCs w:val="22"/>
              </w:rPr>
              <w:t>$61,160 (R)</w:t>
            </w:r>
          </w:p>
        </w:tc>
      </w:tr>
    </w:tbl>
    <w:p w14:paraId="0854F05A" w14:textId="77777777" w:rsidR="00180BBF" w:rsidRPr="00D85495" w:rsidRDefault="00180BBF" w:rsidP="00180BBF">
      <w:pPr>
        <w:tabs>
          <w:tab w:val="left" w:pos="0"/>
          <w:tab w:val="center" w:pos="4680"/>
        </w:tabs>
        <w:rPr>
          <w:rFonts w:cstheme="minorHAnsi"/>
          <w:szCs w:val="22"/>
        </w:rPr>
      </w:pPr>
    </w:p>
    <w:p w14:paraId="3876B898" w14:textId="77777777" w:rsidR="00180BBF" w:rsidRDefault="00180BBF"/>
    <w:p w14:paraId="4A4A1C6D" w14:textId="77777777" w:rsidR="00D85495" w:rsidRDefault="00D85495" w:rsidP="00D85495"/>
    <w:p w14:paraId="34B2A956" w14:textId="77777777" w:rsidR="00D85495" w:rsidRDefault="00D85495"/>
    <w:sectPr w:rsidR="00D85495" w:rsidSect="004F42CC">
      <w:pgSz w:w="12240" w:h="15840" w:code="1"/>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2CC"/>
    <w:rsid w:val="00180BBF"/>
    <w:rsid w:val="00197752"/>
    <w:rsid w:val="002C4230"/>
    <w:rsid w:val="00342C73"/>
    <w:rsid w:val="00423852"/>
    <w:rsid w:val="004F42CC"/>
    <w:rsid w:val="00863A56"/>
    <w:rsid w:val="008E308E"/>
    <w:rsid w:val="00A31471"/>
    <w:rsid w:val="00A9621E"/>
    <w:rsid w:val="00B651F9"/>
    <w:rsid w:val="00B81268"/>
    <w:rsid w:val="00C525DC"/>
    <w:rsid w:val="00CB39C5"/>
    <w:rsid w:val="00D85495"/>
    <w:rsid w:val="00DA4B42"/>
    <w:rsid w:val="00E916F5"/>
    <w:rsid w:val="00ED7A47"/>
    <w:rsid w:val="00ED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B658"/>
  <w15:docId w15:val="{8386A975-CA13-446E-9528-C1B6E9A0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2CC"/>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4F42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qFormat/>
    <w:rsid w:val="004F42CC"/>
    <w:pPr>
      <w:keepNext/>
      <w:tabs>
        <w:tab w:val="left" w:pos="0"/>
        <w:tab w:val="left" w:pos="259"/>
        <w:tab w:val="left" w:pos="3600"/>
        <w:tab w:val="left" w:pos="6283"/>
      </w:tabs>
      <w:spacing w:after="120"/>
      <w:jc w:val="center"/>
      <w:outlineLvl w:val="6"/>
    </w:pPr>
    <w:rPr>
      <w:b/>
      <w:kern w:val="24"/>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F42CC"/>
    <w:rPr>
      <w:rFonts w:eastAsia="Times New Roman" w:cs="Times New Roman"/>
      <w:b/>
      <w:kern w:val="24"/>
      <w:sz w:val="20"/>
      <w:szCs w:val="24"/>
    </w:rPr>
  </w:style>
  <w:style w:type="paragraph" w:customStyle="1" w:styleId="Heading20">
    <w:name w:val="Heading2"/>
    <w:basedOn w:val="Heading2"/>
    <w:link w:val="Heading2Char0"/>
    <w:uiPriority w:val="1"/>
    <w:qFormat/>
    <w:rsid w:val="004F42CC"/>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4F42CC"/>
    <w:rPr>
      <w:rFonts w:ascii="Segoe UI Light" w:eastAsia="Times New Roman" w:hAnsi="Segoe UI Light" w:cs="Times New Roman"/>
      <w:b/>
      <w:iCs/>
      <w:color w:val="1F497D"/>
      <w:spacing w:val="-2"/>
      <w:kern w:val="24"/>
      <w:sz w:val="26"/>
      <w:szCs w:val="26"/>
    </w:rPr>
  </w:style>
  <w:style w:type="character" w:customStyle="1" w:styleId="Heading2Char">
    <w:name w:val="Heading 2 Char"/>
    <w:basedOn w:val="DefaultParagraphFont"/>
    <w:link w:val="Heading2"/>
    <w:uiPriority w:val="9"/>
    <w:semiHidden/>
    <w:rsid w:val="004F42CC"/>
    <w:rPr>
      <w:rFonts w:asciiTheme="majorHAnsi" w:eastAsiaTheme="majorEastAsia" w:hAnsiTheme="majorHAnsi" w:cstheme="majorBidi"/>
      <w:color w:val="2F5496" w:themeColor="accent1" w:themeShade="BF"/>
      <w:kern w:val="20"/>
      <w:sz w:val="26"/>
      <w:szCs w:val="26"/>
    </w:rPr>
  </w:style>
  <w:style w:type="paragraph" w:styleId="BalloonText">
    <w:name w:val="Balloon Text"/>
    <w:basedOn w:val="Normal"/>
    <w:link w:val="BalloonTextChar"/>
    <w:uiPriority w:val="99"/>
    <w:semiHidden/>
    <w:unhideWhenUsed/>
    <w:rsid w:val="00D854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495"/>
    <w:rPr>
      <w:rFonts w:ascii="Segoe UI" w:eastAsia="Times New Roman"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568703">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2902</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Mueller</dc:creator>
  <cp:lastModifiedBy>Michael Martino</cp:lastModifiedBy>
  <cp:revision>5</cp:revision>
  <dcterms:created xsi:type="dcterms:W3CDTF">2020-01-14T20:23:00Z</dcterms:created>
  <dcterms:modified xsi:type="dcterms:W3CDTF">2021-02-19T06:14:00Z</dcterms:modified>
</cp:coreProperties>
</file>