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E3E65" w14:textId="77777777" w:rsidR="004F42CC" w:rsidRPr="000754FA" w:rsidRDefault="004F42CC" w:rsidP="004F42CC">
      <w:pPr>
        <w:pStyle w:val="Heading20"/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</w:pPr>
      <w:r w:rsidRPr="000754FA">
        <w:rPr>
          <w:rFonts w:asciiTheme="minorHAnsi" w:hAnsiTheme="minorHAnsi" w:cs="Arial"/>
          <w:b w:val="0"/>
          <w:color w:val="1E4959"/>
          <w:spacing w:val="0"/>
          <w:kern w:val="20"/>
          <w:sz w:val="28"/>
          <w:szCs w:val="22"/>
        </w:rPr>
        <w:t>Assessed Values and Property Taxes</w:t>
      </w:r>
    </w:p>
    <w:p w14:paraId="77D21E51" w14:textId="202FA3EE" w:rsidR="005D18FC" w:rsidRPr="007D0777" w:rsidRDefault="004F42CC" w:rsidP="005D18FC">
      <w:pPr>
        <w:rPr>
          <w:rFonts w:cs="Arial"/>
          <w:szCs w:val="22"/>
        </w:rPr>
      </w:pPr>
      <w:r w:rsidRPr="000754FA">
        <w:rPr>
          <w:rFonts w:cs="Arial"/>
          <w:szCs w:val="22"/>
        </w:rPr>
        <w:t xml:space="preserve">The State of </w:t>
      </w:r>
      <w:r w:rsidR="00D10841">
        <w:rPr>
          <w:rFonts w:cs="Arial"/>
          <w:szCs w:val="22"/>
        </w:rPr>
        <w:t>Washington</w:t>
      </w:r>
      <w:r w:rsidRPr="000754FA">
        <w:rPr>
          <w:rFonts w:cs="Arial"/>
          <w:szCs w:val="22"/>
        </w:rPr>
        <w:t xml:space="preserve"> has provided for a unified system to assess real estate for property taxes.  Assessment </w:t>
      </w:r>
      <w:r w:rsidR="005D18FC" w:rsidRPr="007D0777">
        <w:rPr>
          <w:rFonts w:cs="Arial"/>
          <w:szCs w:val="22"/>
        </w:rPr>
        <w:t>The subject property is liable for annual real estate taxes as levied by the County Assessor’s office. Real property in the State of Washington is assessed at 100% of real market value. Assessments are broken down into two components: 1) land; and 2) improvements. A millage rate, established according to the tax area, is then applied per $1,000 of the total assessed value. All improvements are reassessed every two years, while the tax rate is trended annually.</w:t>
      </w:r>
    </w:p>
    <w:p w14:paraId="52E1F7B8" w14:textId="77777777" w:rsidR="005D18FC" w:rsidRPr="007D0777" w:rsidRDefault="005D18FC" w:rsidP="005D18FC">
      <w:pPr>
        <w:rPr>
          <w:rFonts w:cs="Arial"/>
          <w:szCs w:val="22"/>
        </w:rPr>
      </w:pPr>
    </w:p>
    <w:p w14:paraId="54C53414" w14:textId="77777777" w:rsidR="00D10841" w:rsidRPr="000754FA" w:rsidRDefault="00D10841" w:rsidP="00D10841">
      <w:pPr>
        <w:rPr>
          <w:rFonts w:cs="Arial"/>
          <w:szCs w:val="22"/>
        </w:rPr>
      </w:pPr>
      <w:r w:rsidRPr="002C4230">
        <w:rPr>
          <w:rFonts w:cs="Arial"/>
          <w:szCs w:val="22"/>
        </w:rPr>
        <w:t xml:space="preserve">Map </w:t>
      </w:r>
      <w:r>
        <w:rPr>
          <w:rFonts w:cs="Arial"/>
          <w:szCs w:val="22"/>
        </w:rPr>
        <w:t>${</w:t>
      </w:r>
      <w:proofErr w:type="spellStart"/>
      <w:r>
        <w:rPr>
          <w:rFonts w:cs="Arial"/>
          <w:szCs w:val="22"/>
        </w:rPr>
        <w:t>mappage</w:t>
      </w:r>
      <w:proofErr w:type="spellEnd"/>
      <w:r>
        <w:rPr>
          <w:rFonts w:cs="Arial"/>
          <w:szCs w:val="22"/>
        </w:rPr>
        <w:t>}</w:t>
      </w:r>
      <w:r w:rsidRPr="002C4230">
        <w:rPr>
          <w:rFonts w:cs="Arial"/>
          <w:szCs w:val="22"/>
        </w:rPr>
        <w:t xml:space="preserve">  – Tax Lot</w:t>
      </w:r>
      <w:r>
        <w:rPr>
          <w:rFonts w:cs="Arial"/>
          <w:szCs w:val="22"/>
        </w:rPr>
        <w:t>s</w:t>
      </w:r>
      <w:r w:rsidRPr="002C4230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${</w:t>
      </w:r>
      <w:proofErr w:type="spellStart"/>
      <w:r>
        <w:rPr>
          <w:rFonts w:cs="Arial"/>
          <w:szCs w:val="22"/>
        </w:rPr>
        <w:t>taxlot</w:t>
      </w:r>
      <w:proofErr w:type="spellEnd"/>
      <w:r>
        <w:rPr>
          <w:rFonts w:cs="Arial"/>
          <w:szCs w:val="22"/>
        </w:rPr>
        <w:t>}</w:t>
      </w:r>
      <w:r w:rsidRPr="002C4230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${county}</w:t>
      </w:r>
      <w:r w:rsidRPr="002C4230">
        <w:rPr>
          <w:rFonts w:cs="Arial"/>
          <w:szCs w:val="22"/>
        </w:rPr>
        <w:t>,</w:t>
      </w:r>
      <w:r w:rsidRPr="000754F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State of Washington.</w:t>
      </w:r>
    </w:p>
    <w:p w14:paraId="2C6BCDD1" w14:textId="77777777" w:rsidR="00D10841" w:rsidRDefault="00D10841" w:rsidP="00D10841">
      <w:pPr>
        <w:jc w:val="left"/>
        <w:rPr>
          <w:rFonts w:cs="Arial"/>
          <w:szCs w:val="22"/>
        </w:rPr>
      </w:pPr>
    </w:p>
    <w:p w14:paraId="3EC389A4" w14:textId="77777777" w:rsidR="00D10841" w:rsidRPr="000754FA" w:rsidRDefault="00D10841" w:rsidP="00D10841">
      <w:pPr>
        <w:jc w:val="left"/>
        <w:rPr>
          <w:rFonts w:cs="Arial"/>
          <w:szCs w:val="22"/>
        </w:rPr>
      </w:pPr>
      <w:r>
        <w:rPr>
          <w:rFonts w:cs="Arial"/>
          <w:szCs w:val="22"/>
        </w:rPr>
        <w:t>Assessor Parcel Nos.:  ${</w:t>
      </w:r>
      <w:proofErr w:type="spellStart"/>
      <w:r>
        <w:rPr>
          <w:rFonts w:cs="Arial"/>
          <w:szCs w:val="22"/>
        </w:rPr>
        <w:t>parcelarray</w:t>
      </w:r>
      <w:proofErr w:type="spellEnd"/>
      <w:r>
        <w:rPr>
          <w:rFonts w:cs="Arial"/>
          <w:szCs w:val="22"/>
        </w:rPr>
        <w:t>}</w:t>
      </w:r>
      <w:r w:rsidRPr="000754FA">
        <w:rPr>
          <w:rFonts w:cs="Arial"/>
          <w:szCs w:val="22"/>
        </w:rPr>
        <w:t>.</w:t>
      </w:r>
    </w:p>
    <w:p w14:paraId="02D5F40C" w14:textId="77777777" w:rsidR="005A664E" w:rsidRPr="007D0777" w:rsidRDefault="005A664E" w:rsidP="005A664E">
      <w:pPr>
        <w:rPr>
          <w:rFonts w:cs="Arial"/>
          <w:szCs w:val="22"/>
        </w:rPr>
      </w:pPr>
    </w:p>
    <w:p w14:paraId="777B5FBF" w14:textId="77777777" w:rsidR="00D10841" w:rsidRDefault="00D10841" w:rsidP="00D10841">
      <w:pPr>
        <w:rPr>
          <w:rFonts w:cs="Arial"/>
          <w:szCs w:val="22"/>
        </w:rPr>
      </w:pPr>
      <w:r w:rsidRPr="000754FA">
        <w:rPr>
          <w:rFonts w:cs="Arial"/>
          <w:szCs w:val="22"/>
        </w:rPr>
        <w:t>The subject</w:t>
      </w:r>
      <w:r>
        <w:rPr>
          <w:rFonts w:cs="Arial"/>
          <w:szCs w:val="22"/>
        </w:rPr>
        <w:t xml:space="preserve"> property’s</w:t>
      </w:r>
      <w:r w:rsidRPr="000754FA">
        <w:rPr>
          <w:rFonts w:cs="Arial"/>
          <w:szCs w:val="22"/>
        </w:rPr>
        <w:t xml:space="preserve"> assessed values and total taxes including direct assessments are shown in the following table:</w:t>
      </w:r>
    </w:p>
    <w:p w14:paraId="5339A16D" w14:textId="77777777" w:rsidR="00E02093" w:rsidRPr="00D72D72" w:rsidRDefault="00E02093" w:rsidP="003A2D56">
      <w:pPr>
        <w:rPr>
          <w:rFonts w:cs="Arial"/>
          <w:szCs w:val="22"/>
        </w:rPr>
      </w:pPr>
    </w:p>
    <w:p w14:paraId="49BE07F2" w14:textId="77777777" w:rsidR="00E02093" w:rsidRPr="00E167E2" w:rsidRDefault="00E02093" w:rsidP="00E02093">
      <w:pPr>
        <w:pStyle w:val="Heading7"/>
        <w:tabs>
          <w:tab w:val="clear" w:pos="0"/>
          <w:tab w:val="clear" w:pos="259"/>
          <w:tab w:val="clear" w:pos="3600"/>
          <w:tab w:val="clear" w:pos="6283"/>
        </w:tabs>
        <w:spacing w:after="0"/>
        <w:rPr>
          <w:rFonts w:cs="Arial"/>
          <w:kern w:val="20"/>
          <w:sz w:val="22"/>
          <w:szCs w:val="22"/>
        </w:rPr>
      </w:pPr>
      <w:bookmarkStart w:id="0" w:name="_Hlk535500087"/>
      <w:r w:rsidRPr="00E167E2">
        <w:rPr>
          <w:rFonts w:cs="Arial"/>
          <w:kern w:val="20"/>
          <w:sz w:val="22"/>
          <w:szCs w:val="22"/>
        </w:rPr>
        <w:t xml:space="preserve">Real Property Assessment and Taxes </w:t>
      </w:r>
    </w:p>
    <w:p w14:paraId="1A43BBDD" w14:textId="7D3DC5AA" w:rsidR="00E02093" w:rsidRPr="00E167E2" w:rsidRDefault="00E02093" w:rsidP="00E02093">
      <w:pPr>
        <w:spacing w:after="120"/>
        <w:jc w:val="center"/>
        <w:rPr>
          <w:rFonts w:cs="Arial"/>
          <w:b/>
          <w:szCs w:val="22"/>
        </w:rPr>
      </w:pPr>
      <w:r w:rsidRPr="004F42CC">
        <w:rPr>
          <w:rFonts w:cs="Arial"/>
          <w:b/>
          <w:szCs w:val="22"/>
        </w:rPr>
        <w:t xml:space="preserve">Fiscal Tax Year </w:t>
      </w:r>
      <w:bookmarkEnd w:id="0"/>
      <w:r w:rsidR="00E4650B">
        <w:rPr>
          <w:rFonts w:cs="Arial"/>
          <w:b/>
          <w:szCs w:val="22"/>
        </w:rPr>
        <w:t>${</w:t>
      </w:r>
      <w:r w:rsidR="00E4650B" w:rsidRPr="00E4650B">
        <w:rPr>
          <w:rFonts w:cs="Arial"/>
          <w:b/>
          <w:szCs w:val="22"/>
        </w:rPr>
        <w:t>assessedyear</w:t>
      </w:r>
      <w:r w:rsidR="00E4650B">
        <w:rPr>
          <w:rFonts w:cs="Arial"/>
          <w:b/>
          <w:szCs w:val="22"/>
        </w:rPr>
        <w:t>}</w:t>
      </w:r>
    </w:p>
    <w:tbl>
      <w:tblPr>
        <w:tblW w:w="7425" w:type="dxa"/>
        <w:jc w:val="center"/>
        <w:tblLayout w:type="fixed"/>
        <w:tblLook w:val="0000" w:firstRow="0" w:lastRow="0" w:firstColumn="0" w:lastColumn="0" w:noHBand="0" w:noVBand="0"/>
      </w:tblPr>
      <w:tblGrid>
        <w:gridCol w:w="1485"/>
        <w:gridCol w:w="1485"/>
        <w:gridCol w:w="1485"/>
        <w:gridCol w:w="1485"/>
        <w:gridCol w:w="1485"/>
      </w:tblGrid>
      <w:tr w:rsidR="00D10841" w:rsidRPr="00E167E2" w14:paraId="6DE8080E" w14:textId="77777777" w:rsidTr="00D10841">
        <w:trPr>
          <w:jc w:val="center"/>
        </w:trPr>
        <w:tc>
          <w:tcPr>
            <w:tcW w:w="1485" w:type="dxa"/>
            <w:tcBorders>
              <w:bottom w:val="single" w:sz="24" w:space="0" w:color="3FB44F"/>
            </w:tcBorders>
            <w:shd w:val="clear" w:color="auto" w:fill="1E4959"/>
          </w:tcPr>
          <w:p w14:paraId="610BEECF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21D5690C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t>Parcel</w:t>
            </w:r>
          </w:p>
          <w:p w14:paraId="132BAFC7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>
              <w:rPr>
                <w:rFonts w:cs="Arial"/>
                <w:b/>
                <w:smallCaps/>
                <w:color w:val="FFFFFF" w:themeColor="background1"/>
                <w:szCs w:val="22"/>
              </w:rPr>
              <w:t>Number</w:t>
            </w:r>
          </w:p>
        </w:tc>
        <w:tc>
          <w:tcPr>
            <w:tcW w:w="1485" w:type="dxa"/>
            <w:tcBorders>
              <w:bottom w:val="single" w:sz="24" w:space="0" w:color="3FB44F"/>
            </w:tcBorders>
            <w:shd w:val="clear" w:color="auto" w:fill="1E4959"/>
          </w:tcPr>
          <w:p w14:paraId="0E032489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299D5AF0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E167E2">
              <w:rPr>
                <w:rFonts w:cs="Arial"/>
                <w:b/>
                <w:smallCaps/>
                <w:color w:val="FFFFFF" w:themeColor="background1"/>
                <w:szCs w:val="22"/>
              </w:rPr>
              <w:t>Market</w:t>
            </w:r>
          </w:p>
          <w:p w14:paraId="14B66163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E167E2">
              <w:rPr>
                <w:rFonts w:cs="Arial"/>
                <w:b/>
                <w:smallCaps/>
                <w:color w:val="FFFFFF" w:themeColor="background1"/>
                <w:szCs w:val="22"/>
              </w:rPr>
              <w:t>Land</w:t>
            </w:r>
          </w:p>
        </w:tc>
        <w:tc>
          <w:tcPr>
            <w:tcW w:w="1485" w:type="dxa"/>
            <w:tcBorders>
              <w:bottom w:val="single" w:sz="24" w:space="0" w:color="3FB44F"/>
            </w:tcBorders>
            <w:shd w:val="clear" w:color="auto" w:fill="1E4959"/>
          </w:tcPr>
          <w:p w14:paraId="33C2CF48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5396DF76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E167E2">
              <w:rPr>
                <w:rFonts w:cs="Arial"/>
                <w:b/>
                <w:smallCaps/>
                <w:color w:val="FFFFFF" w:themeColor="background1"/>
                <w:szCs w:val="22"/>
              </w:rPr>
              <w:t>Market</w:t>
            </w:r>
          </w:p>
          <w:p w14:paraId="5E0797B1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E167E2">
              <w:rPr>
                <w:rFonts w:cs="Arial"/>
                <w:b/>
                <w:smallCaps/>
                <w:color w:val="FFFFFF" w:themeColor="background1"/>
                <w:szCs w:val="22"/>
              </w:rPr>
              <w:t>Imps.</w:t>
            </w:r>
          </w:p>
        </w:tc>
        <w:tc>
          <w:tcPr>
            <w:tcW w:w="1485" w:type="dxa"/>
            <w:tcBorders>
              <w:bottom w:val="single" w:sz="24" w:space="0" w:color="3FB44F"/>
            </w:tcBorders>
            <w:shd w:val="clear" w:color="auto" w:fill="1E4959"/>
          </w:tcPr>
          <w:p w14:paraId="64535BBB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6CF30D7E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E167E2">
              <w:rPr>
                <w:rFonts w:cs="Arial"/>
                <w:b/>
                <w:smallCaps/>
                <w:color w:val="FFFFFF" w:themeColor="background1"/>
                <w:szCs w:val="22"/>
              </w:rPr>
              <w:t>Market</w:t>
            </w:r>
          </w:p>
          <w:p w14:paraId="43597E94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E167E2">
              <w:rPr>
                <w:rFonts w:cs="Arial"/>
                <w:b/>
                <w:smallCaps/>
                <w:color w:val="FFFFFF" w:themeColor="background1"/>
                <w:szCs w:val="22"/>
              </w:rPr>
              <w:t>Total</w:t>
            </w:r>
          </w:p>
        </w:tc>
        <w:tc>
          <w:tcPr>
            <w:tcW w:w="1485" w:type="dxa"/>
            <w:tcBorders>
              <w:bottom w:val="single" w:sz="24" w:space="0" w:color="3FB44F"/>
            </w:tcBorders>
            <w:shd w:val="clear" w:color="auto" w:fill="1E4959"/>
          </w:tcPr>
          <w:p w14:paraId="25F791F4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</w:p>
          <w:p w14:paraId="25A6F8E9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E167E2">
              <w:rPr>
                <w:rFonts w:cs="Arial"/>
                <w:b/>
                <w:smallCaps/>
                <w:color w:val="FFFFFF" w:themeColor="background1"/>
                <w:szCs w:val="22"/>
              </w:rPr>
              <w:t>Annual</w:t>
            </w:r>
          </w:p>
          <w:p w14:paraId="11A7D020" w14:textId="77777777" w:rsidR="00D10841" w:rsidRPr="00E167E2" w:rsidRDefault="00D10841" w:rsidP="00C76D1B">
            <w:pPr>
              <w:tabs>
                <w:tab w:val="left" w:pos="3600"/>
              </w:tabs>
              <w:spacing w:after="60" w:line="20" w:lineRule="atLeast"/>
              <w:jc w:val="center"/>
              <w:rPr>
                <w:rFonts w:cs="Arial"/>
                <w:b/>
                <w:smallCaps/>
                <w:color w:val="FFFFFF" w:themeColor="background1"/>
                <w:szCs w:val="22"/>
              </w:rPr>
            </w:pPr>
            <w:r w:rsidRPr="00E167E2">
              <w:rPr>
                <w:rFonts w:cs="Arial"/>
                <w:b/>
                <w:smallCaps/>
                <w:color w:val="FFFFFF" w:themeColor="background1"/>
                <w:szCs w:val="22"/>
              </w:rPr>
              <w:t>Taxes</w:t>
            </w:r>
          </w:p>
        </w:tc>
      </w:tr>
      <w:tr w:rsidR="00D10841" w:rsidRPr="001669FC" w14:paraId="2881C923" w14:textId="77777777" w:rsidTr="00D10841">
        <w:trPr>
          <w:trHeight w:val="444"/>
          <w:jc w:val="center"/>
        </w:trPr>
        <w:tc>
          <w:tcPr>
            <w:tcW w:w="1485" w:type="dxa"/>
            <w:tcBorders>
              <w:top w:val="single" w:sz="24" w:space="0" w:color="3FB44F"/>
              <w:bottom w:val="single" w:sz="4" w:space="0" w:color="auto"/>
              <w:right w:val="single" w:sz="4" w:space="0" w:color="auto"/>
            </w:tcBorders>
            <w:vAlign w:val="center"/>
          </w:tcPr>
          <w:p w14:paraId="7989F645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${</w:t>
            </w:r>
            <w:proofErr w:type="spellStart"/>
            <w:r>
              <w:rPr>
                <w:rFonts w:cstheme="minorHAnsi"/>
                <w:szCs w:val="22"/>
              </w:rPr>
              <w:t>firstRow_removeit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1485" w:type="dxa"/>
            <w:tcBorders>
              <w:top w:val="single" w:sz="24" w:space="0" w:color="3FB44F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B9B891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485" w:type="dxa"/>
            <w:tcBorders>
              <w:top w:val="single" w:sz="24" w:space="0" w:color="3FB44F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EA6420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485" w:type="dxa"/>
            <w:tcBorders>
              <w:top w:val="single" w:sz="24" w:space="0" w:color="3FB44F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FE41C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485" w:type="dxa"/>
            <w:tcBorders>
              <w:top w:val="single" w:sz="24" w:space="0" w:color="3FB44F"/>
              <w:left w:val="single" w:sz="6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F16378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</w:p>
        </w:tc>
      </w:tr>
      <w:tr w:rsidR="00D10841" w:rsidRPr="001669FC" w14:paraId="52803AA3" w14:textId="77777777" w:rsidTr="00D10841">
        <w:trPr>
          <w:trHeight w:val="444"/>
          <w:jc w:val="center"/>
        </w:trPr>
        <w:tc>
          <w:tcPr>
            <w:tcW w:w="1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E15B0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  <w:highlight w:val="magenta"/>
              </w:rPr>
            </w:pPr>
            <w:r>
              <w:rPr>
                <w:rFonts w:cstheme="minorHAnsi"/>
                <w:szCs w:val="22"/>
              </w:rPr>
              <w:t>${</w:t>
            </w:r>
            <w:proofErr w:type="spellStart"/>
            <w:r>
              <w:rPr>
                <w:rFonts w:cstheme="minorHAnsi"/>
                <w:szCs w:val="22"/>
              </w:rPr>
              <w:t>parcelno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62CFD7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  <w:r w:rsidRPr="00A9621E">
              <w:rPr>
                <w:rFonts w:cstheme="minorHAnsi"/>
                <w:szCs w:val="22"/>
              </w:rPr>
              <w:t>$</w:t>
            </w:r>
            <w:r>
              <w:rPr>
                <w:rFonts w:cstheme="minorHAnsi"/>
                <w:szCs w:val="22"/>
              </w:rPr>
              <w:t>{</w:t>
            </w:r>
            <w:proofErr w:type="spellStart"/>
            <w:r>
              <w:rPr>
                <w:rFonts w:cstheme="minorHAnsi"/>
                <w:szCs w:val="22"/>
              </w:rPr>
              <w:t>landval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CC28D9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  <w:r w:rsidRPr="00A9621E">
              <w:rPr>
                <w:rFonts w:cstheme="minorHAnsi"/>
                <w:szCs w:val="22"/>
              </w:rPr>
              <w:t>$</w:t>
            </w:r>
            <w:r>
              <w:rPr>
                <w:rFonts w:cstheme="minorHAnsi"/>
                <w:szCs w:val="22"/>
              </w:rPr>
              <w:t>{</w:t>
            </w:r>
            <w:proofErr w:type="spellStart"/>
            <w:r>
              <w:t>impval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DA15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  <w:r w:rsidRPr="00A9621E">
              <w:rPr>
                <w:rFonts w:cstheme="minorHAnsi"/>
                <w:szCs w:val="22"/>
              </w:rPr>
              <w:t>$</w:t>
            </w:r>
            <w:r>
              <w:rPr>
                <w:rFonts w:cstheme="minorHAnsi"/>
                <w:szCs w:val="22"/>
              </w:rPr>
              <w:t>{</w:t>
            </w:r>
            <w:proofErr w:type="spellStart"/>
            <w:r>
              <w:rPr>
                <w:rFonts w:cstheme="minorHAnsi"/>
                <w:szCs w:val="22"/>
              </w:rPr>
              <w:t>totalval</w:t>
            </w:r>
            <w:proofErr w:type="spellEnd"/>
            <w:r>
              <w:rPr>
                <w:rFonts w:cstheme="minorHAnsi"/>
                <w:szCs w:val="22"/>
              </w:rPr>
              <w:t>}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B42871" w14:textId="77777777" w:rsidR="00D10841" w:rsidRPr="00A9621E" w:rsidRDefault="00D10841" w:rsidP="00C76D1B">
            <w:pPr>
              <w:jc w:val="center"/>
              <w:rPr>
                <w:rFonts w:cstheme="minorHAnsi"/>
                <w:szCs w:val="22"/>
              </w:rPr>
            </w:pPr>
            <w:r w:rsidRPr="00A9621E">
              <w:rPr>
                <w:rFonts w:cstheme="minorHAnsi"/>
                <w:szCs w:val="22"/>
              </w:rPr>
              <w:t>$</w:t>
            </w:r>
            <w:r>
              <w:rPr>
                <w:rFonts w:cstheme="minorHAnsi"/>
                <w:szCs w:val="22"/>
              </w:rPr>
              <w:t>{taxes}</w:t>
            </w:r>
          </w:p>
        </w:tc>
      </w:tr>
      <w:tr w:rsidR="00D10841" w:rsidRPr="001669FC" w14:paraId="183D8DF3" w14:textId="77777777" w:rsidTr="00D10841">
        <w:trPr>
          <w:trHeight w:val="444"/>
          <w:jc w:val="center"/>
        </w:trPr>
        <w:tc>
          <w:tcPr>
            <w:tcW w:w="1485" w:type="dxa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14:paraId="1C5652EA" w14:textId="77777777" w:rsidR="00D10841" w:rsidRPr="00342C73" w:rsidRDefault="00D10841" w:rsidP="00C76D1B">
            <w:pPr>
              <w:jc w:val="center"/>
              <w:rPr>
                <w:rFonts w:cstheme="minorHAnsi"/>
                <w:b/>
                <w:bCs/>
                <w:szCs w:val="22"/>
                <w:highlight w:val="magenta"/>
              </w:rPr>
            </w:pPr>
            <w:r w:rsidRPr="00ED7F70">
              <w:rPr>
                <w:rFonts w:cstheme="minorHAnsi"/>
                <w:b/>
                <w:bCs/>
                <w:szCs w:val="22"/>
              </w:rPr>
              <w:t>TOTAL</w:t>
            </w:r>
          </w:p>
        </w:tc>
        <w:tc>
          <w:tcPr>
            <w:tcW w:w="14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6B78A5D" w14:textId="77777777" w:rsidR="00D10841" w:rsidRPr="00AC6712" w:rsidRDefault="00D10841" w:rsidP="00C76D1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${</w:t>
            </w:r>
            <w:proofErr w:type="spellStart"/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sumland</w:t>
            </w:r>
            <w:proofErr w:type="spellEnd"/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}</w:t>
            </w:r>
          </w:p>
        </w:tc>
        <w:tc>
          <w:tcPr>
            <w:tcW w:w="14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A43E3D5" w14:textId="77777777" w:rsidR="00D10841" w:rsidRPr="00AC6712" w:rsidRDefault="00D10841" w:rsidP="00C76D1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${</w:t>
            </w:r>
            <w:proofErr w:type="spellStart"/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sumimp</w:t>
            </w:r>
            <w:proofErr w:type="spellEnd"/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 xml:space="preserve">} </w:t>
            </w:r>
          </w:p>
        </w:tc>
        <w:tc>
          <w:tcPr>
            <w:tcW w:w="1485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383F" w14:textId="77777777" w:rsidR="00D10841" w:rsidRPr="00AC6712" w:rsidRDefault="00D10841" w:rsidP="00C76D1B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${</w:t>
            </w:r>
            <w:proofErr w:type="spellStart"/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sumtotal</w:t>
            </w:r>
            <w:proofErr w:type="spellEnd"/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}</w:t>
            </w:r>
          </w:p>
        </w:tc>
        <w:tc>
          <w:tcPr>
            <w:tcW w:w="148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677540A3" w14:textId="77777777" w:rsidR="00D10841" w:rsidRPr="00AC6712" w:rsidRDefault="00D10841" w:rsidP="00C76D1B">
            <w:pPr>
              <w:jc w:val="center"/>
              <w:rPr>
                <w:rFonts w:cstheme="minorHAnsi"/>
                <w:b/>
                <w:bCs/>
                <w:szCs w:val="22"/>
              </w:rPr>
            </w:pPr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${</w:t>
            </w:r>
            <w:proofErr w:type="spellStart"/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sumtaxes</w:t>
            </w:r>
            <w:proofErr w:type="spellEnd"/>
            <w:r>
              <w:rPr>
                <w:rFonts w:ascii="Calibri" w:hAnsi="Calibri" w:cstheme="minorHAnsi"/>
                <w:b/>
                <w:bCs/>
                <w:color w:val="000000"/>
                <w:szCs w:val="22"/>
              </w:rPr>
              <w:t>}</w:t>
            </w:r>
          </w:p>
        </w:tc>
      </w:tr>
    </w:tbl>
    <w:p w14:paraId="733AD678" w14:textId="77777777" w:rsidR="005A664E" w:rsidRPr="000754FA" w:rsidRDefault="005A664E" w:rsidP="005A664E">
      <w:pPr>
        <w:rPr>
          <w:rFonts w:cs="Arial"/>
          <w:szCs w:val="22"/>
        </w:rPr>
      </w:pPr>
    </w:p>
    <w:p w14:paraId="3342A198" w14:textId="151ACC44" w:rsidR="005A664E" w:rsidRPr="000754FA" w:rsidRDefault="003A2D56" w:rsidP="005A664E">
      <w:pPr>
        <w:rPr>
          <w:rFonts w:cs="Arial"/>
          <w:szCs w:val="22"/>
        </w:rPr>
      </w:pPr>
      <w:r>
        <w:rPr>
          <w:rFonts w:cs="Arial"/>
          <w:szCs w:val="22"/>
        </w:rPr>
        <w:t xml:space="preserve">Annual tax statements are available in February with taxes payable by April 30th.  </w:t>
      </w:r>
      <w:r w:rsidR="005A664E" w:rsidRPr="000754FA">
        <w:rPr>
          <w:rFonts w:cs="Arial"/>
          <w:szCs w:val="22"/>
        </w:rPr>
        <w:t>According to the County Tax Assessor’s Office, the subject’s property taxes are paid current as of the date of value.</w:t>
      </w:r>
    </w:p>
    <w:p w14:paraId="3F66D450" w14:textId="77777777" w:rsidR="00DA4B42" w:rsidRDefault="00DA4B42"/>
    <w:sectPr w:rsidR="00DA4B42" w:rsidSect="004F42CC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CC"/>
    <w:rsid w:val="000A16F9"/>
    <w:rsid w:val="000E0F4D"/>
    <w:rsid w:val="00197752"/>
    <w:rsid w:val="002C4230"/>
    <w:rsid w:val="003A2D56"/>
    <w:rsid w:val="003F1D5E"/>
    <w:rsid w:val="00423852"/>
    <w:rsid w:val="004F42CC"/>
    <w:rsid w:val="004F5A9E"/>
    <w:rsid w:val="005A664E"/>
    <w:rsid w:val="005D18FC"/>
    <w:rsid w:val="00863A56"/>
    <w:rsid w:val="00A278F4"/>
    <w:rsid w:val="00B651F9"/>
    <w:rsid w:val="00D10841"/>
    <w:rsid w:val="00DA4B42"/>
    <w:rsid w:val="00E02093"/>
    <w:rsid w:val="00E07B84"/>
    <w:rsid w:val="00E4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B658"/>
  <w15:chartTrackingRefBased/>
  <w15:docId w15:val="{A0361814-7640-4CD9-8EAB-6CC85088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CC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2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4F42CC"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F42CC"/>
    <w:rPr>
      <w:rFonts w:eastAsia="Times New Roman" w:cs="Times New Roman"/>
      <w:b/>
      <w:kern w:val="24"/>
      <w:sz w:val="20"/>
      <w:szCs w:val="24"/>
    </w:rPr>
  </w:style>
  <w:style w:type="paragraph" w:customStyle="1" w:styleId="Heading20">
    <w:name w:val="Heading2"/>
    <w:basedOn w:val="Heading2"/>
    <w:link w:val="Heading2Char0"/>
    <w:uiPriority w:val="1"/>
    <w:qFormat/>
    <w:rsid w:val="004F42CC"/>
    <w:pPr>
      <w:spacing w:before="260"/>
    </w:pPr>
    <w:rPr>
      <w:rFonts w:ascii="Segoe UI Light" w:eastAsia="Times New Roman" w:hAnsi="Segoe UI Light" w:cs="Times New Roman"/>
      <w:b/>
      <w:iCs/>
      <w:color w:val="1F497D"/>
      <w:spacing w:val="-2"/>
      <w:kern w:val="24"/>
    </w:rPr>
  </w:style>
  <w:style w:type="character" w:customStyle="1" w:styleId="Heading2Char0">
    <w:name w:val="Heading2 Char"/>
    <w:link w:val="Heading20"/>
    <w:uiPriority w:val="1"/>
    <w:rsid w:val="004F42CC"/>
    <w:rPr>
      <w:rFonts w:ascii="Segoe UI Light" w:eastAsia="Times New Roman" w:hAnsi="Segoe UI Light" w:cs="Times New Roman"/>
      <w:b/>
      <w:iCs/>
      <w:color w:val="1F497D"/>
      <w:spacing w:val="-2"/>
      <w:kern w:val="2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2C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6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4E"/>
    <w:rPr>
      <w:rFonts w:ascii="Segoe UI" w:eastAsia="Times New Roman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62E990-2B91-4088-8975-491544CD5A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BB4B41-E9A8-406C-9413-D24D4C760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7C5AD0-FB53-4527-82BE-3E5A860C4D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2020-01-15T15:54:00Z</dcterms:created>
  <dcterms:modified xsi:type="dcterms:W3CDTF">2021-02-19T06:17:00Z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