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7777777" w:rsidR="006028C1" w:rsidRPr="00E03623" w:rsidRDefault="006028C1" w:rsidP="006028C1">
                                  <w:pPr>
                                    <w:pStyle w:val="AddendaHeading"/>
                                  </w:pPr>
                                  <w:bookmarkStart w:id="0" w:name="_Toc33773871"/>
                                  <w:r w:rsidRPr="009334EB">
                                    <w:t>Improvement Description</w:t>
                                  </w:r>
                                  <w:bookmarkEnd w:id="0"/>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7777777" w:rsidR="006028C1" w:rsidRPr="00E03623" w:rsidRDefault="006028C1" w:rsidP="006028C1">
                            <w:pPr>
                              <w:pStyle w:val="AddendaHeading"/>
                            </w:pPr>
                            <w:bookmarkStart w:id="1" w:name="_Toc33773871"/>
                            <w:r w:rsidRPr="009334EB">
                              <w:t>Improvement Description</w:t>
                            </w:r>
                            <w:bookmarkEnd w:id="1"/>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77777777" w:rsidR="006028C1" w:rsidRPr="00A365CE" w:rsidRDefault="006028C1" w:rsidP="006028C1">
      <w:pPr>
        <w:tabs>
          <w:tab w:val="left" w:pos="2880"/>
        </w:tabs>
        <w:ind w:left="2880" w:hanging="2880"/>
        <w:rPr>
          <w:rFonts w:cs="Arial"/>
          <w:szCs w:val="22"/>
        </w:rPr>
      </w:pPr>
    </w:p>
    <w:p w14:paraId="7DE80089" w14:textId="4FE4A815" w:rsidR="006028C1" w:rsidRPr="00FB5F8F" w:rsidRDefault="006028C1" w:rsidP="006028C1">
      <w:pPr>
        <w:tabs>
          <w:tab w:val="left" w:pos="2880"/>
        </w:tabs>
        <w:ind w:left="2880" w:hanging="2880"/>
        <w:rPr>
          <w:rFonts w:cs="Arial"/>
          <w:szCs w:val="22"/>
        </w:rPr>
      </w:pPr>
      <w:r w:rsidRPr="00FB5F8F">
        <w:rPr>
          <w:rFonts w:cs="Arial"/>
          <w:b/>
          <w:color w:val="1E4959"/>
          <w:szCs w:val="22"/>
        </w:rPr>
        <w:t>Property Name:</w:t>
      </w:r>
      <w:r w:rsidRPr="00FB5F8F">
        <w:rPr>
          <w:rFonts w:cs="Arial"/>
          <w:szCs w:val="22"/>
        </w:rPr>
        <w:tab/>
      </w:r>
      <w:r w:rsidRPr="007D4275">
        <w:rPr>
          <w:rFonts w:cs="Arial"/>
          <w:color w:val="000000"/>
          <w:szCs w:val="22"/>
        </w:rPr>
        <w:t>${</w:t>
      </w:r>
      <w:proofErr w:type="spellStart"/>
      <w:r w:rsidRPr="007D4275">
        <w:rPr>
          <w:rFonts w:cs="Arial"/>
          <w:color w:val="000000"/>
          <w:szCs w:val="22"/>
        </w:rPr>
        <w:t>property_name</w:t>
      </w:r>
      <w:proofErr w:type="spellEnd"/>
      <w:r w:rsidRPr="007D4275">
        <w:rPr>
          <w:rFonts w:cs="Arial"/>
          <w:color w:val="000000"/>
          <w:szCs w:val="22"/>
        </w:rPr>
        <w:t>}</w:t>
      </w:r>
    </w:p>
    <w:p w14:paraId="48698F9D" w14:textId="77777777" w:rsidR="006028C1" w:rsidRPr="006028C1" w:rsidRDefault="006028C1" w:rsidP="006028C1">
      <w:pPr>
        <w:tabs>
          <w:tab w:val="left" w:pos="2880"/>
        </w:tabs>
        <w:ind w:left="2880" w:hanging="2880"/>
        <w:rPr>
          <w:rFonts w:cs="Arial"/>
          <w:bCs/>
          <w:szCs w:val="22"/>
        </w:rPr>
      </w:pPr>
    </w:p>
    <w:p w14:paraId="4CDFDA92" w14:textId="0C7B5A1E" w:rsidR="00C009DC" w:rsidRDefault="00C009DC" w:rsidP="00C009DC">
      <w:pPr>
        <w:widowControl w:val="0"/>
        <w:tabs>
          <w:tab w:val="left" w:pos="2880"/>
        </w:tabs>
        <w:ind w:left="2880" w:hanging="2880"/>
        <w:rPr>
          <w:szCs w:val="22"/>
        </w:rPr>
      </w:pPr>
      <w:r w:rsidRPr="00922115">
        <w:rPr>
          <w:b/>
          <w:color w:val="1E4959"/>
          <w:szCs w:val="22"/>
        </w:rPr>
        <w:t>General Description:</w:t>
      </w:r>
      <w:r w:rsidRPr="00922115">
        <w:rPr>
          <w:b/>
          <w:szCs w:val="22"/>
        </w:rPr>
        <w:tab/>
      </w:r>
      <w:r>
        <w:rPr>
          <w:rFonts w:cs="Arial"/>
          <w:szCs w:val="22"/>
        </w:rPr>
        <w:t>Single</w:t>
      </w:r>
      <w:r w:rsidRPr="001A68D7">
        <w:rPr>
          <w:rFonts w:cs="Arial"/>
          <w:szCs w:val="22"/>
        </w:rPr>
        <w:t xml:space="preserve">-building, </w:t>
      </w:r>
      <w:r>
        <w:rPr>
          <w:rFonts w:cs="Arial"/>
          <w:szCs w:val="22"/>
        </w:rPr>
        <w:t xml:space="preserve">single-brand, </w:t>
      </w:r>
      <w:r w:rsidRPr="001A68D7">
        <w:rPr>
          <w:rFonts w:cs="Arial"/>
          <w:szCs w:val="22"/>
        </w:rPr>
        <w:t>full-</w:t>
      </w:r>
      <w:r w:rsidRPr="00E0383E">
        <w:rPr>
          <w:rFonts w:cs="Arial"/>
          <w:szCs w:val="22"/>
        </w:rPr>
        <w:t xml:space="preserve">service auto dealership originally built in </w:t>
      </w:r>
      <w:r w:rsidR="007D4275">
        <w:rPr>
          <w:rFonts w:cs="Arial"/>
          <w:szCs w:val="22"/>
        </w:rPr>
        <w:t>${</w:t>
      </w:r>
      <w:proofErr w:type="spellStart"/>
      <w:r w:rsidR="007D4275">
        <w:rPr>
          <w:rFonts w:cs="Arial"/>
          <w:szCs w:val="22"/>
        </w:rPr>
        <w:t>yearb</w:t>
      </w:r>
      <w:proofErr w:type="spellEnd"/>
      <w:r w:rsidR="007D4275">
        <w:rPr>
          <w:rFonts w:cs="Arial"/>
          <w:szCs w:val="22"/>
        </w:rPr>
        <w:t>}</w:t>
      </w:r>
      <w:r w:rsidRPr="00E0383E">
        <w:rPr>
          <w:rFonts w:cs="Arial"/>
          <w:szCs w:val="22"/>
        </w:rPr>
        <w:t xml:space="preserve"> with intermittent remodels / updating over the decades (most recent a showroom / office update in </w:t>
      </w:r>
      <w:r w:rsidRPr="00C009DC">
        <w:rPr>
          <w:rFonts w:cs="Arial"/>
          <w:szCs w:val="22"/>
          <w:highlight w:val="yellow"/>
        </w:rPr>
        <w:t>2013</w:t>
      </w:r>
      <w:r w:rsidRPr="00E0383E">
        <w:rPr>
          <w:rFonts w:cs="Arial"/>
          <w:szCs w:val="22"/>
        </w:rPr>
        <w:t xml:space="preserve">). CMU / wood / glass construction. </w:t>
      </w:r>
      <w:r w:rsidRPr="00C009DC">
        <w:rPr>
          <w:rFonts w:cs="Arial"/>
          <w:highlight w:val="yellow"/>
        </w:rPr>
        <w:t>Average quality / average, well maintained</w:t>
      </w:r>
      <w:r>
        <w:rPr>
          <w:rFonts w:cs="Arial"/>
        </w:rPr>
        <w:t xml:space="preserve"> condition.  </w:t>
      </w:r>
    </w:p>
    <w:p w14:paraId="42D10395" w14:textId="77777777" w:rsidR="00C009DC" w:rsidRPr="00E4112B" w:rsidRDefault="00C009DC" w:rsidP="00C009DC">
      <w:pPr>
        <w:widowControl w:val="0"/>
        <w:tabs>
          <w:tab w:val="left" w:pos="2880"/>
        </w:tabs>
        <w:ind w:left="2880" w:hanging="2880"/>
        <w:rPr>
          <w:szCs w:val="22"/>
        </w:rPr>
      </w:pPr>
    </w:p>
    <w:p w14:paraId="67833E39" w14:textId="77777777" w:rsidR="00C009DC" w:rsidRPr="00E4112B" w:rsidRDefault="00C009DC" w:rsidP="00C009DC">
      <w:pPr>
        <w:widowControl w:val="0"/>
        <w:tabs>
          <w:tab w:val="left" w:pos="2880"/>
        </w:tabs>
        <w:ind w:left="2880" w:hanging="2880"/>
        <w:rPr>
          <w:color w:val="1E4959"/>
        </w:rPr>
      </w:pPr>
      <w:r w:rsidRPr="00E4112B">
        <w:rPr>
          <w:b/>
          <w:color w:val="1E4959"/>
        </w:rPr>
        <w:t>Building Areas:</w:t>
      </w:r>
    </w:p>
    <w:tbl>
      <w:tblPr>
        <w:tblW w:w="7128" w:type="dxa"/>
        <w:tblInd w:w="2340" w:type="dxa"/>
        <w:tblLayout w:type="fixed"/>
        <w:tblLook w:val="0000" w:firstRow="0" w:lastRow="0" w:firstColumn="0" w:lastColumn="0" w:noHBand="0" w:noVBand="0"/>
      </w:tblPr>
      <w:tblGrid>
        <w:gridCol w:w="3690"/>
        <w:gridCol w:w="1638"/>
        <w:gridCol w:w="1800"/>
      </w:tblGrid>
      <w:tr w:rsidR="00C009DC" w:rsidRPr="00922115" w14:paraId="1F3AB691" w14:textId="77777777" w:rsidTr="004A11EB">
        <w:tc>
          <w:tcPr>
            <w:tcW w:w="3690" w:type="dxa"/>
            <w:tcBorders>
              <w:right w:val="single" w:sz="4" w:space="0" w:color="auto"/>
            </w:tcBorders>
            <w:shd w:val="clear" w:color="auto" w:fill="1E4959"/>
          </w:tcPr>
          <w:p w14:paraId="30F6FB68" w14:textId="77777777" w:rsidR="00C009DC" w:rsidRPr="00E4112B" w:rsidRDefault="00C009DC" w:rsidP="004A11EB">
            <w:pPr>
              <w:tabs>
                <w:tab w:val="left" w:pos="0"/>
                <w:tab w:val="left" w:pos="259"/>
                <w:tab w:val="left" w:pos="3600"/>
                <w:tab w:val="right" w:pos="7879"/>
              </w:tabs>
              <w:jc w:val="left"/>
              <w:rPr>
                <w:b/>
                <w:smallCaps/>
                <w:color w:val="FFFFFF" w:themeColor="background1"/>
              </w:rPr>
            </w:pPr>
          </w:p>
        </w:tc>
        <w:tc>
          <w:tcPr>
            <w:tcW w:w="1638" w:type="dxa"/>
            <w:tcBorders>
              <w:left w:val="single" w:sz="4" w:space="0" w:color="auto"/>
              <w:right w:val="single" w:sz="4" w:space="0" w:color="auto"/>
            </w:tcBorders>
            <w:shd w:val="clear" w:color="auto" w:fill="1E4959"/>
          </w:tcPr>
          <w:p w14:paraId="0E179170" w14:textId="77777777" w:rsidR="00C009DC" w:rsidRPr="00E4112B" w:rsidRDefault="00C009DC" w:rsidP="004A11EB">
            <w:pPr>
              <w:tabs>
                <w:tab w:val="left" w:pos="0"/>
                <w:tab w:val="left" w:pos="259"/>
                <w:tab w:val="left" w:pos="3600"/>
                <w:tab w:val="right" w:pos="7879"/>
              </w:tabs>
              <w:jc w:val="center"/>
              <w:rPr>
                <w:b/>
                <w:smallCaps/>
                <w:color w:val="FFFFFF" w:themeColor="background1"/>
              </w:rPr>
            </w:pPr>
            <w:r w:rsidRPr="00E4112B">
              <w:rPr>
                <w:b/>
                <w:smallCaps/>
                <w:color w:val="FFFFFF" w:themeColor="background1"/>
              </w:rPr>
              <w:t>Gross</w:t>
            </w:r>
          </w:p>
          <w:p w14:paraId="39332232" w14:textId="77777777" w:rsidR="00C009DC" w:rsidRPr="00E4112B" w:rsidRDefault="00C009DC" w:rsidP="004A11EB">
            <w:pPr>
              <w:tabs>
                <w:tab w:val="left" w:pos="0"/>
                <w:tab w:val="left" w:pos="259"/>
                <w:tab w:val="left" w:pos="3600"/>
                <w:tab w:val="right" w:pos="7879"/>
              </w:tabs>
              <w:jc w:val="center"/>
              <w:rPr>
                <w:b/>
                <w:smallCaps/>
                <w:color w:val="FFFFFF" w:themeColor="background1"/>
              </w:rPr>
            </w:pPr>
            <w:r w:rsidRPr="00E4112B">
              <w:rPr>
                <w:b/>
                <w:smallCaps/>
                <w:color w:val="FFFFFF" w:themeColor="background1"/>
              </w:rPr>
              <w:t>Building</w:t>
            </w:r>
          </w:p>
        </w:tc>
        <w:tc>
          <w:tcPr>
            <w:tcW w:w="1800" w:type="dxa"/>
            <w:tcBorders>
              <w:left w:val="single" w:sz="4" w:space="0" w:color="auto"/>
            </w:tcBorders>
            <w:shd w:val="clear" w:color="auto" w:fill="1E4959"/>
          </w:tcPr>
          <w:p w14:paraId="79B3ADF4" w14:textId="77777777" w:rsidR="00C009DC" w:rsidRPr="00E4112B" w:rsidRDefault="00C009DC" w:rsidP="004A11EB">
            <w:pPr>
              <w:tabs>
                <w:tab w:val="left" w:pos="0"/>
                <w:tab w:val="left" w:pos="259"/>
                <w:tab w:val="left" w:pos="3600"/>
                <w:tab w:val="right" w:pos="7879"/>
              </w:tabs>
              <w:jc w:val="center"/>
              <w:rPr>
                <w:b/>
                <w:smallCaps/>
                <w:color w:val="FFFFFF" w:themeColor="background1"/>
              </w:rPr>
            </w:pPr>
            <w:r w:rsidRPr="00E4112B">
              <w:rPr>
                <w:b/>
                <w:smallCaps/>
                <w:color w:val="FFFFFF" w:themeColor="background1"/>
              </w:rPr>
              <w:t>Office</w:t>
            </w:r>
          </w:p>
          <w:p w14:paraId="7D256904" w14:textId="77777777" w:rsidR="00C009DC" w:rsidRPr="00922115" w:rsidRDefault="00C009DC" w:rsidP="004A11EB">
            <w:pPr>
              <w:tabs>
                <w:tab w:val="left" w:pos="0"/>
                <w:tab w:val="left" w:pos="259"/>
                <w:tab w:val="left" w:pos="3600"/>
                <w:tab w:val="right" w:pos="7879"/>
              </w:tabs>
              <w:jc w:val="center"/>
              <w:rPr>
                <w:b/>
                <w:smallCaps/>
                <w:color w:val="FFFFFF" w:themeColor="background1"/>
              </w:rPr>
            </w:pPr>
            <w:r w:rsidRPr="00E4112B">
              <w:rPr>
                <w:b/>
                <w:smallCaps/>
                <w:color w:val="FFFFFF" w:themeColor="background1"/>
              </w:rPr>
              <w:t>Space</w:t>
            </w:r>
          </w:p>
        </w:tc>
      </w:tr>
      <w:tr w:rsidR="00C009DC" w:rsidRPr="00922115" w14:paraId="62710234" w14:textId="77777777" w:rsidTr="004A11EB">
        <w:tc>
          <w:tcPr>
            <w:tcW w:w="3690" w:type="dxa"/>
            <w:tcBorders>
              <w:bottom w:val="single" w:sz="24" w:space="0" w:color="3FB44F"/>
              <w:right w:val="single" w:sz="4" w:space="0" w:color="auto"/>
            </w:tcBorders>
            <w:shd w:val="clear" w:color="auto" w:fill="1E4959"/>
          </w:tcPr>
          <w:p w14:paraId="2A7A92BF" w14:textId="77777777" w:rsidR="00C009DC" w:rsidRPr="00922115" w:rsidRDefault="00C009DC" w:rsidP="004A11EB">
            <w:pPr>
              <w:tabs>
                <w:tab w:val="left" w:pos="0"/>
                <w:tab w:val="left" w:pos="259"/>
                <w:tab w:val="left" w:pos="3600"/>
                <w:tab w:val="right" w:pos="7879"/>
              </w:tabs>
              <w:jc w:val="left"/>
              <w:rPr>
                <w:b/>
                <w:smallCaps/>
                <w:color w:val="FFFFFF" w:themeColor="background1"/>
              </w:rPr>
            </w:pPr>
            <w:r w:rsidRPr="00922115">
              <w:rPr>
                <w:b/>
                <w:smallCaps/>
                <w:color w:val="FFFFFF" w:themeColor="background1"/>
              </w:rPr>
              <w:t>Building Component</w:t>
            </w:r>
          </w:p>
        </w:tc>
        <w:tc>
          <w:tcPr>
            <w:tcW w:w="1638" w:type="dxa"/>
            <w:tcBorders>
              <w:left w:val="single" w:sz="4" w:space="0" w:color="auto"/>
              <w:bottom w:val="single" w:sz="24" w:space="0" w:color="3FB44F"/>
              <w:right w:val="single" w:sz="4" w:space="0" w:color="auto"/>
            </w:tcBorders>
            <w:shd w:val="clear" w:color="auto" w:fill="1E4959"/>
          </w:tcPr>
          <w:p w14:paraId="3B5C7A76" w14:textId="77777777" w:rsidR="00C009DC" w:rsidRPr="00922115" w:rsidRDefault="00C009DC" w:rsidP="004A11EB">
            <w:pPr>
              <w:tabs>
                <w:tab w:val="left" w:pos="0"/>
                <w:tab w:val="left" w:pos="259"/>
                <w:tab w:val="left" w:pos="3600"/>
                <w:tab w:val="right" w:pos="7879"/>
              </w:tabs>
              <w:jc w:val="center"/>
              <w:rPr>
                <w:b/>
                <w:smallCaps/>
                <w:color w:val="FFFFFF" w:themeColor="background1"/>
              </w:rPr>
            </w:pPr>
            <w:r w:rsidRPr="00922115">
              <w:rPr>
                <w:b/>
                <w:smallCaps/>
                <w:color w:val="FFFFFF" w:themeColor="background1"/>
              </w:rPr>
              <w:t>Area (SF)</w:t>
            </w:r>
          </w:p>
        </w:tc>
        <w:tc>
          <w:tcPr>
            <w:tcW w:w="1800" w:type="dxa"/>
            <w:tcBorders>
              <w:left w:val="single" w:sz="4" w:space="0" w:color="auto"/>
              <w:bottom w:val="single" w:sz="24" w:space="0" w:color="3FB44F"/>
            </w:tcBorders>
            <w:shd w:val="clear" w:color="auto" w:fill="1E4959"/>
          </w:tcPr>
          <w:p w14:paraId="65D2C8DF" w14:textId="77777777" w:rsidR="00C009DC" w:rsidRPr="00922115" w:rsidRDefault="00C009DC" w:rsidP="004A11EB">
            <w:pPr>
              <w:tabs>
                <w:tab w:val="left" w:pos="0"/>
                <w:tab w:val="left" w:pos="259"/>
                <w:tab w:val="left" w:pos="3600"/>
                <w:tab w:val="right" w:pos="7879"/>
              </w:tabs>
              <w:jc w:val="center"/>
              <w:rPr>
                <w:b/>
                <w:smallCaps/>
                <w:color w:val="FFFFFF" w:themeColor="background1"/>
              </w:rPr>
            </w:pPr>
            <w:r w:rsidRPr="00922115">
              <w:rPr>
                <w:b/>
                <w:smallCaps/>
                <w:color w:val="FFFFFF" w:themeColor="background1"/>
              </w:rPr>
              <w:t>SF / %</w:t>
            </w:r>
          </w:p>
        </w:tc>
      </w:tr>
      <w:tr w:rsidR="00C009DC" w14:paraId="472126D7" w14:textId="77777777" w:rsidTr="004A11EB">
        <w:tc>
          <w:tcPr>
            <w:tcW w:w="3690" w:type="dxa"/>
            <w:tcBorders>
              <w:top w:val="single" w:sz="24" w:space="0" w:color="3FB44F"/>
              <w:right w:val="single" w:sz="4" w:space="0" w:color="auto"/>
            </w:tcBorders>
          </w:tcPr>
          <w:p w14:paraId="246E7403" w14:textId="77777777" w:rsidR="00C009DC" w:rsidRPr="00922115" w:rsidRDefault="00C009DC" w:rsidP="004A11EB">
            <w:pPr>
              <w:tabs>
                <w:tab w:val="left" w:pos="0"/>
                <w:tab w:val="left" w:pos="259"/>
                <w:tab w:val="left" w:pos="3600"/>
                <w:tab w:val="right" w:pos="7879"/>
              </w:tabs>
              <w:spacing w:line="360" w:lineRule="exact"/>
              <w:jc w:val="left"/>
              <w:rPr>
                <w:b/>
                <w:u w:val="single"/>
              </w:rPr>
            </w:pPr>
            <w:r w:rsidRPr="00922115">
              <w:rPr>
                <w:b/>
                <w:u w:val="single"/>
              </w:rPr>
              <w:t xml:space="preserve">Building </w:t>
            </w:r>
            <w:r>
              <w:rPr>
                <w:b/>
                <w:u w:val="single"/>
              </w:rPr>
              <w:t>Por. A</w:t>
            </w:r>
            <w:r w:rsidRPr="001A68D7">
              <w:rPr>
                <w:b/>
              </w:rPr>
              <w:t xml:space="preserve"> </w:t>
            </w:r>
          </w:p>
        </w:tc>
        <w:tc>
          <w:tcPr>
            <w:tcW w:w="1638" w:type="dxa"/>
            <w:tcBorders>
              <w:top w:val="single" w:sz="24" w:space="0" w:color="3FB44F"/>
              <w:left w:val="single" w:sz="4" w:space="0" w:color="auto"/>
              <w:right w:val="single" w:sz="4" w:space="0" w:color="auto"/>
            </w:tcBorders>
          </w:tcPr>
          <w:p w14:paraId="3C6558E1" w14:textId="77777777" w:rsidR="00C009DC" w:rsidRPr="00922115" w:rsidRDefault="00C009DC" w:rsidP="004A11EB">
            <w:pPr>
              <w:tabs>
                <w:tab w:val="left" w:pos="0"/>
                <w:tab w:val="left" w:pos="259"/>
                <w:tab w:val="left" w:pos="3600"/>
                <w:tab w:val="right" w:pos="7879"/>
              </w:tabs>
              <w:spacing w:line="360" w:lineRule="exact"/>
              <w:jc w:val="center"/>
            </w:pPr>
          </w:p>
        </w:tc>
        <w:tc>
          <w:tcPr>
            <w:tcW w:w="1800" w:type="dxa"/>
            <w:tcBorders>
              <w:top w:val="single" w:sz="24" w:space="0" w:color="3FB44F"/>
              <w:left w:val="single" w:sz="4" w:space="0" w:color="auto"/>
            </w:tcBorders>
          </w:tcPr>
          <w:p w14:paraId="170F75A6" w14:textId="77777777" w:rsidR="00C009DC" w:rsidRPr="00922115" w:rsidRDefault="00C009DC" w:rsidP="004A11EB">
            <w:pPr>
              <w:tabs>
                <w:tab w:val="left" w:pos="0"/>
                <w:tab w:val="left" w:pos="259"/>
                <w:tab w:val="left" w:pos="3600"/>
                <w:tab w:val="right" w:pos="7879"/>
              </w:tabs>
              <w:spacing w:line="360" w:lineRule="exact"/>
              <w:jc w:val="center"/>
            </w:pPr>
          </w:p>
        </w:tc>
      </w:tr>
      <w:tr w:rsidR="00C009DC" w14:paraId="7C1D7DE7" w14:textId="77777777" w:rsidTr="004A11EB">
        <w:tc>
          <w:tcPr>
            <w:tcW w:w="3690" w:type="dxa"/>
            <w:tcBorders>
              <w:right w:val="single" w:sz="4" w:space="0" w:color="auto"/>
            </w:tcBorders>
          </w:tcPr>
          <w:p w14:paraId="5DDBCF29" w14:textId="77777777" w:rsidR="00C009DC" w:rsidRPr="00922115" w:rsidRDefault="00C009DC" w:rsidP="004A11EB">
            <w:pPr>
              <w:tabs>
                <w:tab w:val="left" w:pos="0"/>
                <w:tab w:val="left" w:pos="259"/>
                <w:tab w:val="left" w:pos="3600"/>
                <w:tab w:val="right" w:pos="7879"/>
              </w:tabs>
              <w:spacing w:line="360" w:lineRule="exact"/>
              <w:jc w:val="left"/>
            </w:pPr>
            <w:r w:rsidRPr="00922115">
              <w:t>Showroom / Sa</w:t>
            </w:r>
            <w:r>
              <w:t>les / Parts</w:t>
            </w:r>
          </w:p>
        </w:tc>
        <w:tc>
          <w:tcPr>
            <w:tcW w:w="1638" w:type="dxa"/>
            <w:tcBorders>
              <w:left w:val="single" w:sz="4" w:space="0" w:color="auto"/>
              <w:right w:val="single" w:sz="4" w:space="0" w:color="auto"/>
            </w:tcBorders>
          </w:tcPr>
          <w:p w14:paraId="54A7358E"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r w:rsidRPr="00C009DC">
              <w:rPr>
                <w:highlight w:val="yellow"/>
              </w:rPr>
              <w:t>8,294</w:t>
            </w:r>
          </w:p>
        </w:tc>
        <w:tc>
          <w:tcPr>
            <w:tcW w:w="1800" w:type="dxa"/>
            <w:tcBorders>
              <w:left w:val="single" w:sz="4" w:space="0" w:color="auto"/>
            </w:tcBorders>
          </w:tcPr>
          <w:p w14:paraId="2DBE6460"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r w:rsidRPr="00C009DC">
              <w:rPr>
                <w:highlight w:val="yellow"/>
              </w:rPr>
              <w:t>8,294</w:t>
            </w:r>
          </w:p>
        </w:tc>
      </w:tr>
      <w:tr w:rsidR="00C009DC" w14:paraId="62A4555F" w14:textId="77777777" w:rsidTr="004A11EB">
        <w:tc>
          <w:tcPr>
            <w:tcW w:w="3690" w:type="dxa"/>
            <w:tcBorders>
              <w:right w:val="single" w:sz="4" w:space="0" w:color="auto"/>
            </w:tcBorders>
          </w:tcPr>
          <w:p w14:paraId="12740E9E" w14:textId="77777777" w:rsidR="00C009DC" w:rsidRPr="00922115" w:rsidRDefault="00C009DC" w:rsidP="004A11EB">
            <w:pPr>
              <w:tabs>
                <w:tab w:val="left" w:pos="0"/>
                <w:tab w:val="left" w:pos="259"/>
                <w:tab w:val="left" w:pos="3600"/>
                <w:tab w:val="right" w:pos="7879"/>
              </w:tabs>
              <w:spacing w:line="360" w:lineRule="exact"/>
              <w:jc w:val="left"/>
            </w:pPr>
            <w:r>
              <w:t>Mezzanine Office</w:t>
            </w:r>
          </w:p>
        </w:tc>
        <w:tc>
          <w:tcPr>
            <w:tcW w:w="1638" w:type="dxa"/>
            <w:tcBorders>
              <w:left w:val="single" w:sz="4" w:space="0" w:color="auto"/>
              <w:right w:val="single" w:sz="4" w:space="0" w:color="auto"/>
            </w:tcBorders>
          </w:tcPr>
          <w:p w14:paraId="09617514"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r w:rsidRPr="00C009DC">
              <w:rPr>
                <w:highlight w:val="yellow"/>
              </w:rPr>
              <w:t>1,368</w:t>
            </w:r>
          </w:p>
        </w:tc>
        <w:tc>
          <w:tcPr>
            <w:tcW w:w="1800" w:type="dxa"/>
            <w:tcBorders>
              <w:left w:val="single" w:sz="4" w:space="0" w:color="auto"/>
            </w:tcBorders>
          </w:tcPr>
          <w:p w14:paraId="7AD54426"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r w:rsidRPr="00C009DC">
              <w:rPr>
                <w:highlight w:val="yellow"/>
              </w:rPr>
              <w:t>1,368</w:t>
            </w:r>
          </w:p>
        </w:tc>
      </w:tr>
      <w:tr w:rsidR="00C009DC" w14:paraId="02A7F09F" w14:textId="77777777" w:rsidTr="004A11EB">
        <w:tc>
          <w:tcPr>
            <w:tcW w:w="3690" w:type="dxa"/>
            <w:tcBorders>
              <w:right w:val="single" w:sz="4" w:space="0" w:color="auto"/>
            </w:tcBorders>
          </w:tcPr>
          <w:p w14:paraId="556C092F" w14:textId="77777777" w:rsidR="00C009DC" w:rsidRPr="00922115" w:rsidRDefault="00C009DC" w:rsidP="004A11EB">
            <w:pPr>
              <w:tabs>
                <w:tab w:val="left" w:pos="0"/>
                <w:tab w:val="left" w:pos="259"/>
                <w:tab w:val="left" w:pos="3600"/>
                <w:tab w:val="right" w:pos="7879"/>
              </w:tabs>
              <w:spacing w:line="360" w:lineRule="exact"/>
              <w:jc w:val="left"/>
            </w:pPr>
            <w:r w:rsidRPr="00922115">
              <w:t>Mezz</w:t>
            </w:r>
            <w:r>
              <w:t>anine Parts</w:t>
            </w:r>
          </w:p>
        </w:tc>
        <w:tc>
          <w:tcPr>
            <w:tcW w:w="1638" w:type="dxa"/>
            <w:tcBorders>
              <w:left w:val="single" w:sz="4" w:space="0" w:color="auto"/>
              <w:right w:val="single" w:sz="4" w:space="0" w:color="auto"/>
            </w:tcBorders>
          </w:tcPr>
          <w:p w14:paraId="2CA92A97"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r w:rsidRPr="00C009DC">
              <w:rPr>
                <w:highlight w:val="yellow"/>
              </w:rPr>
              <w:t>1,753</w:t>
            </w:r>
          </w:p>
        </w:tc>
        <w:tc>
          <w:tcPr>
            <w:tcW w:w="1800" w:type="dxa"/>
            <w:tcBorders>
              <w:left w:val="single" w:sz="4" w:space="0" w:color="auto"/>
            </w:tcBorders>
          </w:tcPr>
          <w:p w14:paraId="70D3A683"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r w:rsidRPr="00C009DC">
              <w:rPr>
                <w:highlight w:val="yellow"/>
              </w:rPr>
              <w:t>---</w:t>
            </w:r>
          </w:p>
        </w:tc>
      </w:tr>
      <w:tr w:rsidR="00C009DC" w14:paraId="16C0FA10" w14:textId="77777777" w:rsidTr="004A11EB">
        <w:tc>
          <w:tcPr>
            <w:tcW w:w="3690" w:type="dxa"/>
            <w:tcBorders>
              <w:top w:val="single" w:sz="4" w:space="0" w:color="auto"/>
              <w:right w:val="single" w:sz="4" w:space="0" w:color="auto"/>
            </w:tcBorders>
          </w:tcPr>
          <w:p w14:paraId="7FC6AF24" w14:textId="77777777" w:rsidR="00C009DC" w:rsidRPr="0030249A" w:rsidRDefault="00C009DC" w:rsidP="004A11EB">
            <w:pPr>
              <w:tabs>
                <w:tab w:val="left" w:pos="0"/>
                <w:tab w:val="left" w:pos="259"/>
                <w:tab w:val="left" w:pos="3600"/>
                <w:tab w:val="right" w:pos="7879"/>
              </w:tabs>
              <w:spacing w:line="360" w:lineRule="exact"/>
              <w:jc w:val="left"/>
            </w:pPr>
            <w:r w:rsidRPr="0030249A">
              <w:t xml:space="preserve">Subtotal – Bldg. </w:t>
            </w:r>
            <w:r>
              <w:t>Por. A</w:t>
            </w:r>
          </w:p>
        </w:tc>
        <w:tc>
          <w:tcPr>
            <w:tcW w:w="1638" w:type="dxa"/>
            <w:tcBorders>
              <w:top w:val="single" w:sz="4" w:space="0" w:color="auto"/>
              <w:left w:val="single" w:sz="4" w:space="0" w:color="auto"/>
              <w:right w:val="single" w:sz="4" w:space="0" w:color="auto"/>
            </w:tcBorders>
          </w:tcPr>
          <w:p w14:paraId="0439FECE"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r w:rsidRPr="00C009DC">
              <w:rPr>
                <w:highlight w:val="yellow"/>
              </w:rPr>
              <w:t>11,415</w:t>
            </w:r>
          </w:p>
        </w:tc>
        <w:tc>
          <w:tcPr>
            <w:tcW w:w="1800" w:type="dxa"/>
            <w:tcBorders>
              <w:top w:val="single" w:sz="4" w:space="0" w:color="auto"/>
              <w:left w:val="single" w:sz="4" w:space="0" w:color="auto"/>
            </w:tcBorders>
          </w:tcPr>
          <w:p w14:paraId="3FF0DFA8"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r w:rsidRPr="00C009DC">
              <w:rPr>
                <w:highlight w:val="yellow"/>
              </w:rPr>
              <w:t>9,662 / 84.6%</w:t>
            </w:r>
          </w:p>
        </w:tc>
      </w:tr>
      <w:tr w:rsidR="00C009DC" w14:paraId="7BB493E5" w14:textId="77777777" w:rsidTr="004A11EB">
        <w:tc>
          <w:tcPr>
            <w:tcW w:w="3690" w:type="dxa"/>
            <w:tcBorders>
              <w:top w:val="dotted" w:sz="4" w:space="0" w:color="auto"/>
              <w:right w:val="single" w:sz="4" w:space="0" w:color="auto"/>
            </w:tcBorders>
          </w:tcPr>
          <w:p w14:paraId="0445FCFA" w14:textId="77777777" w:rsidR="00C009DC" w:rsidRPr="00922115" w:rsidRDefault="00C009DC" w:rsidP="004A11EB">
            <w:pPr>
              <w:tabs>
                <w:tab w:val="left" w:pos="0"/>
                <w:tab w:val="left" w:pos="259"/>
                <w:tab w:val="left" w:pos="3600"/>
                <w:tab w:val="right" w:pos="7879"/>
              </w:tabs>
              <w:spacing w:line="360" w:lineRule="exact"/>
              <w:jc w:val="left"/>
              <w:rPr>
                <w:b/>
                <w:u w:val="single"/>
              </w:rPr>
            </w:pPr>
            <w:r w:rsidRPr="00922115">
              <w:rPr>
                <w:b/>
                <w:u w:val="single"/>
              </w:rPr>
              <w:t xml:space="preserve">Building </w:t>
            </w:r>
            <w:r>
              <w:rPr>
                <w:b/>
                <w:u w:val="single"/>
              </w:rPr>
              <w:t>Por. B</w:t>
            </w:r>
          </w:p>
        </w:tc>
        <w:tc>
          <w:tcPr>
            <w:tcW w:w="1638" w:type="dxa"/>
            <w:tcBorders>
              <w:left w:val="single" w:sz="4" w:space="0" w:color="auto"/>
              <w:right w:val="single" w:sz="4" w:space="0" w:color="auto"/>
            </w:tcBorders>
          </w:tcPr>
          <w:p w14:paraId="0C06A90A"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p>
        </w:tc>
        <w:tc>
          <w:tcPr>
            <w:tcW w:w="1800" w:type="dxa"/>
            <w:tcBorders>
              <w:left w:val="single" w:sz="4" w:space="0" w:color="auto"/>
            </w:tcBorders>
          </w:tcPr>
          <w:p w14:paraId="768F8A2B"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p>
        </w:tc>
      </w:tr>
      <w:tr w:rsidR="00C009DC" w14:paraId="67022438" w14:textId="77777777" w:rsidTr="004A11EB">
        <w:tc>
          <w:tcPr>
            <w:tcW w:w="3690" w:type="dxa"/>
            <w:tcBorders>
              <w:bottom w:val="dotted" w:sz="4" w:space="0" w:color="auto"/>
              <w:right w:val="single" w:sz="4" w:space="0" w:color="auto"/>
            </w:tcBorders>
          </w:tcPr>
          <w:p w14:paraId="599AB732" w14:textId="77777777" w:rsidR="00C009DC" w:rsidRPr="00922115" w:rsidRDefault="00C009DC" w:rsidP="004A11EB">
            <w:pPr>
              <w:tabs>
                <w:tab w:val="left" w:pos="0"/>
                <w:tab w:val="left" w:pos="259"/>
                <w:tab w:val="left" w:pos="3600"/>
                <w:tab w:val="right" w:pos="7879"/>
              </w:tabs>
              <w:spacing w:line="360" w:lineRule="exact"/>
              <w:jc w:val="left"/>
            </w:pPr>
            <w:r>
              <w:t>Service and Repair Center</w:t>
            </w:r>
          </w:p>
        </w:tc>
        <w:tc>
          <w:tcPr>
            <w:tcW w:w="1638" w:type="dxa"/>
            <w:tcBorders>
              <w:left w:val="single" w:sz="4" w:space="0" w:color="auto"/>
              <w:right w:val="single" w:sz="4" w:space="0" w:color="auto"/>
            </w:tcBorders>
          </w:tcPr>
          <w:p w14:paraId="1F72CE82"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r w:rsidRPr="00C009DC">
              <w:rPr>
                <w:highlight w:val="yellow"/>
              </w:rPr>
              <w:t>23,269</w:t>
            </w:r>
          </w:p>
        </w:tc>
        <w:tc>
          <w:tcPr>
            <w:tcW w:w="1800" w:type="dxa"/>
            <w:tcBorders>
              <w:left w:val="single" w:sz="4" w:space="0" w:color="auto"/>
            </w:tcBorders>
          </w:tcPr>
          <w:p w14:paraId="126926CC"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r w:rsidRPr="00C009DC">
              <w:rPr>
                <w:highlight w:val="yellow"/>
              </w:rPr>
              <w:t>438</w:t>
            </w:r>
          </w:p>
        </w:tc>
      </w:tr>
      <w:tr w:rsidR="00C009DC" w14:paraId="1C226A3A" w14:textId="77777777" w:rsidTr="004A11EB">
        <w:tc>
          <w:tcPr>
            <w:tcW w:w="3690" w:type="dxa"/>
            <w:tcBorders>
              <w:right w:val="single" w:sz="4" w:space="0" w:color="auto"/>
            </w:tcBorders>
          </w:tcPr>
          <w:p w14:paraId="58345674" w14:textId="77777777" w:rsidR="00C009DC" w:rsidRPr="00922115" w:rsidRDefault="00C009DC" w:rsidP="004A11EB">
            <w:pPr>
              <w:tabs>
                <w:tab w:val="left" w:pos="0"/>
                <w:tab w:val="left" w:pos="259"/>
                <w:tab w:val="left" w:pos="3600"/>
                <w:tab w:val="right" w:pos="7879"/>
              </w:tabs>
              <w:spacing w:line="360" w:lineRule="exact"/>
              <w:jc w:val="left"/>
            </w:pPr>
            <w:r w:rsidRPr="00922115">
              <w:t>Mezz</w:t>
            </w:r>
            <w:r>
              <w:t>anine Storage</w:t>
            </w:r>
          </w:p>
        </w:tc>
        <w:tc>
          <w:tcPr>
            <w:tcW w:w="1638" w:type="dxa"/>
            <w:tcBorders>
              <w:left w:val="single" w:sz="4" w:space="0" w:color="auto"/>
              <w:right w:val="single" w:sz="4" w:space="0" w:color="auto"/>
            </w:tcBorders>
          </w:tcPr>
          <w:p w14:paraId="6AE57F5F"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r w:rsidRPr="00C009DC">
              <w:rPr>
                <w:highlight w:val="yellow"/>
              </w:rPr>
              <w:t>832</w:t>
            </w:r>
          </w:p>
        </w:tc>
        <w:tc>
          <w:tcPr>
            <w:tcW w:w="1800" w:type="dxa"/>
            <w:tcBorders>
              <w:left w:val="single" w:sz="4" w:space="0" w:color="auto"/>
            </w:tcBorders>
          </w:tcPr>
          <w:p w14:paraId="01545A8C"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r w:rsidRPr="00C009DC">
              <w:rPr>
                <w:highlight w:val="yellow"/>
              </w:rPr>
              <w:t>---</w:t>
            </w:r>
          </w:p>
        </w:tc>
      </w:tr>
      <w:tr w:rsidR="00C009DC" w14:paraId="3D1369A4" w14:textId="77777777" w:rsidTr="004A11EB">
        <w:tc>
          <w:tcPr>
            <w:tcW w:w="3690" w:type="dxa"/>
            <w:tcBorders>
              <w:top w:val="single" w:sz="4" w:space="0" w:color="auto"/>
              <w:right w:val="single" w:sz="4" w:space="0" w:color="auto"/>
            </w:tcBorders>
          </w:tcPr>
          <w:p w14:paraId="6F5203D7" w14:textId="77777777" w:rsidR="00C009DC" w:rsidRPr="0030249A" w:rsidRDefault="00C009DC" w:rsidP="004A11EB">
            <w:pPr>
              <w:tabs>
                <w:tab w:val="left" w:pos="0"/>
                <w:tab w:val="left" w:pos="259"/>
                <w:tab w:val="left" w:pos="3600"/>
                <w:tab w:val="right" w:pos="7879"/>
              </w:tabs>
              <w:spacing w:line="360" w:lineRule="exact"/>
              <w:jc w:val="left"/>
            </w:pPr>
            <w:r w:rsidRPr="0030249A">
              <w:t xml:space="preserve">Subtotal – Bldg. </w:t>
            </w:r>
            <w:r>
              <w:t>Por. B</w:t>
            </w:r>
          </w:p>
        </w:tc>
        <w:tc>
          <w:tcPr>
            <w:tcW w:w="1638" w:type="dxa"/>
            <w:tcBorders>
              <w:top w:val="single" w:sz="4" w:space="0" w:color="auto"/>
              <w:left w:val="single" w:sz="4" w:space="0" w:color="auto"/>
              <w:right w:val="single" w:sz="4" w:space="0" w:color="auto"/>
            </w:tcBorders>
          </w:tcPr>
          <w:p w14:paraId="386A5378"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r w:rsidRPr="00C009DC">
              <w:rPr>
                <w:highlight w:val="yellow"/>
              </w:rPr>
              <w:t>11,415</w:t>
            </w:r>
          </w:p>
        </w:tc>
        <w:tc>
          <w:tcPr>
            <w:tcW w:w="1800" w:type="dxa"/>
            <w:tcBorders>
              <w:top w:val="single" w:sz="4" w:space="0" w:color="auto"/>
              <w:left w:val="single" w:sz="4" w:space="0" w:color="auto"/>
            </w:tcBorders>
          </w:tcPr>
          <w:p w14:paraId="6210E44E" w14:textId="77777777" w:rsidR="00C009DC" w:rsidRPr="00C009DC" w:rsidRDefault="00C009DC" w:rsidP="004A11EB">
            <w:pPr>
              <w:tabs>
                <w:tab w:val="left" w:pos="0"/>
                <w:tab w:val="left" w:pos="259"/>
                <w:tab w:val="left" w:pos="3600"/>
                <w:tab w:val="right" w:pos="7879"/>
              </w:tabs>
              <w:spacing w:line="360" w:lineRule="exact"/>
              <w:jc w:val="center"/>
              <w:rPr>
                <w:highlight w:val="yellow"/>
              </w:rPr>
            </w:pPr>
            <w:r w:rsidRPr="00C009DC">
              <w:rPr>
                <w:highlight w:val="yellow"/>
              </w:rPr>
              <w:t>438 / 1.8%</w:t>
            </w:r>
          </w:p>
        </w:tc>
      </w:tr>
      <w:tr w:rsidR="00C009DC" w14:paraId="524903E4" w14:textId="77777777" w:rsidTr="004A11EB">
        <w:trPr>
          <w:cantSplit/>
        </w:trPr>
        <w:tc>
          <w:tcPr>
            <w:tcW w:w="3690" w:type="dxa"/>
            <w:tcBorders>
              <w:top w:val="single" w:sz="6" w:space="0" w:color="auto"/>
              <w:bottom w:val="double" w:sz="4" w:space="0" w:color="auto"/>
              <w:right w:val="single" w:sz="6" w:space="0" w:color="auto"/>
            </w:tcBorders>
          </w:tcPr>
          <w:p w14:paraId="2CC8823C" w14:textId="77777777" w:rsidR="00C009DC" w:rsidRPr="00922115" w:rsidRDefault="00C009DC" w:rsidP="004A11EB">
            <w:pPr>
              <w:tabs>
                <w:tab w:val="left" w:pos="0"/>
                <w:tab w:val="left" w:pos="259"/>
                <w:tab w:val="left" w:pos="3600"/>
                <w:tab w:val="right" w:pos="7879"/>
              </w:tabs>
              <w:spacing w:line="400" w:lineRule="exact"/>
              <w:rPr>
                <w:b/>
                <w:bCs/>
              </w:rPr>
            </w:pPr>
            <w:r w:rsidRPr="00922115">
              <w:rPr>
                <w:b/>
                <w:bCs/>
              </w:rPr>
              <w:t>Gross Building Area</w:t>
            </w:r>
          </w:p>
        </w:tc>
        <w:tc>
          <w:tcPr>
            <w:tcW w:w="1638" w:type="dxa"/>
            <w:tcBorders>
              <w:top w:val="single" w:sz="6" w:space="0" w:color="auto"/>
              <w:left w:val="single" w:sz="6" w:space="0" w:color="auto"/>
              <w:bottom w:val="double" w:sz="4" w:space="0" w:color="auto"/>
            </w:tcBorders>
          </w:tcPr>
          <w:p w14:paraId="2339007B" w14:textId="27892B2F" w:rsidR="00C009DC" w:rsidRPr="007D4275" w:rsidRDefault="007D4275" w:rsidP="004A11EB">
            <w:pPr>
              <w:tabs>
                <w:tab w:val="left" w:pos="0"/>
                <w:tab w:val="left" w:pos="259"/>
                <w:tab w:val="left" w:pos="3600"/>
                <w:tab w:val="right" w:pos="7879"/>
              </w:tabs>
              <w:spacing w:line="400" w:lineRule="exact"/>
              <w:jc w:val="center"/>
              <w:rPr>
                <w:b/>
              </w:rPr>
            </w:pPr>
            <w:r w:rsidRPr="007D4275">
              <w:rPr>
                <w:b/>
              </w:rPr>
              <w:t>${</w:t>
            </w:r>
            <w:proofErr w:type="spellStart"/>
            <w:r w:rsidRPr="007D4275">
              <w:rPr>
                <w:b/>
              </w:rPr>
              <w:t>gba</w:t>
            </w:r>
            <w:proofErr w:type="spellEnd"/>
            <w:r w:rsidRPr="007D4275">
              <w:rPr>
                <w:b/>
              </w:rPr>
              <w:t>}</w:t>
            </w:r>
          </w:p>
        </w:tc>
        <w:tc>
          <w:tcPr>
            <w:tcW w:w="1800" w:type="dxa"/>
            <w:tcBorders>
              <w:top w:val="single" w:sz="6" w:space="0" w:color="auto"/>
              <w:left w:val="single" w:sz="6" w:space="0" w:color="auto"/>
              <w:bottom w:val="double" w:sz="4" w:space="0" w:color="auto"/>
            </w:tcBorders>
          </w:tcPr>
          <w:p w14:paraId="5CD42980" w14:textId="2CDD4C94" w:rsidR="00C009DC" w:rsidRPr="007D4275" w:rsidRDefault="007D4275" w:rsidP="004A11EB">
            <w:pPr>
              <w:tabs>
                <w:tab w:val="left" w:pos="0"/>
                <w:tab w:val="left" w:pos="259"/>
                <w:tab w:val="left" w:pos="3600"/>
                <w:tab w:val="right" w:pos="7879"/>
              </w:tabs>
              <w:spacing w:line="400" w:lineRule="exact"/>
              <w:jc w:val="center"/>
              <w:rPr>
                <w:b/>
              </w:rPr>
            </w:pPr>
            <w:r w:rsidRPr="007D4275">
              <w:rPr>
                <w:b/>
              </w:rPr>
              <w:t>${</w:t>
            </w:r>
            <w:proofErr w:type="spellStart"/>
            <w:r w:rsidRPr="007D4275">
              <w:rPr>
                <w:b/>
              </w:rPr>
              <w:t>offsf</w:t>
            </w:r>
            <w:proofErr w:type="spellEnd"/>
            <w:r w:rsidRPr="007D4275">
              <w:rPr>
                <w:b/>
              </w:rPr>
              <w:t>}</w:t>
            </w:r>
            <w:r w:rsidR="00C009DC" w:rsidRPr="007D4275">
              <w:rPr>
                <w:b/>
              </w:rPr>
              <w:t xml:space="preserve"> / </w:t>
            </w:r>
            <w:r w:rsidRPr="007D4275">
              <w:rPr>
                <w:b/>
              </w:rPr>
              <w:t>${</w:t>
            </w:r>
            <w:proofErr w:type="spellStart"/>
            <w:r w:rsidRPr="007D4275">
              <w:rPr>
                <w:b/>
              </w:rPr>
              <w:t>offpct</w:t>
            </w:r>
            <w:proofErr w:type="spellEnd"/>
            <w:r w:rsidRPr="007D4275">
              <w:rPr>
                <w:b/>
              </w:rPr>
              <w:t>}</w:t>
            </w:r>
          </w:p>
        </w:tc>
      </w:tr>
    </w:tbl>
    <w:p w14:paraId="56272D59" w14:textId="77777777" w:rsidR="00C009DC" w:rsidRPr="00922115" w:rsidRDefault="00C009DC" w:rsidP="00C009DC">
      <w:pPr>
        <w:widowControl w:val="0"/>
        <w:tabs>
          <w:tab w:val="left" w:pos="2880"/>
        </w:tabs>
        <w:ind w:left="2880" w:hanging="2880"/>
      </w:pPr>
    </w:p>
    <w:p w14:paraId="3803A246" w14:textId="1A63063B" w:rsidR="00C009DC" w:rsidRPr="00B07F70" w:rsidRDefault="00C009DC" w:rsidP="00C009DC">
      <w:pPr>
        <w:widowControl w:val="0"/>
        <w:tabs>
          <w:tab w:val="left" w:pos="2880"/>
        </w:tabs>
        <w:ind w:left="2880" w:hanging="2880"/>
      </w:pPr>
      <w:r w:rsidRPr="00922115">
        <w:tab/>
        <w:t xml:space="preserve">The building area calculations are based on a review of county records with verification based on our physical inspection and </w:t>
      </w:r>
      <w:r w:rsidRPr="003060A8">
        <w:t>measurement.</w:t>
      </w:r>
      <w:r>
        <w:t xml:space="preserve"> A b</w:t>
      </w:r>
      <w:r w:rsidRPr="003060A8">
        <w:t>uilding sketch</w:t>
      </w:r>
      <w:r>
        <w:t xml:space="preserve"> is</w:t>
      </w:r>
      <w:r w:rsidRPr="003060A8">
        <w:t xml:space="preserve"> presented following this subsection. </w:t>
      </w:r>
      <w:r>
        <w:t xml:space="preserve">Note that due to the single-tenant nature of the facility, as well as the lack of building </w:t>
      </w:r>
      <w:r w:rsidRPr="00B07F70">
        <w:t>common areas, the gross building</w:t>
      </w:r>
      <w:r>
        <w:t xml:space="preserve"> area (GBA)</w:t>
      </w:r>
      <w:r w:rsidRPr="00B07F70">
        <w:t xml:space="preserve"> and gross leasable area</w:t>
      </w:r>
      <w:r>
        <w:t xml:space="preserve"> (GLA)</w:t>
      </w:r>
      <w:r w:rsidRPr="00B07F70">
        <w:t xml:space="preserve"> are equal to one-another.</w:t>
      </w:r>
    </w:p>
    <w:p w14:paraId="7E752354" w14:textId="77777777" w:rsidR="00C009DC" w:rsidRPr="00B07F70" w:rsidRDefault="00C009DC" w:rsidP="00C009DC">
      <w:pPr>
        <w:widowControl w:val="0"/>
        <w:tabs>
          <w:tab w:val="left" w:pos="2880"/>
        </w:tabs>
        <w:ind w:left="2880" w:hanging="2880"/>
        <w:rPr>
          <w:b/>
        </w:rPr>
      </w:pPr>
    </w:p>
    <w:p w14:paraId="6ED94DCA" w14:textId="77777777" w:rsidR="00C009DC" w:rsidRPr="0020782D" w:rsidRDefault="00C009DC" w:rsidP="00C009DC">
      <w:pPr>
        <w:widowControl w:val="0"/>
        <w:tabs>
          <w:tab w:val="left" w:pos="2880"/>
        </w:tabs>
        <w:ind w:left="2880" w:hanging="2880"/>
      </w:pPr>
      <w:r w:rsidRPr="00B07F70">
        <w:rPr>
          <w:b/>
          <w:color w:val="1E4959"/>
        </w:rPr>
        <w:t>Site Configuration:</w:t>
      </w:r>
      <w:r w:rsidRPr="00B07F70">
        <w:tab/>
      </w:r>
      <w:r>
        <w:t>The subject auto dealership facility</w:t>
      </w:r>
      <w:r w:rsidRPr="00B07F70">
        <w:t xml:space="preserve"> is locat</w:t>
      </w:r>
      <w:r>
        <w:t>ed on the east half of the subject site with good broad frontage / exposure to SW Oak Street and street access along three roadways</w:t>
      </w:r>
      <w:r w:rsidRPr="00B07F70">
        <w:t>.</w:t>
      </w:r>
    </w:p>
    <w:p w14:paraId="218A3D63" w14:textId="77777777" w:rsidR="00C009DC" w:rsidRPr="0020782D" w:rsidRDefault="00C009DC" w:rsidP="00C009DC">
      <w:pPr>
        <w:widowControl w:val="0"/>
        <w:tabs>
          <w:tab w:val="left" w:pos="2880"/>
        </w:tabs>
        <w:ind w:left="2880" w:hanging="2880"/>
      </w:pPr>
    </w:p>
    <w:p w14:paraId="4F61D44F" w14:textId="77777777" w:rsidR="00C009DC" w:rsidRDefault="00C009DC" w:rsidP="00C009DC">
      <w:pPr>
        <w:widowControl w:val="0"/>
        <w:tabs>
          <w:tab w:val="left" w:pos="2880"/>
        </w:tabs>
        <w:ind w:left="2880" w:hanging="2880"/>
      </w:pPr>
      <w:r w:rsidRPr="0020782D">
        <w:rPr>
          <w:b/>
          <w:color w:val="1E4959"/>
        </w:rPr>
        <w:t xml:space="preserve">Building </w:t>
      </w:r>
      <w:r>
        <w:rPr>
          <w:b/>
          <w:color w:val="1E4959"/>
        </w:rPr>
        <w:t>Portion A</w:t>
      </w:r>
      <w:r w:rsidRPr="0020782D">
        <w:rPr>
          <w:b/>
          <w:color w:val="1E4959"/>
        </w:rPr>
        <w:t>:</w:t>
      </w:r>
      <w:r w:rsidRPr="0020782D">
        <w:tab/>
      </w:r>
      <w:bookmarkStart w:id="1" w:name="_Hlk33082760"/>
      <w:r w:rsidRPr="0020782D">
        <w:t xml:space="preserve">The </w:t>
      </w:r>
      <w:bookmarkStart w:id="2" w:name="_Hlk33083099"/>
      <w:r w:rsidRPr="0020782D">
        <w:rPr>
          <w:b/>
        </w:rPr>
        <w:t>showroom</w:t>
      </w:r>
      <w:r>
        <w:rPr>
          <w:b/>
        </w:rPr>
        <w:t xml:space="preserve"> / office</w:t>
      </w:r>
      <w:r w:rsidRPr="0020782D">
        <w:rPr>
          <w:b/>
        </w:rPr>
        <w:t xml:space="preserve"> </w:t>
      </w:r>
      <w:bookmarkEnd w:id="2"/>
      <w:r w:rsidRPr="00BE74D9">
        <w:t>portion of the</w:t>
      </w:r>
      <w:r>
        <w:rPr>
          <w:b/>
          <w:bCs/>
        </w:rPr>
        <w:t xml:space="preserve"> </w:t>
      </w:r>
      <w:r w:rsidRPr="0020782D">
        <w:t xml:space="preserve">building is generally </w:t>
      </w:r>
      <w:r>
        <w:t>semi-</w:t>
      </w:r>
      <w:r w:rsidRPr="0020782D">
        <w:t>rectangular and includes a mode</w:t>
      </w:r>
      <w:r>
        <w:t>st-</w:t>
      </w:r>
      <w:r w:rsidRPr="0020782D">
        <w:t xml:space="preserve">sized showroom area with reception at the main entrance, </w:t>
      </w:r>
      <w:r>
        <w:t xml:space="preserve">a few </w:t>
      </w:r>
      <w:r w:rsidRPr="00B07C75">
        <w:t>open-style sales offices</w:t>
      </w:r>
      <w:r>
        <w:t xml:space="preserve"> and</w:t>
      </w:r>
      <w:r w:rsidRPr="00B07C75">
        <w:t xml:space="preserve"> private offices, a</w:t>
      </w:r>
      <w:r>
        <w:t>nd</w:t>
      </w:r>
      <w:r w:rsidRPr="00B07C75">
        <w:t xml:space="preserve"> sales manager’s office.  The customer service </w:t>
      </w:r>
      <w:r>
        <w:t>/</w:t>
      </w:r>
      <w:r w:rsidRPr="00B07C75">
        <w:t xml:space="preserve"> coffee bar and two multi-user restrooms are sit</w:t>
      </w:r>
      <w:r>
        <w:t xml:space="preserve">uated to the rear of the showroom in the </w:t>
      </w:r>
      <w:r>
        <w:lastRenderedPageBreak/>
        <w:t>general office area</w:t>
      </w:r>
      <w:r w:rsidRPr="00922115">
        <w:t xml:space="preserve">. The mezzanine </w:t>
      </w:r>
      <w:r>
        <w:t>office area includes</w:t>
      </w:r>
      <w:r w:rsidRPr="00922115">
        <w:t xml:space="preserve"> </w:t>
      </w:r>
      <w:r>
        <w:t>one general</w:t>
      </w:r>
      <w:r w:rsidRPr="00922115">
        <w:t xml:space="preserve"> office</w:t>
      </w:r>
      <w:r>
        <w:t>,</w:t>
      </w:r>
      <w:r w:rsidRPr="00922115">
        <w:t xml:space="preserve"> </w:t>
      </w:r>
      <w:r>
        <w:t>one</w:t>
      </w:r>
      <w:r w:rsidRPr="00922115">
        <w:t xml:space="preserve"> private </w:t>
      </w:r>
      <w:r w:rsidRPr="003060A8">
        <w:t>executive office</w:t>
      </w:r>
      <w:r>
        <w:t xml:space="preserve"> (with single-user restrooms &amp; shower), </w:t>
      </w:r>
      <w:r w:rsidRPr="003060A8">
        <w:t>a</w:t>
      </w:r>
      <w:r>
        <w:t>nd a large meeting / conference room</w:t>
      </w:r>
      <w:r w:rsidRPr="003060A8">
        <w:t xml:space="preserve"> with kitchenette. </w:t>
      </w:r>
      <w:r>
        <w:t xml:space="preserve"> While this office </w:t>
      </w:r>
      <w:r w:rsidRPr="003060A8">
        <w:t xml:space="preserve">mezzanine level </w:t>
      </w:r>
      <w:r>
        <w:t>only has one</w:t>
      </w:r>
      <w:r w:rsidRPr="003060A8">
        <w:t xml:space="preserve"> interior stairwell</w:t>
      </w:r>
      <w:r>
        <w:t>, there are two small access doors into the adjacent parts mezzanine (7.25’ ceiling) which provide emergency access to stairwells in this adjacent area.</w:t>
      </w:r>
      <w:r w:rsidRPr="003060A8">
        <w:t xml:space="preserve"> </w:t>
      </w:r>
    </w:p>
    <w:p w14:paraId="771AB044" w14:textId="77777777" w:rsidR="00C009DC" w:rsidRDefault="00C009DC" w:rsidP="00C009DC">
      <w:pPr>
        <w:widowControl w:val="0"/>
        <w:tabs>
          <w:tab w:val="left" w:pos="2880"/>
        </w:tabs>
        <w:ind w:left="2880" w:hanging="2880"/>
      </w:pPr>
    </w:p>
    <w:p w14:paraId="55E90B2D" w14:textId="77777777" w:rsidR="00C009DC" w:rsidRDefault="00C009DC" w:rsidP="00C009DC">
      <w:pPr>
        <w:widowControl w:val="0"/>
        <w:tabs>
          <w:tab w:val="left" w:pos="2880"/>
        </w:tabs>
        <w:ind w:left="2880" w:hanging="2880"/>
      </w:pPr>
      <w:r>
        <w:tab/>
        <w:t xml:space="preserve">The rear parts department with service counter is located to the rear of the showroom / office, and includes semi-finished storage room, plus a large mezzanine parts storage area above. Interior stairwell access is provided to the mezzanine parts area, as well as an open loading well (16’ x 12’) which allows forklift / truck access from a main level loading door. </w:t>
      </w:r>
    </w:p>
    <w:p w14:paraId="685E9B88" w14:textId="77777777" w:rsidR="00C009DC" w:rsidRDefault="00C009DC" w:rsidP="00C009DC">
      <w:pPr>
        <w:widowControl w:val="0"/>
        <w:tabs>
          <w:tab w:val="left" w:pos="2880"/>
        </w:tabs>
        <w:ind w:left="2880" w:hanging="2880"/>
      </w:pPr>
    </w:p>
    <w:p w14:paraId="1081969D" w14:textId="77777777" w:rsidR="00C009DC" w:rsidRPr="006C57C5" w:rsidRDefault="00C009DC" w:rsidP="00C009DC">
      <w:pPr>
        <w:widowControl w:val="0"/>
        <w:tabs>
          <w:tab w:val="left" w:pos="2880"/>
        </w:tabs>
        <w:ind w:left="2880" w:hanging="2880"/>
        <w:rPr>
          <w:bCs/>
        </w:rPr>
      </w:pPr>
      <w:r>
        <w:tab/>
      </w:r>
      <w:r w:rsidRPr="00922115">
        <w:rPr>
          <w:bCs/>
        </w:rPr>
        <w:t xml:space="preserve">Construction is a combination of </w:t>
      </w:r>
      <w:r>
        <w:rPr>
          <w:bCs/>
        </w:rPr>
        <w:t>a CMU block exterior walls with wood-</w:t>
      </w:r>
      <w:r w:rsidRPr="00701956">
        <w:rPr>
          <w:bCs/>
        </w:rPr>
        <w:t>frame</w:t>
      </w:r>
      <w:r>
        <w:rPr>
          <w:bCs/>
        </w:rPr>
        <w:t xml:space="preserve"> on a concrete pad foundation which is raised approximately 2’ for the showroom / front office portion, then steps down into the parts department area.</w:t>
      </w:r>
      <w:r w:rsidRPr="00922115">
        <w:rPr>
          <w:bCs/>
        </w:rPr>
        <w:t xml:space="preserve"> The roof is </w:t>
      </w:r>
      <w:r>
        <w:rPr>
          <w:bCs/>
        </w:rPr>
        <w:t xml:space="preserve">relatively </w:t>
      </w:r>
      <w:r w:rsidRPr="00922115">
        <w:rPr>
          <w:bCs/>
        </w:rPr>
        <w:t xml:space="preserve">flat </w:t>
      </w:r>
      <w:r>
        <w:rPr>
          <w:bCs/>
        </w:rPr>
        <w:t xml:space="preserve">to gentle “wing” slopes </w:t>
      </w:r>
      <w:r w:rsidRPr="00922115">
        <w:rPr>
          <w:bCs/>
        </w:rPr>
        <w:t xml:space="preserve">with built-up cover. There </w:t>
      </w:r>
      <w:r>
        <w:rPr>
          <w:bCs/>
        </w:rPr>
        <w:t>are also</w:t>
      </w:r>
      <w:r w:rsidRPr="00922115">
        <w:rPr>
          <w:bCs/>
        </w:rPr>
        <w:t xml:space="preserve"> floor-to-ceiling </w:t>
      </w:r>
      <w:r w:rsidRPr="006C57C5">
        <w:rPr>
          <w:bCs/>
        </w:rPr>
        <w:t xml:space="preserve">aluminum frame storefront window system with storefront entry doors </w:t>
      </w:r>
      <w:r>
        <w:rPr>
          <w:bCs/>
        </w:rPr>
        <w:t>around the</w:t>
      </w:r>
      <w:r w:rsidRPr="006C57C5">
        <w:rPr>
          <w:bCs/>
        </w:rPr>
        <w:t xml:space="preserve"> showroom. </w:t>
      </w:r>
      <w:r>
        <w:rPr>
          <w:bCs/>
        </w:rPr>
        <w:t>The mezzanine parts area is of average quality with plywood flooring and fluorescent lighting.</w:t>
      </w:r>
    </w:p>
    <w:p w14:paraId="567BAF38" w14:textId="77777777" w:rsidR="00C009DC" w:rsidRPr="006C57C5" w:rsidRDefault="00C009DC" w:rsidP="00C009DC">
      <w:pPr>
        <w:widowControl w:val="0"/>
        <w:tabs>
          <w:tab w:val="left" w:pos="2880"/>
        </w:tabs>
        <w:ind w:left="2880" w:hanging="2880"/>
        <w:rPr>
          <w:bCs/>
        </w:rPr>
      </w:pPr>
    </w:p>
    <w:p w14:paraId="61FDDB4C" w14:textId="77777777" w:rsidR="00C009DC" w:rsidRDefault="00C009DC" w:rsidP="00C009DC">
      <w:pPr>
        <w:widowControl w:val="0"/>
        <w:tabs>
          <w:tab w:val="left" w:pos="2880"/>
        </w:tabs>
        <w:ind w:left="2880" w:hanging="2880"/>
      </w:pPr>
      <w:r w:rsidRPr="006C57C5">
        <w:rPr>
          <w:bCs/>
        </w:rPr>
        <w:tab/>
        <w:t xml:space="preserve">The showroom / sales </w:t>
      </w:r>
      <w:r w:rsidRPr="006C57C5">
        <w:t xml:space="preserve">interior have </w:t>
      </w:r>
      <w:r w:rsidRPr="0020782D">
        <w:t xml:space="preserve">good quality finishes with commercial grade carpet in most areas with </w:t>
      </w:r>
      <w:r>
        <w:t>stone</w:t>
      </w:r>
      <w:r w:rsidRPr="00EC51F7">
        <w:t xml:space="preserve"> tile</w:t>
      </w:r>
      <w:r w:rsidRPr="0020782D">
        <w:t xml:space="preserve"> (24” x 24”) in the showroom and restrooms. Walls are painted / smooth finish sheetrock while ceilings are a combination of sheetrock and T-bar with acoustical tile. </w:t>
      </w:r>
      <w:r w:rsidRPr="00EC51F7">
        <w:t xml:space="preserve">The ceiling height in the showroom is </w:t>
      </w:r>
      <w:r>
        <w:t>13.5</w:t>
      </w:r>
      <w:r w:rsidRPr="00EC51F7">
        <w:t xml:space="preserve"> feet. Lighting is provided by fluorescent and </w:t>
      </w:r>
      <w:r>
        <w:t>incandescent can</w:t>
      </w:r>
      <w:r w:rsidRPr="00EC51F7">
        <w:t xml:space="preserve"> fixtures throughout.  Each of the two </w:t>
      </w:r>
      <w:r>
        <w:t xml:space="preserve">multi-user </w:t>
      </w:r>
      <w:r w:rsidRPr="00EC51F7">
        <w:t>restrooms has multiple fixtures</w:t>
      </w:r>
      <w:r>
        <w:t xml:space="preserve">. There is also a small coffee bar with cabinet / countertops with </w:t>
      </w:r>
      <w:r w:rsidRPr="0020782D">
        <w:t>a sink.</w:t>
      </w:r>
    </w:p>
    <w:p w14:paraId="62D2D849" w14:textId="77777777" w:rsidR="00C009DC" w:rsidRDefault="00C009DC" w:rsidP="00C009DC">
      <w:pPr>
        <w:widowControl w:val="0"/>
        <w:tabs>
          <w:tab w:val="left" w:pos="2880"/>
        </w:tabs>
        <w:ind w:left="2880" w:hanging="2880"/>
      </w:pPr>
    </w:p>
    <w:bookmarkEnd w:id="1"/>
    <w:p w14:paraId="4DC05504" w14:textId="77777777" w:rsidR="00C009DC" w:rsidRDefault="00C009DC" w:rsidP="00C009DC">
      <w:pPr>
        <w:widowControl w:val="0"/>
        <w:tabs>
          <w:tab w:val="left" w:pos="2880"/>
        </w:tabs>
        <w:ind w:left="2880" w:hanging="2880"/>
      </w:pPr>
      <w:r w:rsidRPr="00922115">
        <w:rPr>
          <w:b/>
          <w:color w:val="1E4959"/>
        </w:rPr>
        <w:t xml:space="preserve">Building </w:t>
      </w:r>
      <w:r>
        <w:rPr>
          <w:b/>
          <w:color w:val="1E4959"/>
        </w:rPr>
        <w:t>Portion B</w:t>
      </w:r>
      <w:r w:rsidRPr="00922115">
        <w:rPr>
          <w:b/>
          <w:color w:val="1E4959"/>
        </w:rPr>
        <w:t>:</w:t>
      </w:r>
      <w:r w:rsidRPr="00922115">
        <w:tab/>
        <w:t xml:space="preserve">The </w:t>
      </w:r>
      <w:r>
        <w:rPr>
          <w:b/>
          <w:bCs/>
        </w:rPr>
        <w:t xml:space="preserve">Service Center </w:t>
      </w:r>
      <w:r w:rsidRPr="00BE74D9">
        <w:t>portion of the</w:t>
      </w:r>
      <w:r>
        <w:rPr>
          <w:b/>
          <w:bCs/>
        </w:rPr>
        <w:t xml:space="preserve"> </w:t>
      </w:r>
      <w:r w:rsidRPr="009F5D46">
        <w:t>building</w:t>
      </w:r>
      <w:r w:rsidRPr="00922115">
        <w:t xml:space="preserve"> is </w:t>
      </w:r>
      <w:r w:rsidRPr="00205807">
        <w:t xml:space="preserve">generally rectangular and includes a </w:t>
      </w:r>
      <w:r>
        <w:t>vehicle drop-off / tunnel</w:t>
      </w:r>
      <w:r w:rsidRPr="00205807">
        <w:t xml:space="preserve"> entrance</w:t>
      </w:r>
      <w:r>
        <w:t xml:space="preserve"> with a shop / service manager’s office.  The overall “L” shaped service &amp; repair area is divided into two:  the auto repair portion and the auto body shop portion</w:t>
      </w:r>
      <w:r w:rsidRPr="00205807">
        <w:t>, several open-style sales offices</w:t>
      </w:r>
      <w:r>
        <w:t xml:space="preserve"> and</w:t>
      </w:r>
      <w:r w:rsidRPr="00205807">
        <w:t xml:space="preserve"> private offices, a sales manager’s office, and a new </w:t>
      </w:r>
      <w:r>
        <w:t xml:space="preserve">vehicle </w:t>
      </w:r>
      <w:r w:rsidRPr="00205807">
        <w:t xml:space="preserve">delivery area. </w:t>
      </w:r>
      <w:r>
        <w:t xml:space="preserve"> The clear height in the service / body shop areas are 13 feet to the bottom of the beams, 17 feet to the ceiling. The body shop also has a small manager’s office, a partitioned off auto detail area (two auto bays), while there is a locker / restroom within the auto service area. </w:t>
      </w:r>
      <w:r w:rsidRPr="00205807">
        <w:t xml:space="preserve"> </w:t>
      </w:r>
      <w:r>
        <w:t xml:space="preserve">Several roll-up doors provide access around the perimeter of the service and body shop areas.  The service &amp; repair area has full drive-thru ability via the tunnel entrance of the vehicle drop-off area.  Situated along the south wall of the service area and above the locker area, but accessed from the body shop, is an elongated mezzanine storage area with low clear height (6.5 to 7.5 feet).  Finally, in the NWC of the body shop is a paint booth (16’ x 14’) which has direct roll-up door </w:t>
      </w:r>
      <w:r>
        <w:lastRenderedPageBreak/>
        <w:t xml:space="preserve">access from the west elevation, but is considered removable personal property. </w:t>
      </w:r>
    </w:p>
    <w:p w14:paraId="668A54E4" w14:textId="77777777" w:rsidR="00C009DC" w:rsidRDefault="00C009DC" w:rsidP="00C009DC">
      <w:pPr>
        <w:widowControl w:val="0"/>
        <w:tabs>
          <w:tab w:val="left" w:pos="2880"/>
        </w:tabs>
        <w:ind w:left="2880" w:hanging="2880"/>
      </w:pPr>
    </w:p>
    <w:p w14:paraId="63E791E2" w14:textId="77777777" w:rsidR="00C009DC" w:rsidRPr="006C57C5" w:rsidRDefault="00C009DC" w:rsidP="00C009DC">
      <w:pPr>
        <w:widowControl w:val="0"/>
        <w:tabs>
          <w:tab w:val="left" w:pos="2880"/>
        </w:tabs>
        <w:ind w:left="2880" w:hanging="2880"/>
        <w:rPr>
          <w:bCs/>
        </w:rPr>
      </w:pPr>
      <w:r>
        <w:tab/>
      </w:r>
      <w:r w:rsidRPr="00922115">
        <w:rPr>
          <w:bCs/>
        </w:rPr>
        <w:t xml:space="preserve">Construction </w:t>
      </w:r>
      <w:r>
        <w:rPr>
          <w:bCs/>
        </w:rPr>
        <w:t>consists of CMU block exterior walls with glu-lam beam roof support, and a concrete pad foundation</w:t>
      </w:r>
      <w:r w:rsidRPr="00922115">
        <w:rPr>
          <w:bCs/>
        </w:rPr>
        <w:t>. The roof is</w:t>
      </w:r>
      <w:r>
        <w:rPr>
          <w:bCs/>
        </w:rPr>
        <w:t xml:space="preserve"> </w:t>
      </w:r>
      <w:r w:rsidRPr="00922115">
        <w:rPr>
          <w:bCs/>
        </w:rPr>
        <w:t xml:space="preserve">flat with built-up cover. </w:t>
      </w:r>
      <w:r>
        <w:rPr>
          <w:bCs/>
        </w:rPr>
        <w:t xml:space="preserve"> Interior finishes include suspended T-5 fluorescent light fixtures, suspended gas pack heating, and floor drains.  The limited office areas have painted sheetrock walls, concrete flooring, and cadet heating.  The mezzanine storage area is of low quality with plywood flooring and fluorescent lighting.  </w:t>
      </w:r>
    </w:p>
    <w:p w14:paraId="45D469E3" w14:textId="77777777" w:rsidR="00C009DC" w:rsidRPr="00922115" w:rsidRDefault="00C009DC" w:rsidP="00C009DC">
      <w:pPr>
        <w:widowControl w:val="0"/>
        <w:tabs>
          <w:tab w:val="left" w:pos="2880"/>
        </w:tabs>
        <w:ind w:left="2880" w:hanging="2880"/>
      </w:pPr>
    </w:p>
    <w:p w14:paraId="00EEFAB1" w14:textId="77777777" w:rsidR="00C009DC" w:rsidRPr="00922115" w:rsidRDefault="00C009DC" w:rsidP="00C009DC">
      <w:pPr>
        <w:widowControl w:val="0"/>
        <w:tabs>
          <w:tab w:val="left" w:pos="2880"/>
        </w:tabs>
        <w:ind w:left="2880" w:hanging="2880"/>
      </w:pPr>
      <w:r w:rsidRPr="00922115">
        <w:rPr>
          <w:b/>
          <w:color w:val="1E4959"/>
        </w:rPr>
        <w:t>Equipment:</w:t>
      </w:r>
      <w:r w:rsidRPr="00922115">
        <w:tab/>
        <w:t xml:space="preserve">The subject facility includes furniture, fixtures, and equipment typically associated with a </w:t>
      </w:r>
      <w:r w:rsidRPr="00DC5D29">
        <w:t>vehicle sales and maintenance operation.  There are also several portable lifts located in the service areas</w:t>
      </w:r>
      <w:r>
        <w:t>, as well as a paint booth with ventilation system</w:t>
      </w:r>
      <w:r w:rsidRPr="00DC5D29">
        <w:t>.  These items are considered personal property and are not valued in this analysis.</w:t>
      </w:r>
    </w:p>
    <w:p w14:paraId="6B1407E1" w14:textId="77777777" w:rsidR="00C009DC" w:rsidRPr="00922115" w:rsidRDefault="00C009DC" w:rsidP="00C009DC">
      <w:pPr>
        <w:widowControl w:val="0"/>
        <w:tabs>
          <w:tab w:val="left" w:pos="2880"/>
        </w:tabs>
        <w:ind w:left="2880" w:hanging="2880"/>
      </w:pPr>
    </w:p>
    <w:p w14:paraId="7A7F29B0" w14:textId="77777777" w:rsidR="00C009DC" w:rsidRPr="00922115" w:rsidRDefault="00C009DC" w:rsidP="00C009DC">
      <w:pPr>
        <w:widowControl w:val="0"/>
        <w:tabs>
          <w:tab w:val="left" w:pos="2880"/>
        </w:tabs>
        <w:ind w:left="2880" w:hanging="2880"/>
        <w:rPr>
          <w:b/>
          <w:color w:val="1E4959"/>
        </w:rPr>
      </w:pPr>
      <w:r w:rsidRPr="00922115">
        <w:rPr>
          <w:b/>
          <w:color w:val="1E4959"/>
        </w:rPr>
        <w:t>Site Improvements</w:t>
      </w:r>
    </w:p>
    <w:p w14:paraId="7B6F4057" w14:textId="77777777" w:rsidR="00C009DC" w:rsidRPr="00922115" w:rsidRDefault="00C009DC" w:rsidP="00C009DC">
      <w:pPr>
        <w:widowControl w:val="0"/>
        <w:tabs>
          <w:tab w:val="left" w:pos="2880"/>
        </w:tabs>
        <w:ind w:left="2880" w:hanging="2880"/>
      </w:pPr>
      <w:r w:rsidRPr="00922115">
        <w:rPr>
          <w:b/>
          <w:color w:val="1E4959"/>
        </w:rPr>
        <w:t xml:space="preserve">  and Landscaping:</w:t>
      </w:r>
      <w:r w:rsidRPr="00922115">
        <w:rPr>
          <w:b/>
        </w:rPr>
        <w:tab/>
      </w:r>
      <w:r w:rsidRPr="00922115">
        <w:t>All sides of the building</w:t>
      </w:r>
      <w:r>
        <w:t>s</w:t>
      </w:r>
      <w:r w:rsidRPr="00922115">
        <w:t>, as well as most of the site, are paved (asphalt over base rock</w:t>
      </w:r>
      <w:r>
        <w:t>, plus a graveled area along the west site boundary</w:t>
      </w:r>
      <w:r w:rsidRPr="00922115">
        <w:t>) t</w:t>
      </w:r>
      <w:r>
        <w:t>hat</w:t>
      </w:r>
      <w:r w:rsidRPr="00922115">
        <w:t xml:space="preserve"> provide</w:t>
      </w:r>
      <w:r>
        <w:t>s</w:t>
      </w:r>
      <w:r w:rsidRPr="00922115">
        <w:t xml:space="preserve"> for vehicle inventory, customer, parking and vehicle staging areas. The parking area and property boundary include several pole-mounted light</w:t>
      </w:r>
      <w:r>
        <w:t>s with metal halide fixtures</w:t>
      </w:r>
      <w:r w:rsidRPr="00922115">
        <w:t xml:space="preserve">. In addition there </w:t>
      </w:r>
      <w:r>
        <w:t>is a large, lighted monument sign at the corner of SW Oak and Armco Streets</w:t>
      </w:r>
      <w:r w:rsidRPr="00922115">
        <w:t xml:space="preserve">. The property includes </w:t>
      </w:r>
      <w:r>
        <w:t xml:space="preserve">average limited </w:t>
      </w:r>
      <w:r w:rsidRPr="00922115">
        <w:t>landscaping (ground cover</w:t>
      </w:r>
      <w:r>
        <w:t>, large rocks and</w:t>
      </w:r>
      <w:r w:rsidRPr="00922115">
        <w:t xml:space="preserve"> deciduous trees) along the street frontages and boundaries, and around the parking area. </w:t>
      </w:r>
    </w:p>
    <w:p w14:paraId="76045019" w14:textId="77777777" w:rsidR="00C009DC" w:rsidRPr="00922115" w:rsidRDefault="00C009DC" w:rsidP="00C009DC">
      <w:pPr>
        <w:widowControl w:val="0"/>
        <w:tabs>
          <w:tab w:val="left" w:pos="2880"/>
        </w:tabs>
        <w:ind w:left="2880" w:hanging="2880"/>
      </w:pPr>
    </w:p>
    <w:p w14:paraId="1E81D116" w14:textId="3C1933B4" w:rsidR="00C009DC" w:rsidRPr="00795E57" w:rsidRDefault="00C009DC" w:rsidP="00C009DC">
      <w:pPr>
        <w:widowControl w:val="0"/>
        <w:tabs>
          <w:tab w:val="left" w:pos="2880"/>
        </w:tabs>
        <w:ind w:left="2880" w:hanging="2880"/>
      </w:pPr>
      <w:r w:rsidRPr="00922115">
        <w:rPr>
          <w:b/>
          <w:color w:val="1E4959"/>
        </w:rPr>
        <w:t>Parking:</w:t>
      </w:r>
      <w:r w:rsidRPr="00922115">
        <w:tab/>
      </w:r>
      <w:r w:rsidRPr="00266AAB">
        <w:t xml:space="preserve">The master site includes both delineated and non-delineated parking / vehicle inventory areas.  As such, a total number of parking stalls was not available for analysis.  However, given the land to building ratio of </w:t>
      </w:r>
      <w:r w:rsidR="007D4275" w:rsidRPr="007D4275">
        <w:t>${</w:t>
      </w:r>
      <w:proofErr w:type="spellStart"/>
      <w:r w:rsidR="007D4275" w:rsidRPr="007D4275">
        <w:t>landprim</w:t>
      </w:r>
      <w:proofErr w:type="spellEnd"/>
      <w:r w:rsidR="007D4275" w:rsidRPr="007D4275">
        <w:t>}</w:t>
      </w:r>
      <w:r w:rsidRPr="007D4275">
        <w:t xml:space="preserve"> to 1</w:t>
      </w:r>
      <w:r w:rsidRPr="00266AAB">
        <w:t xml:space="preserve"> for the primary site and layout of the buildings on </w:t>
      </w:r>
      <w:r>
        <w:t>the master</w:t>
      </w:r>
      <w:r w:rsidRPr="00266AAB">
        <w:t xml:space="preserve"> site, parking is likely more than adequate for the existing vehicle dealership / service use</w:t>
      </w:r>
      <w:r>
        <w:t>.</w:t>
      </w:r>
    </w:p>
    <w:p w14:paraId="753EF229" w14:textId="77777777" w:rsidR="00C009DC" w:rsidRPr="00795E57" w:rsidRDefault="00C009DC" w:rsidP="00C009DC">
      <w:pPr>
        <w:widowControl w:val="0"/>
        <w:tabs>
          <w:tab w:val="left" w:pos="2880"/>
        </w:tabs>
        <w:ind w:left="2880" w:hanging="2880"/>
      </w:pPr>
    </w:p>
    <w:p w14:paraId="0ADCFF71" w14:textId="77777777" w:rsidR="00C009DC" w:rsidRPr="00795E57" w:rsidRDefault="00C009DC" w:rsidP="00C009DC">
      <w:pPr>
        <w:widowControl w:val="0"/>
        <w:tabs>
          <w:tab w:val="left" w:pos="2880"/>
        </w:tabs>
        <w:ind w:left="2880" w:hanging="2880"/>
        <w:rPr>
          <w:b/>
          <w:color w:val="1E4959"/>
        </w:rPr>
      </w:pPr>
      <w:r w:rsidRPr="00795E57">
        <w:rPr>
          <w:b/>
          <w:color w:val="1E4959"/>
        </w:rPr>
        <w:t>Interior and</w:t>
      </w:r>
    </w:p>
    <w:p w14:paraId="5B403EEE" w14:textId="77777777" w:rsidR="00C009DC" w:rsidRPr="00E4112B" w:rsidRDefault="00C009DC" w:rsidP="00C009DC">
      <w:pPr>
        <w:widowControl w:val="0"/>
        <w:tabs>
          <w:tab w:val="left" w:pos="2880"/>
        </w:tabs>
        <w:ind w:left="2880" w:hanging="2880"/>
      </w:pPr>
      <w:r w:rsidRPr="00795E57">
        <w:rPr>
          <w:b/>
          <w:color w:val="1E4959"/>
        </w:rPr>
        <w:t xml:space="preserve">  Exterior Condition:</w:t>
      </w:r>
      <w:r w:rsidRPr="00795E57">
        <w:tab/>
        <w:t>Average</w:t>
      </w:r>
      <w:r>
        <w:t xml:space="preserve">, well maintained </w:t>
      </w:r>
      <w:r w:rsidRPr="00795E57">
        <w:t xml:space="preserve">condition as updated throughout the years with the last major renovation occurring in </w:t>
      </w:r>
      <w:r w:rsidRPr="00C009DC">
        <w:rPr>
          <w:highlight w:val="yellow"/>
        </w:rPr>
        <w:t>201</w:t>
      </w:r>
      <w:r>
        <w:t>3</w:t>
      </w:r>
      <w:r w:rsidRPr="00795E57">
        <w:t>; no major</w:t>
      </w:r>
      <w:r w:rsidRPr="00E4112B">
        <w:t xml:space="preserve"> deferred maintenance items noted or reported. </w:t>
      </w:r>
    </w:p>
    <w:p w14:paraId="4ABB2918" w14:textId="77777777" w:rsidR="00C009DC" w:rsidRPr="00E4112B" w:rsidRDefault="00C009DC" w:rsidP="00C009DC">
      <w:pPr>
        <w:widowControl w:val="0"/>
        <w:tabs>
          <w:tab w:val="left" w:pos="2880"/>
        </w:tabs>
        <w:ind w:left="2880" w:hanging="2880"/>
      </w:pPr>
    </w:p>
    <w:p w14:paraId="0924687F" w14:textId="03E0F316" w:rsidR="00C009DC" w:rsidRPr="00795E57" w:rsidRDefault="00C009DC" w:rsidP="00C009DC">
      <w:pPr>
        <w:widowControl w:val="0"/>
        <w:tabs>
          <w:tab w:val="left" w:pos="2880"/>
        </w:tabs>
        <w:ind w:left="2880" w:hanging="2880"/>
      </w:pPr>
      <w:r w:rsidRPr="00795E57">
        <w:rPr>
          <w:b/>
          <w:color w:val="1E4959"/>
        </w:rPr>
        <w:t>Year Built</w:t>
      </w:r>
      <w:r>
        <w:rPr>
          <w:b/>
          <w:color w:val="1E4959"/>
        </w:rPr>
        <w:t xml:space="preserve"> (Remodel)</w:t>
      </w:r>
      <w:r w:rsidRPr="00795E57">
        <w:rPr>
          <w:b/>
          <w:color w:val="1E4959"/>
        </w:rPr>
        <w:t>:</w:t>
      </w:r>
      <w:r w:rsidRPr="00795E57">
        <w:tab/>
      </w:r>
      <w:r w:rsidR="007D4275">
        <w:rPr>
          <w:rFonts w:cs="Arial"/>
          <w:szCs w:val="22"/>
        </w:rPr>
        <w:t>${</w:t>
      </w:r>
      <w:proofErr w:type="spellStart"/>
      <w:r w:rsidR="007D4275">
        <w:rPr>
          <w:rFonts w:cs="Arial"/>
          <w:szCs w:val="22"/>
        </w:rPr>
        <w:t>yearbuilt</w:t>
      </w:r>
      <w:proofErr w:type="spellEnd"/>
      <w:r w:rsidR="007D4275">
        <w:rPr>
          <w:rFonts w:cs="Arial"/>
          <w:szCs w:val="22"/>
        </w:rPr>
        <w:t>}</w:t>
      </w:r>
      <w:r w:rsidRPr="00795E57">
        <w:t xml:space="preserve"> </w:t>
      </w:r>
    </w:p>
    <w:p w14:paraId="54C97D64" w14:textId="77777777" w:rsidR="00C009DC" w:rsidRPr="00795E57" w:rsidRDefault="00C009DC" w:rsidP="00C009DC">
      <w:pPr>
        <w:widowControl w:val="0"/>
        <w:tabs>
          <w:tab w:val="left" w:pos="2880"/>
        </w:tabs>
        <w:ind w:left="2880" w:hanging="2880"/>
      </w:pPr>
    </w:p>
    <w:p w14:paraId="50DC5A71" w14:textId="1BB462D3" w:rsidR="00C009DC" w:rsidRPr="00795E57" w:rsidRDefault="00C009DC" w:rsidP="00C009DC">
      <w:pPr>
        <w:widowControl w:val="0"/>
        <w:tabs>
          <w:tab w:val="left" w:pos="2880"/>
        </w:tabs>
        <w:ind w:left="2880" w:hanging="2880"/>
      </w:pPr>
      <w:r>
        <w:rPr>
          <w:b/>
          <w:color w:val="1E4959"/>
        </w:rPr>
        <w:t xml:space="preserve">Actual / </w:t>
      </w:r>
      <w:r w:rsidRPr="00795E57">
        <w:rPr>
          <w:b/>
          <w:color w:val="1E4959"/>
        </w:rPr>
        <w:t>Effective Age:</w:t>
      </w:r>
      <w:r w:rsidRPr="00795E57">
        <w:tab/>
      </w:r>
      <w:r w:rsidRPr="00C009DC">
        <w:rPr>
          <w:highlight w:val="yellow"/>
        </w:rPr>
        <w:t>54 Years</w:t>
      </w:r>
      <w:r>
        <w:t xml:space="preserve"> / </w:t>
      </w:r>
      <w:r w:rsidRPr="00795E57">
        <w:t xml:space="preserve">Effective age </w:t>
      </w:r>
      <w:r w:rsidRPr="00EC51F7">
        <w:t xml:space="preserve">estimated at </w:t>
      </w:r>
      <w:r w:rsidRPr="00C009DC">
        <w:rPr>
          <w:highlight w:val="yellow"/>
        </w:rPr>
        <w:t>20</w:t>
      </w:r>
      <w:r>
        <w:rPr>
          <w:highlight w:val="yellow"/>
        </w:rPr>
        <w:t xml:space="preserve"> </w:t>
      </w:r>
      <w:r w:rsidRPr="00C009DC">
        <w:rPr>
          <w:highlight w:val="yellow"/>
        </w:rPr>
        <w:t>years</w:t>
      </w:r>
      <w:r w:rsidRPr="00795E57">
        <w:t xml:space="preserve"> with remaining economic life estimated at </w:t>
      </w:r>
      <w:r w:rsidRPr="00C009DC">
        <w:rPr>
          <w:highlight w:val="yellow"/>
        </w:rPr>
        <w:t>30 years</w:t>
      </w:r>
      <w:r w:rsidRPr="00795E57">
        <w:t xml:space="preserve"> with regular maintenance. </w:t>
      </w:r>
    </w:p>
    <w:p w14:paraId="30867738" w14:textId="77777777" w:rsidR="00C009DC" w:rsidRPr="00795E57" w:rsidRDefault="00C009DC" w:rsidP="00C009DC">
      <w:pPr>
        <w:widowControl w:val="0"/>
        <w:tabs>
          <w:tab w:val="left" w:pos="2880"/>
        </w:tabs>
        <w:ind w:left="2880" w:hanging="2880"/>
      </w:pPr>
    </w:p>
    <w:p w14:paraId="319874D7" w14:textId="5E95B9E5" w:rsidR="00C009DC" w:rsidRPr="00795E57" w:rsidRDefault="00C009DC" w:rsidP="00C009DC">
      <w:pPr>
        <w:widowControl w:val="0"/>
        <w:tabs>
          <w:tab w:val="left" w:pos="2880"/>
        </w:tabs>
        <w:ind w:left="2880" w:hanging="2880"/>
      </w:pPr>
      <w:r w:rsidRPr="00795E57">
        <w:rPr>
          <w:b/>
          <w:color w:val="1E4959"/>
        </w:rPr>
        <w:t>Land-to-Bldg. Ratio:</w:t>
      </w:r>
      <w:r w:rsidRPr="00795E57">
        <w:tab/>
      </w:r>
      <w:r w:rsidR="007D4275">
        <w:t>${</w:t>
      </w:r>
      <w:proofErr w:type="spellStart"/>
      <w:r w:rsidR="007D4275" w:rsidRPr="007D4275">
        <w:t>landprim</w:t>
      </w:r>
      <w:proofErr w:type="spellEnd"/>
      <w:r w:rsidR="007D4275">
        <w:t>}</w:t>
      </w:r>
      <w:r w:rsidRPr="00EC51F7">
        <w:t xml:space="preserve"> to 1</w:t>
      </w:r>
      <w:r w:rsidRPr="00795E57">
        <w:t xml:space="preserve"> (</w:t>
      </w:r>
      <w:r w:rsidR="007D4275">
        <w:rPr>
          <w:iCs/>
        </w:rPr>
        <w:t>${footprint}</w:t>
      </w:r>
      <w:r w:rsidRPr="00795E57">
        <w:rPr>
          <w:iCs/>
        </w:rPr>
        <w:t xml:space="preserve"> </w:t>
      </w:r>
      <w:r w:rsidRPr="00795E57">
        <w:t xml:space="preserve">SF </w:t>
      </w:r>
      <w:r>
        <w:t>Land</w:t>
      </w:r>
      <w:r w:rsidRPr="00795E57">
        <w:t xml:space="preserve"> Area </w:t>
      </w:r>
      <w:r w:rsidRPr="00795E57">
        <w:sym w:font="Courier New" w:char="00F7"/>
      </w:r>
      <w:r w:rsidRPr="00795E57">
        <w:t xml:space="preserve"> </w:t>
      </w:r>
      <w:r w:rsidR="007D4275">
        <w:t>${</w:t>
      </w:r>
      <w:proofErr w:type="spellStart"/>
      <w:r w:rsidR="007D4275">
        <w:t>gba</w:t>
      </w:r>
      <w:proofErr w:type="spellEnd"/>
      <w:r w:rsidR="007D4275">
        <w:t>}</w:t>
      </w:r>
      <w:r w:rsidRPr="00795E57">
        <w:t xml:space="preserve"> SF GBA)</w:t>
      </w:r>
    </w:p>
    <w:p w14:paraId="40C7193F" w14:textId="77777777" w:rsidR="00C009DC" w:rsidRPr="00795E57" w:rsidRDefault="00C009DC" w:rsidP="00C009DC">
      <w:pPr>
        <w:widowControl w:val="0"/>
        <w:tabs>
          <w:tab w:val="left" w:pos="2880"/>
        </w:tabs>
        <w:ind w:left="2880" w:hanging="2880"/>
      </w:pPr>
    </w:p>
    <w:p w14:paraId="3120681E" w14:textId="5741C1F8" w:rsidR="00C009DC" w:rsidRPr="00795E57" w:rsidRDefault="00C009DC" w:rsidP="00C009DC">
      <w:pPr>
        <w:widowControl w:val="0"/>
        <w:tabs>
          <w:tab w:val="left" w:pos="2880"/>
        </w:tabs>
        <w:ind w:left="2880" w:hanging="2880"/>
      </w:pPr>
      <w:r w:rsidRPr="00795E57">
        <w:rPr>
          <w:b/>
          <w:color w:val="1E4959"/>
        </w:rPr>
        <w:lastRenderedPageBreak/>
        <w:t>Site Coverage Ratio:</w:t>
      </w:r>
      <w:r w:rsidRPr="00795E57">
        <w:tab/>
      </w:r>
      <w:r w:rsidR="007D4275">
        <w:t>${</w:t>
      </w:r>
      <w:proofErr w:type="spellStart"/>
      <w:r w:rsidR="007D4275" w:rsidRPr="007D4275">
        <w:t>siteprim</w:t>
      </w:r>
      <w:proofErr w:type="spellEnd"/>
      <w:r w:rsidR="007D4275">
        <w:t>}</w:t>
      </w:r>
      <w:r w:rsidRPr="00795E57">
        <w:t xml:space="preserve"> (</w:t>
      </w:r>
      <w:r w:rsidR="007D4275">
        <w:t>${</w:t>
      </w:r>
      <w:r w:rsidR="007D4275" w:rsidRPr="007D4275">
        <w:t>footprint</w:t>
      </w:r>
      <w:r w:rsidR="007D4275">
        <w:t>}</w:t>
      </w:r>
      <w:r w:rsidRPr="00795E57">
        <w:t xml:space="preserve"> SF Footprint </w:t>
      </w:r>
      <w:r w:rsidRPr="00795E57">
        <w:sym w:font="Courier New" w:char="00F7"/>
      </w:r>
      <w:r w:rsidRPr="00795E57">
        <w:t xml:space="preserve"> </w:t>
      </w:r>
      <w:r w:rsidR="007D4275">
        <w:t>${</w:t>
      </w:r>
      <w:proofErr w:type="spellStart"/>
      <w:r w:rsidR="007D4275">
        <w:t>primsf</w:t>
      </w:r>
      <w:proofErr w:type="spellEnd"/>
      <w:r w:rsidR="007D4275">
        <w:t>}</w:t>
      </w:r>
      <w:r w:rsidRPr="00795E57">
        <w:t xml:space="preserve"> SF </w:t>
      </w:r>
      <w:r>
        <w:t>Land</w:t>
      </w:r>
      <w:r w:rsidRPr="00795E57">
        <w:t xml:space="preserve"> Area)</w:t>
      </w:r>
    </w:p>
    <w:p w14:paraId="434725C2" w14:textId="77777777" w:rsidR="00C009DC" w:rsidRPr="00795E57" w:rsidRDefault="00C009DC" w:rsidP="00C009DC">
      <w:pPr>
        <w:widowControl w:val="0"/>
        <w:tabs>
          <w:tab w:val="left" w:pos="2880"/>
        </w:tabs>
        <w:ind w:left="2880" w:hanging="2880"/>
      </w:pPr>
    </w:p>
    <w:p w14:paraId="1B805BAB" w14:textId="77777777" w:rsidR="00C009DC" w:rsidRDefault="00C009DC" w:rsidP="00C009DC">
      <w:pPr>
        <w:widowControl w:val="0"/>
        <w:tabs>
          <w:tab w:val="left" w:pos="2880"/>
        </w:tabs>
        <w:ind w:left="2880" w:hanging="2880"/>
      </w:pPr>
      <w:r w:rsidRPr="00795E57">
        <w:rPr>
          <w:b/>
          <w:color w:val="1E4959"/>
        </w:rPr>
        <w:t>Utility:</w:t>
      </w:r>
      <w:r w:rsidRPr="00795E57">
        <w:tab/>
        <w:t>As existing, the</w:t>
      </w:r>
      <w:r>
        <w:t xml:space="preserve"> subject property represents </w:t>
      </w:r>
      <w:r w:rsidRPr="00C009DC">
        <w:rPr>
          <w:highlight w:val="yellow"/>
        </w:rPr>
        <w:t>an average quality</w:t>
      </w:r>
      <w:r>
        <w:t xml:space="preserve"> auto dealership with a functional design for its auto sales office / service use either single-tenant or owner-user occupancy. The building has adequate office / showroom build-out and are functional for single-tenant occupancy representing a variety of auto brands. The layout of the buildings appears functional, as do the parking and vehicle staging, storage and service areas. </w:t>
      </w:r>
    </w:p>
    <w:p w14:paraId="51988D6C" w14:textId="77777777" w:rsidR="009F7157" w:rsidRDefault="009F7157" w:rsidP="006028C1">
      <w:pPr>
        <w:tabs>
          <w:tab w:val="left" w:pos="2880"/>
        </w:tabs>
        <w:ind w:left="2880" w:hanging="2880"/>
        <w:rPr>
          <w:rFonts w:cs="Arial"/>
          <w:szCs w:val="22"/>
        </w:rPr>
      </w:pPr>
    </w:p>
    <w:p w14:paraId="4A9FA742" w14:textId="6055AB46" w:rsidR="009F7157" w:rsidRDefault="009F7157" w:rsidP="006028C1">
      <w:pPr>
        <w:tabs>
          <w:tab w:val="left" w:pos="2880"/>
        </w:tabs>
        <w:ind w:left="2880" w:hanging="2880"/>
        <w:rPr>
          <w:rFonts w:cs="Arial"/>
          <w:szCs w:val="22"/>
        </w:rPr>
        <w:sectPr w:rsidR="009F7157" w:rsidSect="00185C85">
          <w:headerReference w:type="default" r:id="rId11"/>
          <w:footerReference w:type="default" r:id="rId12"/>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620AC11F" w14:textId="77777777" w:rsidTr="008F4447">
        <w:trPr>
          <w:jc w:val="center"/>
        </w:trPr>
        <w:tc>
          <w:tcPr>
            <w:tcW w:w="9360" w:type="dxa"/>
            <w:tcBorders>
              <w:top w:val="nil"/>
              <w:left w:val="nil"/>
              <w:bottom w:val="single" w:sz="24" w:space="0" w:color="3FB44F"/>
              <w:right w:val="nil"/>
            </w:tcBorders>
            <w:shd w:val="clear" w:color="auto" w:fill="1E4959"/>
          </w:tcPr>
          <w:p w14:paraId="69E06EE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sidRPr="00CF5FEE">
              <w:rPr>
                <w:rFonts w:cs="Arial"/>
                <w:b/>
                <w:smallCaps/>
                <w:color w:val="FFFFFF" w:themeColor="background1"/>
                <w:sz w:val="28"/>
                <w:szCs w:val="22"/>
              </w:rPr>
              <w:lastRenderedPageBreak/>
              <w:t>Site Plan</w:t>
            </w:r>
          </w:p>
        </w:tc>
      </w:tr>
      <w:tr w:rsidR="006028C1" w:rsidRPr="000754FA" w14:paraId="74DAF01A"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519FA71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667FA5EA" w14:textId="77777777" w:rsidTr="008F4447">
        <w:trPr>
          <w:trHeight w:hRule="exact" w:val="11808"/>
          <w:jc w:val="center"/>
        </w:trPr>
        <w:tc>
          <w:tcPr>
            <w:tcW w:w="9360" w:type="dxa"/>
            <w:tcBorders>
              <w:top w:val="nil"/>
              <w:left w:val="nil"/>
              <w:bottom w:val="nil"/>
              <w:right w:val="nil"/>
            </w:tcBorders>
            <w:shd w:val="clear" w:color="auto" w:fill="auto"/>
            <w:vAlign w:val="center"/>
          </w:tcPr>
          <w:p w14:paraId="0E3A1D38"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CF31BBA" wp14:editId="657B5708">
                  <wp:extent cx="5492613" cy="6787681"/>
                  <wp:effectExtent l="38100" t="38100" r="32385" b="3238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rot="10800000">
                            <a:off x="0" y="0"/>
                            <a:ext cx="5492613" cy="6787681"/>
                          </a:xfrm>
                          <a:prstGeom prst="rect">
                            <a:avLst/>
                          </a:prstGeom>
                          <a:noFill/>
                          <a:ln w="28575">
                            <a:solidFill>
                              <a:srgbClr val="1E4959"/>
                            </a:solidFill>
                          </a:ln>
                        </pic:spPr>
                      </pic:pic>
                    </a:graphicData>
                  </a:graphic>
                </wp:inline>
              </w:drawing>
            </w:r>
          </w:p>
        </w:tc>
      </w:tr>
    </w:tbl>
    <w:p w14:paraId="4A0CE12B"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51AABD7D" w14:textId="77777777" w:rsidTr="008F4447">
        <w:trPr>
          <w:jc w:val="center"/>
        </w:trPr>
        <w:tc>
          <w:tcPr>
            <w:tcW w:w="9360" w:type="dxa"/>
            <w:tcBorders>
              <w:top w:val="nil"/>
              <w:left w:val="nil"/>
              <w:bottom w:val="single" w:sz="24" w:space="0" w:color="3FB44F"/>
              <w:right w:val="nil"/>
            </w:tcBorders>
            <w:shd w:val="clear" w:color="auto" w:fill="1E4959"/>
          </w:tcPr>
          <w:p w14:paraId="6B26FC5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Floor Plan</w:t>
            </w:r>
          </w:p>
        </w:tc>
      </w:tr>
      <w:tr w:rsidR="006028C1" w:rsidRPr="000754FA" w14:paraId="5783D50E"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1E344D3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0331B68" w14:textId="77777777" w:rsidTr="008F4447">
        <w:trPr>
          <w:trHeight w:hRule="exact" w:val="11808"/>
          <w:jc w:val="center"/>
        </w:trPr>
        <w:tc>
          <w:tcPr>
            <w:tcW w:w="9360" w:type="dxa"/>
            <w:tcBorders>
              <w:top w:val="nil"/>
              <w:left w:val="nil"/>
              <w:bottom w:val="nil"/>
              <w:right w:val="nil"/>
            </w:tcBorders>
            <w:shd w:val="clear" w:color="auto" w:fill="auto"/>
            <w:vAlign w:val="center"/>
          </w:tcPr>
          <w:p w14:paraId="77916741"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7C6AB0B" wp14:editId="2B9C965F">
                  <wp:extent cx="5028068" cy="6208954"/>
                  <wp:effectExtent l="38100" t="38100" r="39370" b="400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028068" cy="6208954"/>
                          </a:xfrm>
                          <a:prstGeom prst="rect">
                            <a:avLst/>
                          </a:prstGeom>
                          <a:noFill/>
                          <a:ln w="28575">
                            <a:solidFill>
                              <a:srgbClr val="1E4959"/>
                            </a:solidFill>
                          </a:ln>
                        </pic:spPr>
                      </pic:pic>
                    </a:graphicData>
                  </a:graphic>
                </wp:inline>
              </w:drawing>
            </w:r>
          </w:p>
        </w:tc>
      </w:tr>
    </w:tbl>
    <w:p w14:paraId="63AF22BF"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10F73B64" w14:textId="77777777" w:rsidTr="008F4447">
        <w:trPr>
          <w:jc w:val="center"/>
        </w:trPr>
        <w:tc>
          <w:tcPr>
            <w:tcW w:w="9360" w:type="dxa"/>
            <w:tcBorders>
              <w:top w:val="nil"/>
              <w:left w:val="nil"/>
              <w:bottom w:val="single" w:sz="24" w:space="0" w:color="3FB44F"/>
              <w:right w:val="nil"/>
            </w:tcBorders>
            <w:shd w:val="clear" w:color="auto" w:fill="1E4959"/>
          </w:tcPr>
          <w:p w14:paraId="50D4DB8B"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Elevations</w:t>
            </w:r>
          </w:p>
        </w:tc>
      </w:tr>
      <w:tr w:rsidR="006028C1" w:rsidRPr="000754FA" w14:paraId="6E3F723D"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77AE214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D47FC43" w14:textId="77777777" w:rsidTr="008F4447">
        <w:trPr>
          <w:trHeight w:hRule="exact" w:val="11808"/>
          <w:jc w:val="center"/>
        </w:trPr>
        <w:tc>
          <w:tcPr>
            <w:tcW w:w="9360" w:type="dxa"/>
            <w:tcBorders>
              <w:top w:val="nil"/>
              <w:left w:val="nil"/>
              <w:bottom w:val="nil"/>
              <w:right w:val="nil"/>
            </w:tcBorders>
            <w:shd w:val="clear" w:color="auto" w:fill="auto"/>
            <w:vAlign w:val="center"/>
          </w:tcPr>
          <w:p w14:paraId="130E791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31417807" wp14:editId="37A68341">
                  <wp:extent cx="5028068" cy="6211826"/>
                  <wp:effectExtent l="38100" t="38100" r="39370" b="368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20D84E79" w14:textId="77777777" w:rsidR="00AE2B3D" w:rsidRDefault="00AE2B3D" w:rsidP="00AE2B3D">
      <w:pPr>
        <w:tabs>
          <w:tab w:val="left" w:pos="2880"/>
        </w:tabs>
        <w:ind w:left="2880" w:hanging="2880"/>
        <w:rPr>
          <w:rFonts w:cs="Arial"/>
          <w:szCs w:val="22"/>
        </w:rPr>
        <w:sectPr w:rsidR="00AE2B3D"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AE2B3D" w:rsidRPr="000754FA" w14:paraId="35F85765" w14:textId="77777777" w:rsidTr="004A11EB">
        <w:trPr>
          <w:jc w:val="center"/>
        </w:trPr>
        <w:tc>
          <w:tcPr>
            <w:tcW w:w="9360" w:type="dxa"/>
            <w:tcBorders>
              <w:top w:val="nil"/>
              <w:left w:val="nil"/>
              <w:bottom w:val="single" w:sz="24" w:space="0" w:color="3FB44F"/>
              <w:right w:val="nil"/>
            </w:tcBorders>
            <w:shd w:val="clear" w:color="auto" w:fill="1E4959"/>
          </w:tcPr>
          <w:p w14:paraId="254728E3" w14:textId="77777777" w:rsidR="00AE2B3D" w:rsidRPr="000754FA" w:rsidRDefault="00AE2B3D" w:rsidP="004A11EB">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Appraiser Sketch</w:t>
            </w:r>
          </w:p>
        </w:tc>
      </w:tr>
      <w:tr w:rsidR="00AE2B3D" w:rsidRPr="000754FA" w14:paraId="3ADA25E0" w14:textId="77777777" w:rsidTr="004A11EB">
        <w:trPr>
          <w:trHeight w:hRule="exact" w:val="144"/>
          <w:jc w:val="center"/>
        </w:trPr>
        <w:tc>
          <w:tcPr>
            <w:tcW w:w="9360" w:type="dxa"/>
            <w:tcBorders>
              <w:top w:val="single" w:sz="24" w:space="0" w:color="3FB44F"/>
              <w:left w:val="nil"/>
              <w:bottom w:val="nil"/>
              <w:right w:val="nil"/>
            </w:tcBorders>
            <w:shd w:val="clear" w:color="auto" w:fill="auto"/>
          </w:tcPr>
          <w:p w14:paraId="133D89BF" w14:textId="77777777" w:rsidR="00AE2B3D" w:rsidRPr="000754FA" w:rsidRDefault="00AE2B3D" w:rsidP="004A11EB">
            <w:pPr>
              <w:tabs>
                <w:tab w:val="left" w:pos="3960"/>
              </w:tabs>
              <w:spacing w:before="120" w:line="20" w:lineRule="atLeast"/>
              <w:jc w:val="center"/>
              <w:rPr>
                <w:rFonts w:cs="Arial"/>
                <w:b/>
                <w:smallCaps/>
                <w:color w:val="FFFFFF" w:themeColor="background1"/>
                <w:sz w:val="28"/>
                <w:szCs w:val="22"/>
              </w:rPr>
            </w:pPr>
          </w:p>
        </w:tc>
      </w:tr>
      <w:tr w:rsidR="00AE2B3D" w:rsidRPr="000754FA" w14:paraId="3B01CBF3" w14:textId="77777777" w:rsidTr="004A11EB">
        <w:trPr>
          <w:trHeight w:hRule="exact" w:val="11808"/>
          <w:jc w:val="center"/>
        </w:trPr>
        <w:tc>
          <w:tcPr>
            <w:tcW w:w="9360" w:type="dxa"/>
            <w:tcBorders>
              <w:top w:val="nil"/>
              <w:left w:val="nil"/>
              <w:bottom w:val="nil"/>
              <w:right w:val="nil"/>
            </w:tcBorders>
            <w:shd w:val="clear" w:color="auto" w:fill="auto"/>
            <w:vAlign w:val="center"/>
          </w:tcPr>
          <w:p w14:paraId="5DEBD2C6" w14:textId="77777777" w:rsidR="00AE2B3D" w:rsidRPr="000754FA" w:rsidRDefault="00AE2B3D" w:rsidP="004A11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EF9F0D5" wp14:editId="65990720">
                  <wp:extent cx="5028068" cy="6211826"/>
                  <wp:effectExtent l="38100" t="38100" r="39370" b="36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41AE68F5" w14:textId="77777777" w:rsidR="001F2654" w:rsidRPr="006028C1" w:rsidRDefault="001F2654" w:rsidP="006028C1"/>
    <w:sectPr w:rsidR="001F2654" w:rsidRPr="006028C1" w:rsidSect="00782513">
      <w:headerReference w:type="default" r:id="rId16"/>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61DDD" w14:textId="77777777" w:rsidR="00C96A38" w:rsidRDefault="00C96A38">
      <w:r>
        <w:separator/>
      </w:r>
    </w:p>
  </w:endnote>
  <w:endnote w:type="continuationSeparator" w:id="0">
    <w:p w14:paraId="6512F2B9" w14:textId="77777777" w:rsidR="00C96A38" w:rsidRDefault="00C96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D65DD" w14:textId="38F3D22D" w:rsidR="007640D8" w:rsidRDefault="007640D8" w:rsidP="007640D8">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854625">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w:t>
    </w:r>
    <w:r w:rsidRPr="007D4275">
      <w:rPr>
        <w:rFonts w:cs="Segoe UI"/>
        <w:bCs/>
        <w:iCs/>
        <w:kern w:val="0"/>
        <w:sz w:val="20"/>
        <w:szCs w:val="18"/>
      </w:rPr>
      <w:t>| ${</w:t>
    </w:r>
    <w:proofErr w:type="spellStart"/>
    <w:r w:rsidRPr="007D4275">
      <w:rPr>
        <w:rFonts w:cs="Segoe UI"/>
        <w:bCs/>
        <w:iCs/>
        <w:kern w:val="0"/>
        <w:sz w:val="20"/>
        <w:szCs w:val="18"/>
      </w:rPr>
      <w:t>reportname</w:t>
    </w:r>
    <w:proofErr w:type="spellEnd"/>
    <w:r w:rsidRPr="007D4275">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B3B4F" w14:textId="77777777" w:rsidR="00C96A38" w:rsidRDefault="00C96A38">
      <w:r>
        <w:separator/>
      </w:r>
    </w:p>
  </w:footnote>
  <w:footnote w:type="continuationSeparator" w:id="0">
    <w:p w14:paraId="00AC72EB" w14:textId="77777777" w:rsidR="00C96A38" w:rsidRDefault="00C96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4439"/>
    </w:tblGrid>
    <w:tr w:rsidR="006028C1" w:rsidRPr="00492705" w14:paraId="683199B0" w14:textId="77777777" w:rsidTr="00082CC9">
      <w:trPr>
        <w:trHeight w:val="800"/>
      </w:trPr>
      <w:tc>
        <w:tcPr>
          <w:tcW w:w="5248" w:type="dxa"/>
        </w:tcPr>
        <w:p w14:paraId="0A061EDF" w14:textId="77777777" w:rsidR="006028C1" w:rsidRDefault="006028C1" w:rsidP="00492705">
          <w:pPr>
            <w:pStyle w:val="ValbridgeHeader"/>
            <w:spacing w:line="240" w:lineRule="auto"/>
            <w:jc w:val="left"/>
          </w:pPr>
          <w:r w:rsidRPr="006C283F">
            <w:rPr>
              <w:noProof/>
            </w:rPr>
            <w:drawing>
              <wp:inline distT="0" distB="0" distL="0" distR="0" wp14:anchorId="473A7DC6" wp14:editId="29F7E99A">
                <wp:extent cx="2231136" cy="493776"/>
                <wp:effectExtent l="0" t="0" r="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580" w:type="dxa"/>
          <w:vAlign w:val="center"/>
        </w:tcPr>
        <w:p w14:paraId="423FB876" w14:textId="77777777" w:rsidR="006028C1" w:rsidRPr="00F01ADE" w:rsidRDefault="006028C1" w:rsidP="006028C1">
          <w:pPr>
            <w:pStyle w:val="ValbridgeHeader"/>
            <w:spacing w:before="120" w:line="240" w:lineRule="auto"/>
            <w:rPr>
              <w:rFonts w:asciiTheme="minorHAnsi" w:hAnsiTheme="minorHAnsi"/>
              <w:noProof/>
              <w:color w:val="auto"/>
              <w:sz w:val="20"/>
            </w:rPr>
          </w:pPr>
          <w:r w:rsidRPr="007D4275">
            <w:rPr>
              <w:rFonts w:asciiTheme="minorHAnsi" w:hAnsiTheme="minorHAnsi"/>
              <w:caps/>
              <w:noProof/>
              <w:color w:val="auto"/>
              <w:sz w:val="20"/>
            </w:rPr>
            <w:t>${cappropname}</w:t>
          </w:r>
        </w:p>
        <w:p w14:paraId="1850A0B2" w14:textId="77777777" w:rsidR="006028C1" w:rsidRPr="009208A9" w:rsidRDefault="006028C1" w:rsidP="00F703BB">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IMPROVEMENT DESCRIPTION</w:t>
          </w:r>
        </w:p>
      </w:tc>
    </w:tr>
  </w:tbl>
  <w:p w14:paraId="51E1EAA6" w14:textId="77777777" w:rsidR="006028C1" w:rsidRPr="006028C1" w:rsidRDefault="006028C1"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5E2389F" w:rsidR="00DB2E0D" w:rsidRPr="00883365" w:rsidRDefault="006028C1" w:rsidP="00492705">
          <w:pPr>
            <w:pStyle w:val="ValbridgeHeader"/>
            <w:spacing w:line="240" w:lineRule="auto"/>
            <w:rPr>
              <w:rFonts w:ascii="Arial Narrow" w:hAnsi="Arial Narrow" w:cs="Arial"/>
            </w:rPr>
          </w:pPr>
          <w:r w:rsidRPr="00F01ADE">
            <w:rPr>
              <w:rFonts w:asciiTheme="minorHAnsi" w:hAnsiTheme="minorHAnsi"/>
              <w:color w:val="auto"/>
              <w:sz w:val="20"/>
            </w:rPr>
            <w:t>IMPROVEMENT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40"/>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4C8"/>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3DF"/>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A5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44F"/>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275"/>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625"/>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157"/>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B3D"/>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371"/>
    <w:rsid w:val="00B455D5"/>
    <w:rsid w:val="00B4578B"/>
    <w:rsid w:val="00B461E1"/>
    <w:rsid w:val="00B4638B"/>
    <w:rsid w:val="00B4690D"/>
    <w:rsid w:val="00B46B8D"/>
    <w:rsid w:val="00B46F2D"/>
    <w:rsid w:val="00B47A5B"/>
    <w:rsid w:val="00B50848"/>
    <w:rsid w:val="00B50859"/>
    <w:rsid w:val="00B50A55"/>
    <w:rsid w:val="00B50C15"/>
    <w:rsid w:val="00B51017"/>
    <w:rsid w:val="00B5159B"/>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09DC"/>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6A38"/>
    <w:rsid w:val="00C97AD9"/>
    <w:rsid w:val="00C97BBF"/>
    <w:rsid w:val="00CA0526"/>
    <w:rsid w:val="00CA0543"/>
    <w:rsid w:val="00CA0DFD"/>
    <w:rsid w:val="00CA1AF6"/>
    <w:rsid w:val="00CA1D15"/>
    <w:rsid w:val="00CA21ED"/>
    <w:rsid w:val="00CA2956"/>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3.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4F48F7-39DB-4529-B823-967FC68AA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1210</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7764</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4</cp:revision>
  <cp:lastPrinted>2019-01-21T18:26:00Z</cp:lastPrinted>
  <dcterms:created xsi:type="dcterms:W3CDTF">2020-05-12T16:34:00Z</dcterms:created>
  <dcterms:modified xsi:type="dcterms:W3CDTF">2020-05-12T16:43:00Z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