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165AF9">
        <w:trPr>
          <w:trHeight w:hRule="exact" w:val="590"/>
        </w:trPr>
        <w:tc>
          <w:tcPr>
            <w:tcW w:w="9490" w:type="dxa"/>
            <w:vAlign w:val="center"/>
          </w:tcPr>
          <w:p w14:paraId="3C501211" w14:textId="77777777" w:rsidR="006028C1" w:rsidRPr="000754FA" w:rsidRDefault="006028C1" w:rsidP="00165AF9">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165AF9" w:rsidRPr="00E03623" w:rsidRDefault="00165AF9" w:rsidP="006028C1">
                                  <w:pPr>
                                    <w:pStyle w:val="AddendaHeading"/>
                                  </w:pPr>
                                  <w:bookmarkStart w:id="0" w:name="_Toc33773871"/>
                                  <w:r w:rsidRPr="009334EB">
                                    <w:t>Improvement Description</w:t>
                                  </w:r>
                                  <w:bookmarkEnd w:id="0"/>
                                </w:p>
                                <w:p w14:paraId="4296DCA0" w14:textId="77777777" w:rsidR="00165AF9" w:rsidRPr="00E03623" w:rsidRDefault="00165AF9" w:rsidP="006028C1">
                                  <w:pPr>
                                    <w:pStyle w:val="TOC1"/>
                                  </w:pPr>
                                </w:p>
                                <w:p w14:paraId="309AC3A3" w14:textId="77777777" w:rsidR="00165AF9" w:rsidRPr="00883365" w:rsidRDefault="00165AF9"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165AF9" w:rsidRPr="00E03623" w:rsidRDefault="00165AF9" w:rsidP="006028C1">
                            <w:pPr>
                              <w:pStyle w:val="AddendaHeading"/>
                            </w:pPr>
                            <w:bookmarkStart w:id="1" w:name="_Toc33773871"/>
                            <w:r w:rsidRPr="009334EB">
                              <w:t>Improvement Description</w:t>
                            </w:r>
                            <w:bookmarkEnd w:id="1"/>
                          </w:p>
                          <w:p w14:paraId="4296DCA0" w14:textId="77777777" w:rsidR="00165AF9" w:rsidRPr="00E03623" w:rsidRDefault="00165AF9" w:rsidP="006028C1">
                            <w:pPr>
                              <w:pStyle w:val="TOC1"/>
                            </w:pPr>
                          </w:p>
                          <w:p w14:paraId="309AC3A3" w14:textId="77777777" w:rsidR="00165AF9" w:rsidRPr="00883365" w:rsidRDefault="00165AF9"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15609D">
        <w:rPr>
          <w:rFonts w:cs="Arial"/>
          <w:color w:val="000000"/>
          <w:szCs w:val="22"/>
        </w:rPr>
        <w:t>${</w:t>
      </w:r>
      <w:proofErr w:type="spellStart"/>
      <w:r w:rsidRPr="0015609D">
        <w:rPr>
          <w:rFonts w:cs="Arial"/>
          <w:color w:val="000000"/>
          <w:szCs w:val="22"/>
        </w:rPr>
        <w:t>property_name</w:t>
      </w:r>
      <w:proofErr w:type="spellEnd"/>
      <w:r w:rsidRPr="0015609D">
        <w:rPr>
          <w:rFonts w:cs="Arial"/>
          <w:color w:val="000000"/>
          <w:szCs w:val="22"/>
        </w:rPr>
        <w:t>}</w:t>
      </w:r>
    </w:p>
    <w:p w14:paraId="68618E6E" w14:textId="77777777" w:rsidR="00820626" w:rsidRPr="00643874" w:rsidRDefault="00820626" w:rsidP="00820626">
      <w:pPr>
        <w:tabs>
          <w:tab w:val="left" w:pos="2880"/>
        </w:tabs>
        <w:ind w:left="2880" w:hanging="2880"/>
        <w:rPr>
          <w:rFonts w:cs="Arial"/>
          <w:szCs w:val="22"/>
        </w:rPr>
      </w:pPr>
    </w:p>
    <w:p w14:paraId="32B00DFD" w14:textId="77777777" w:rsidR="001438F6" w:rsidRPr="00356258" w:rsidRDefault="001438F6" w:rsidP="001438F6">
      <w:pPr>
        <w:tabs>
          <w:tab w:val="left" w:pos="2880"/>
        </w:tabs>
        <w:ind w:left="2880" w:hanging="2880"/>
        <w:rPr>
          <w:rFonts w:cs="Arial"/>
          <w:bCs/>
          <w:szCs w:val="22"/>
        </w:rPr>
      </w:pPr>
    </w:p>
    <w:p w14:paraId="271566A6" w14:textId="017954F1" w:rsidR="001438F6" w:rsidRPr="00F34758" w:rsidRDefault="001438F6" w:rsidP="001438F6">
      <w:pPr>
        <w:tabs>
          <w:tab w:val="left" w:pos="2880"/>
        </w:tabs>
        <w:ind w:left="2880" w:hanging="2880"/>
        <w:rPr>
          <w:rFonts w:cs="Arial"/>
          <w:szCs w:val="22"/>
        </w:rPr>
      </w:pPr>
      <w:r w:rsidRPr="00F34758">
        <w:rPr>
          <w:rFonts w:cs="Arial"/>
          <w:b/>
          <w:color w:val="1E4959"/>
          <w:szCs w:val="22"/>
        </w:rPr>
        <w:t>General Description:</w:t>
      </w:r>
      <w:r w:rsidRPr="00F34758">
        <w:rPr>
          <w:rFonts w:cs="Arial"/>
          <w:szCs w:val="22"/>
        </w:rPr>
        <w:tab/>
      </w:r>
      <w:r w:rsidRPr="001438F6">
        <w:rPr>
          <w:highlight w:val="yellow"/>
        </w:rPr>
        <w:t>Single</w:t>
      </w:r>
      <w:r w:rsidRPr="001438F6">
        <w:rPr>
          <w:highlight w:val="yellow"/>
        </w:rPr>
        <w:noBreakHyphen/>
        <w:t>level</w:t>
      </w:r>
      <w:r>
        <w:t xml:space="preserve">, bank branch with </w:t>
      </w:r>
      <w:r>
        <w:rPr>
          <w:highlight w:val="yellow"/>
        </w:rPr>
        <w:t>good</w:t>
      </w:r>
      <w:r w:rsidRPr="001438F6">
        <w:rPr>
          <w:highlight w:val="yellow"/>
        </w:rPr>
        <w:t xml:space="preserve"> quality</w:t>
      </w:r>
      <w:r>
        <w:t xml:space="preserve">, wood-frame construction and a brick veneer exterior in </w:t>
      </w:r>
      <w:r w:rsidRPr="001438F6">
        <w:rPr>
          <w:highlight w:val="yellow"/>
        </w:rPr>
        <w:t>good condition</w:t>
      </w:r>
      <w:r>
        <w:t xml:space="preserve"> and built in </w:t>
      </w:r>
      <w:r w:rsidR="007F471E">
        <w:t>${</w:t>
      </w:r>
      <w:proofErr w:type="spellStart"/>
      <w:r w:rsidR="007F471E" w:rsidRPr="007F471E">
        <w:t>yearb</w:t>
      </w:r>
      <w:proofErr w:type="spellEnd"/>
      <w:r w:rsidR="007F471E">
        <w:t>}</w:t>
      </w:r>
      <w:r>
        <w:t>.</w:t>
      </w:r>
    </w:p>
    <w:p w14:paraId="7B0FA992" w14:textId="77777777" w:rsidR="001438F6" w:rsidRPr="00356258" w:rsidRDefault="001438F6" w:rsidP="001438F6">
      <w:pPr>
        <w:tabs>
          <w:tab w:val="left" w:pos="0"/>
          <w:tab w:val="left" w:pos="259"/>
          <w:tab w:val="left" w:pos="2880"/>
        </w:tabs>
        <w:ind w:left="2880" w:hanging="2880"/>
        <w:rPr>
          <w:rFonts w:cs="Arial"/>
          <w:bCs/>
          <w:szCs w:val="22"/>
        </w:rPr>
      </w:pPr>
    </w:p>
    <w:p w14:paraId="22E939E1" w14:textId="77777777" w:rsidR="001438F6" w:rsidRPr="009B6E44" w:rsidRDefault="001438F6" w:rsidP="001438F6">
      <w:pPr>
        <w:widowControl w:val="0"/>
        <w:tabs>
          <w:tab w:val="left" w:pos="2880"/>
        </w:tabs>
        <w:ind w:left="2880" w:hanging="2880"/>
        <w:rPr>
          <w:rFonts w:cs="Arial"/>
          <w:b/>
          <w:szCs w:val="22"/>
        </w:rPr>
      </w:pPr>
      <w:r w:rsidRPr="009B6E44">
        <w:rPr>
          <w:rFonts w:cs="Arial"/>
          <w:b/>
          <w:color w:val="1E4959"/>
          <w:szCs w:val="22"/>
        </w:rPr>
        <w:t>Building Area:</w:t>
      </w:r>
    </w:p>
    <w:tbl>
      <w:tblPr>
        <w:tblW w:w="6588" w:type="dxa"/>
        <w:tblInd w:w="2880" w:type="dxa"/>
        <w:shd w:val="clear" w:color="auto" w:fill="FFFFFF"/>
        <w:tblLayout w:type="fixed"/>
        <w:tblLook w:val="0000" w:firstRow="0" w:lastRow="0" w:firstColumn="0" w:lastColumn="0" w:noHBand="0" w:noVBand="0"/>
      </w:tblPr>
      <w:tblGrid>
        <w:gridCol w:w="3438"/>
        <w:gridCol w:w="1575"/>
        <w:gridCol w:w="1575"/>
      </w:tblGrid>
      <w:tr w:rsidR="001438F6" w:rsidRPr="009B6E44" w14:paraId="43C26913" w14:textId="77777777" w:rsidTr="00165AF9">
        <w:tc>
          <w:tcPr>
            <w:tcW w:w="3438" w:type="dxa"/>
            <w:shd w:val="clear" w:color="auto" w:fill="1E4959"/>
          </w:tcPr>
          <w:p w14:paraId="685E3FAF" w14:textId="77777777" w:rsidR="001438F6" w:rsidRPr="009B6E44" w:rsidRDefault="001438F6" w:rsidP="00165AF9">
            <w:pPr>
              <w:tabs>
                <w:tab w:val="left" w:pos="0"/>
                <w:tab w:val="left" w:pos="259"/>
                <w:tab w:val="left" w:pos="3600"/>
                <w:tab w:val="right" w:pos="7879"/>
              </w:tabs>
              <w:rPr>
                <w:rFonts w:cs="Arial"/>
                <w:b/>
                <w:smallCaps/>
                <w:color w:val="FFFFFF" w:themeColor="background1"/>
                <w:szCs w:val="22"/>
              </w:rPr>
            </w:pPr>
          </w:p>
        </w:tc>
        <w:tc>
          <w:tcPr>
            <w:tcW w:w="1575" w:type="dxa"/>
            <w:shd w:val="clear" w:color="auto" w:fill="1E4959"/>
          </w:tcPr>
          <w:p w14:paraId="02BDF957" w14:textId="77777777" w:rsidR="001438F6" w:rsidRPr="009B6E44" w:rsidRDefault="001438F6" w:rsidP="00165AF9">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Gross</w:t>
            </w:r>
          </w:p>
          <w:p w14:paraId="4D132D23" w14:textId="77777777" w:rsidR="001438F6" w:rsidRPr="009B6E44" w:rsidRDefault="001438F6" w:rsidP="00165AF9">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Building</w:t>
            </w:r>
          </w:p>
        </w:tc>
        <w:tc>
          <w:tcPr>
            <w:tcW w:w="1575" w:type="dxa"/>
            <w:shd w:val="clear" w:color="auto" w:fill="1E4959"/>
          </w:tcPr>
          <w:p w14:paraId="73B769D6" w14:textId="77777777" w:rsidR="001438F6" w:rsidRPr="009B6E44" w:rsidRDefault="001438F6" w:rsidP="00165AF9">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Gross</w:t>
            </w:r>
          </w:p>
          <w:p w14:paraId="5E642A94" w14:textId="77777777" w:rsidR="001438F6" w:rsidRPr="009B6E44" w:rsidRDefault="001438F6" w:rsidP="00165AF9">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Leas</w:t>
            </w:r>
            <w:r w:rsidRPr="009B6E44">
              <w:rPr>
                <w:rFonts w:cs="Arial"/>
                <w:b/>
                <w:smallCaps/>
                <w:color w:val="FFFFFF" w:themeColor="background1"/>
                <w:szCs w:val="22"/>
              </w:rPr>
              <w:t>able</w:t>
            </w:r>
          </w:p>
        </w:tc>
      </w:tr>
      <w:tr w:rsidR="001438F6" w:rsidRPr="009B6E44" w14:paraId="06511A39" w14:textId="77777777" w:rsidTr="00165AF9">
        <w:tc>
          <w:tcPr>
            <w:tcW w:w="3438" w:type="dxa"/>
            <w:tcBorders>
              <w:bottom w:val="single" w:sz="24" w:space="0" w:color="3FB44F"/>
            </w:tcBorders>
            <w:shd w:val="clear" w:color="auto" w:fill="1E4959"/>
          </w:tcPr>
          <w:p w14:paraId="1445DAAB" w14:textId="77777777" w:rsidR="001438F6" w:rsidRPr="009B6E44" w:rsidRDefault="001438F6" w:rsidP="00165AF9">
            <w:pPr>
              <w:tabs>
                <w:tab w:val="left" w:pos="0"/>
                <w:tab w:val="left" w:pos="259"/>
                <w:tab w:val="left" w:pos="3600"/>
                <w:tab w:val="right" w:pos="7879"/>
              </w:tabs>
              <w:spacing w:after="60" w:line="20" w:lineRule="atLeast"/>
              <w:jc w:val="left"/>
              <w:rPr>
                <w:rFonts w:cs="Arial"/>
                <w:b/>
                <w:smallCaps/>
                <w:color w:val="FFFFFF" w:themeColor="background1"/>
                <w:szCs w:val="22"/>
              </w:rPr>
            </w:pPr>
            <w:r w:rsidRPr="009B6E44">
              <w:rPr>
                <w:rFonts w:cs="Arial"/>
                <w:b/>
                <w:smallCaps/>
                <w:color w:val="FFFFFF" w:themeColor="background1"/>
                <w:szCs w:val="22"/>
              </w:rPr>
              <w:t>Building Component</w:t>
            </w:r>
          </w:p>
        </w:tc>
        <w:tc>
          <w:tcPr>
            <w:tcW w:w="1575" w:type="dxa"/>
            <w:tcBorders>
              <w:bottom w:val="single" w:sz="24" w:space="0" w:color="3FB44F"/>
            </w:tcBorders>
            <w:shd w:val="clear" w:color="auto" w:fill="1E4959"/>
          </w:tcPr>
          <w:p w14:paraId="56E280A7" w14:textId="77777777" w:rsidR="001438F6" w:rsidRPr="009B6E44" w:rsidRDefault="001438F6" w:rsidP="00165AF9">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c>
          <w:tcPr>
            <w:tcW w:w="1575" w:type="dxa"/>
            <w:tcBorders>
              <w:bottom w:val="single" w:sz="24" w:space="0" w:color="3FB44F"/>
            </w:tcBorders>
            <w:shd w:val="clear" w:color="auto" w:fill="1E4959"/>
          </w:tcPr>
          <w:p w14:paraId="4A6E58CA" w14:textId="77777777" w:rsidR="001438F6" w:rsidRPr="009B6E44" w:rsidRDefault="001438F6" w:rsidP="00165AF9">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r>
      <w:tr w:rsidR="001438F6" w:rsidRPr="009B6E44" w14:paraId="4DA4B9DD" w14:textId="77777777" w:rsidTr="00165AF9">
        <w:trPr>
          <w:trHeight w:val="453"/>
        </w:trPr>
        <w:tc>
          <w:tcPr>
            <w:tcW w:w="3438" w:type="dxa"/>
            <w:tcBorders>
              <w:top w:val="single" w:sz="6" w:space="0" w:color="auto"/>
              <w:bottom w:val="double" w:sz="4" w:space="0" w:color="auto"/>
            </w:tcBorders>
            <w:shd w:val="clear" w:color="auto" w:fill="FFFFFF"/>
            <w:vAlign w:val="bottom"/>
          </w:tcPr>
          <w:p w14:paraId="7067B234" w14:textId="77777777" w:rsidR="001438F6" w:rsidRPr="009B6E44" w:rsidRDefault="001438F6" w:rsidP="00165AF9">
            <w:pPr>
              <w:tabs>
                <w:tab w:val="left" w:pos="0"/>
                <w:tab w:val="left" w:pos="259"/>
                <w:tab w:val="left" w:pos="3600"/>
                <w:tab w:val="right" w:pos="7879"/>
              </w:tabs>
              <w:spacing w:line="320" w:lineRule="exact"/>
              <w:jc w:val="left"/>
              <w:rPr>
                <w:rFonts w:cs="Arial"/>
                <w:b/>
                <w:bCs/>
                <w:szCs w:val="22"/>
              </w:rPr>
            </w:pPr>
            <w:r w:rsidRPr="009B6E44">
              <w:rPr>
                <w:rFonts w:cs="Arial"/>
                <w:b/>
                <w:bCs/>
                <w:szCs w:val="22"/>
              </w:rPr>
              <w:t xml:space="preserve">TOTAL GBA / </w:t>
            </w:r>
            <w:r>
              <w:rPr>
                <w:rFonts w:cs="Arial"/>
                <w:b/>
                <w:bCs/>
                <w:szCs w:val="22"/>
              </w:rPr>
              <w:t>GL</w:t>
            </w:r>
            <w:r w:rsidRPr="009B6E44">
              <w:rPr>
                <w:rFonts w:cs="Arial"/>
                <w:b/>
                <w:bCs/>
                <w:szCs w:val="22"/>
              </w:rPr>
              <w:t>A:</w:t>
            </w:r>
          </w:p>
        </w:tc>
        <w:tc>
          <w:tcPr>
            <w:tcW w:w="1575" w:type="dxa"/>
            <w:tcBorders>
              <w:top w:val="single" w:sz="6" w:space="0" w:color="auto"/>
              <w:left w:val="single" w:sz="6" w:space="0" w:color="auto"/>
              <w:bottom w:val="double" w:sz="4" w:space="0" w:color="auto"/>
              <w:right w:val="single" w:sz="6" w:space="0" w:color="auto"/>
            </w:tcBorders>
            <w:shd w:val="clear" w:color="auto" w:fill="FFFFFF"/>
            <w:vAlign w:val="bottom"/>
          </w:tcPr>
          <w:p w14:paraId="552C6941" w14:textId="2DDC82A5" w:rsidR="001438F6" w:rsidRPr="007F471E" w:rsidRDefault="007F471E" w:rsidP="00165AF9">
            <w:pPr>
              <w:tabs>
                <w:tab w:val="left" w:pos="0"/>
                <w:tab w:val="left" w:pos="259"/>
                <w:tab w:val="left" w:pos="3600"/>
                <w:tab w:val="right" w:pos="7879"/>
              </w:tabs>
              <w:spacing w:line="320" w:lineRule="exact"/>
              <w:jc w:val="center"/>
              <w:rPr>
                <w:rFonts w:cs="Arial"/>
                <w:b/>
                <w:szCs w:val="22"/>
              </w:rPr>
            </w:pPr>
            <w:r w:rsidRPr="007F471E">
              <w:rPr>
                <w:rFonts w:cs="Arial"/>
                <w:b/>
                <w:szCs w:val="22"/>
              </w:rPr>
              <w:t>${</w:t>
            </w:r>
            <w:proofErr w:type="spellStart"/>
            <w:r w:rsidRPr="007F471E">
              <w:rPr>
                <w:rFonts w:cs="Arial"/>
                <w:b/>
                <w:szCs w:val="22"/>
              </w:rPr>
              <w:t>gba</w:t>
            </w:r>
            <w:proofErr w:type="spellEnd"/>
            <w:r w:rsidRPr="007F471E">
              <w:rPr>
                <w:rFonts w:cs="Arial"/>
                <w:b/>
                <w:szCs w:val="22"/>
              </w:rPr>
              <w:t>}</w:t>
            </w:r>
          </w:p>
        </w:tc>
        <w:tc>
          <w:tcPr>
            <w:tcW w:w="1575" w:type="dxa"/>
            <w:tcBorders>
              <w:top w:val="single" w:sz="6" w:space="0" w:color="auto"/>
              <w:left w:val="nil"/>
              <w:bottom w:val="double" w:sz="4" w:space="0" w:color="auto"/>
            </w:tcBorders>
            <w:shd w:val="clear" w:color="auto" w:fill="FFFFFF"/>
            <w:vAlign w:val="bottom"/>
          </w:tcPr>
          <w:p w14:paraId="23CEBFE7" w14:textId="2C353CFB" w:rsidR="001438F6" w:rsidRPr="007F471E" w:rsidRDefault="007F471E" w:rsidP="00165AF9">
            <w:pPr>
              <w:tabs>
                <w:tab w:val="left" w:pos="0"/>
                <w:tab w:val="left" w:pos="259"/>
                <w:tab w:val="left" w:pos="3600"/>
                <w:tab w:val="right" w:pos="7879"/>
              </w:tabs>
              <w:spacing w:line="320" w:lineRule="exact"/>
              <w:jc w:val="center"/>
              <w:rPr>
                <w:rFonts w:cs="Arial"/>
                <w:b/>
                <w:szCs w:val="22"/>
              </w:rPr>
            </w:pPr>
            <w:r w:rsidRPr="007F471E">
              <w:rPr>
                <w:rFonts w:cs="Arial"/>
                <w:b/>
                <w:szCs w:val="22"/>
              </w:rPr>
              <w:t>${</w:t>
            </w:r>
            <w:proofErr w:type="spellStart"/>
            <w:r w:rsidRPr="007F471E">
              <w:rPr>
                <w:rFonts w:cs="Arial"/>
                <w:b/>
                <w:szCs w:val="22"/>
              </w:rPr>
              <w:t>nra</w:t>
            </w:r>
            <w:proofErr w:type="spellEnd"/>
            <w:r w:rsidRPr="007F471E">
              <w:rPr>
                <w:rFonts w:cs="Arial"/>
                <w:b/>
                <w:szCs w:val="22"/>
              </w:rPr>
              <w:t>}</w:t>
            </w:r>
          </w:p>
        </w:tc>
      </w:tr>
      <w:tr w:rsidR="001438F6" w:rsidRPr="00F60663" w14:paraId="53167414" w14:textId="77777777" w:rsidTr="00165AF9">
        <w:tc>
          <w:tcPr>
            <w:tcW w:w="3438" w:type="dxa"/>
            <w:tcBorders>
              <w:top w:val="single" w:sz="6" w:space="0" w:color="auto"/>
              <w:bottom w:val="double" w:sz="4" w:space="0" w:color="auto"/>
            </w:tcBorders>
            <w:shd w:val="clear" w:color="auto" w:fill="FFFFFF"/>
          </w:tcPr>
          <w:p w14:paraId="437B2EEC" w14:textId="77777777" w:rsidR="001438F6" w:rsidRDefault="001438F6" w:rsidP="00165AF9">
            <w:pPr>
              <w:tabs>
                <w:tab w:val="left" w:pos="0"/>
                <w:tab w:val="left" w:pos="259"/>
                <w:tab w:val="left" w:pos="3600"/>
                <w:tab w:val="right" w:pos="7879"/>
              </w:tabs>
              <w:spacing w:line="320" w:lineRule="exact"/>
              <w:rPr>
                <w:rFonts w:cs="Arial"/>
                <w:bCs/>
                <w:szCs w:val="22"/>
              </w:rPr>
            </w:pPr>
            <w:r>
              <w:rPr>
                <w:rFonts w:cs="Arial"/>
                <w:bCs/>
                <w:szCs w:val="22"/>
              </w:rPr>
              <w:t>Excluded from GBA:</w:t>
            </w:r>
          </w:p>
          <w:p w14:paraId="67C3F331" w14:textId="77777777" w:rsidR="001438F6" w:rsidRPr="00F60663" w:rsidRDefault="001438F6" w:rsidP="00165AF9">
            <w:pPr>
              <w:tabs>
                <w:tab w:val="left" w:pos="0"/>
                <w:tab w:val="left" w:pos="259"/>
                <w:tab w:val="left" w:pos="3600"/>
                <w:tab w:val="right" w:pos="7879"/>
              </w:tabs>
              <w:spacing w:line="320" w:lineRule="exact"/>
              <w:rPr>
                <w:rFonts w:cs="Arial"/>
                <w:bCs/>
                <w:szCs w:val="22"/>
              </w:rPr>
            </w:pPr>
            <w:r>
              <w:rPr>
                <w:rFonts w:cs="Arial"/>
                <w:bCs/>
                <w:szCs w:val="22"/>
              </w:rPr>
              <w:t xml:space="preserve"> - Drive-thru Island w/Canopy</w:t>
            </w:r>
          </w:p>
        </w:tc>
        <w:tc>
          <w:tcPr>
            <w:tcW w:w="1575" w:type="dxa"/>
            <w:tcBorders>
              <w:top w:val="single" w:sz="6" w:space="0" w:color="auto"/>
              <w:left w:val="single" w:sz="6" w:space="0" w:color="auto"/>
              <w:bottom w:val="double" w:sz="4" w:space="0" w:color="auto"/>
              <w:right w:val="single" w:sz="6" w:space="0" w:color="auto"/>
            </w:tcBorders>
            <w:shd w:val="clear" w:color="auto" w:fill="FFFFFF"/>
          </w:tcPr>
          <w:p w14:paraId="6355885F" w14:textId="77777777" w:rsidR="001438F6" w:rsidRPr="001438F6" w:rsidRDefault="001438F6" w:rsidP="00165AF9">
            <w:pPr>
              <w:tabs>
                <w:tab w:val="left" w:pos="0"/>
                <w:tab w:val="left" w:pos="259"/>
                <w:tab w:val="left" w:pos="3600"/>
                <w:tab w:val="right" w:pos="7879"/>
              </w:tabs>
              <w:spacing w:line="320" w:lineRule="exact"/>
              <w:jc w:val="center"/>
              <w:rPr>
                <w:rFonts w:cs="Arial"/>
                <w:szCs w:val="22"/>
                <w:highlight w:val="yellow"/>
              </w:rPr>
            </w:pPr>
          </w:p>
          <w:p w14:paraId="635DA217" w14:textId="77777777" w:rsidR="001438F6" w:rsidRPr="001438F6" w:rsidRDefault="001438F6" w:rsidP="00165AF9">
            <w:pPr>
              <w:tabs>
                <w:tab w:val="left" w:pos="0"/>
                <w:tab w:val="left" w:pos="259"/>
                <w:tab w:val="left" w:pos="3600"/>
                <w:tab w:val="right" w:pos="7879"/>
              </w:tabs>
              <w:spacing w:line="320" w:lineRule="exact"/>
              <w:jc w:val="center"/>
              <w:rPr>
                <w:rFonts w:cs="Arial"/>
                <w:szCs w:val="22"/>
                <w:highlight w:val="yellow"/>
              </w:rPr>
            </w:pPr>
            <w:r w:rsidRPr="001438F6">
              <w:rPr>
                <w:rFonts w:cs="Arial"/>
                <w:szCs w:val="22"/>
                <w:highlight w:val="yellow"/>
              </w:rPr>
              <w:t>1,050 SF</w:t>
            </w:r>
          </w:p>
        </w:tc>
        <w:tc>
          <w:tcPr>
            <w:tcW w:w="1575" w:type="dxa"/>
            <w:tcBorders>
              <w:top w:val="single" w:sz="6" w:space="0" w:color="auto"/>
              <w:left w:val="nil"/>
              <w:bottom w:val="double" w:sz="4" w:space="0" w:color="auto"/>
            </w:tcBorders>
            <w:shd w:val="clear" w:color="auto" w:fill="FFFFFF"/>
          </w:tcPr>
          <w:p w14:paraId="1A2036AE" w14:textId="77777777" w:rsidR="001438F6" w:rsidRPr="001438F6" w:rsidRDefault="001438F6" w:rsidP="00165AF9">
            <w:pPr>
              <w:tabs>
                <w:tab w:val="left" w:pos="0"/>
                <w:tab w:val="left" w:pos="259"/>
                <w:tab w:val="left" w:pos="3600"/>
                <w:tab w:val="right" w:pos="7879"/>
              </w:tabs>
              <w:spacing w:line="320" w:lineRule="exact"/>
              <w:jc w:val="center"/>
              <w:rPr>
                <w:rFonts w:cs="Arial"/>
                <w:szCs w:val="22"/>
                <w:highlight w:val="yellow"/>
              </w:rPr>
            </w:pPr>
          </w:p>
          <w:p w14:paraId="60DE8162" w14:textId="77777777" w:rsidR="001438F6" w:rsidRPr="001438F6" w:rsidRDefault="001438F6" w:rsidP="00165AF9">
            <w:pPr>
              <w:tabs>
                <w:tab w:val="left" w:pos="0"/>
                <w:tab w:val="left" w:pos="259"/>
                <w:tab w:val="left" w:pos="3600"/>
                <w:tab w:val="right" w:pos="7879"/>
              </w:tabs>
              <w:spacing w:line="320" w:lineRule="exact"/>
              <w:jc w:val="center"/>
              <w:rPr>
                <w:rFonts w:cs="Arial"/>
                <w:szCs w:val="22"/>
                <w:highlight w:val="yellow"/>
              </w:rPr>
            </w:pPr>
            <w:r w:rsidRPr="001438F6">
              <w:rPr>
                <w:rFonts w:cs="Arial"/>
                <w:szCs w:val="22"/>
                <w:highlight w:val="yellow"/>
              </w:rPr>
              <w:t>1,050</w:t>
            </w:r>
          </w:p>
        </w:tc>
      </w:tr>
    </w:tbl>
    <w:p w14:paraId="1F6FF730" w14:textId="77777777" w:rsidR="001438F6" w:rsidRDefault="001438F6" w:rsidP="001438F6">
      <w:pPr>
        <w:widowControl w:val="0"/>
        <w:tabs>
          <w:tab w:val="left" w:pos="2880"/>
        </w:tabs>
        <w:ind w:left="2880" w:hanging="2880"/>
        <w:rPr>
          <w:rFonts w:cs="Arial"/>
          <w:szCs w:val="22"/>
        </w:rPr>
      </w:pPr>
    </w:p>
    <w:p w14:paraId="256AB0B3" w14:textId="166D990A" w:rsidR="001438F6" w:rsidRDefault="001438F6" w:rsidP="001438F6">
      <w:pPr>
        <w:widowControl w:val="0"/>
        <w:tabs>
          <w:tab w:val="left" w:pos="2880"/>
        </w:tabs>
        <w:ind w:left="2880" w:hanging="2880"/>
      </w:pPr>
      <w:r>
        <w:rPr>
          <w:rFonts w:cs="Arial"/>
          <w:szCs w:val="22"/>
        </w:rPr>
        <w:tab/>
      </w:r>
      <w:r>
        <w:t xml:space="preserve">The building area calculations are based on our physical inspection of the subject premises, augmented by the construction plans and appraiser sketch provided at the end of this subsection. </w:t>
      </w:r>
    </w:p>
    <w:p w14:paraId="090988B7" w14:textId="77777777" w:rsidR="001438F6" w:rsidRPr="00F34758" w:rsidRDefault="001438F6" w:rsidP="001438F6">
      <w:pPr>
        <w:tabs>
          <w:tab w:val="left" w:pos="2880"/>
        </w:tabs>
        <w:ind w:left="2880" w:hanging="2880"/>
        <w:rPr>
          <w:rFonts w:cs="Arial"/>
          <w:b/>
          <w:szCs w:val="22"/>
        </w:rPr>
      </w:pPr>
    </w:p>
    <w:p w14:paraId="4DCE851C" w14:textId="77777777" w:rsidR="001438F6" w:rsidRPr="00F60663" w:rsidRDefault="001438F6" w:rsidP="001438F6">
      <w:pPr>
        <w:tabs>
          <w:tab w:val="left" w:pos="2880"/>
        </w:tabs>
        <w:ind w:left="2880" w:hanging="2880"/>
      </w:pPr>
      <w:r>
        <w:rPr>
          <w:rFonts w:cs="Arial"/>
          <w:b/>
          <w:color w:val="1E4959"/>
          <w:szCs w:val="22"/>
        </w:rPr>
        <w:t>Site Layout</w:t>
      </w:r>
      <w:r w:rsidRPr="00F60663">
        <w:rPr>
          <w:rFonts w:cs="Arial"/>
          <w:b/>
          <w:color w:val="1E4959"/>
          <w:szCs w:val="22"/>
        </w:rPr>
        <w:t>:</w:t>
      </w:r>
      <w:r w:rsidRPr="00F60663">
        <w:rPr>
          <w:rFonts w:cs="Arial"/>
          <w:szCs w:val="22"/>
        </w:rPr>
        <w:tab/>
      </w:r>
      <w:r>
        <w:rPr>
          <w:rFonts w:cs="Arial"/>
          <w:szCs w:val="22"/>
        </w:rPr>
        <w:t>The bank branch is situated in the center of the site with the drive-thru canopy on the northeast and additional parking on the south side.</w:t>
      </w:r>
    </w:p>
    <w:p w14:paraId="06D55898" w14:textId="77777777" w:rsidR="001438F6" w:rsidRPr="00F34758" w:rsidRDefault="001438F6" w:rsidP="001438F6">
      <w:pPr>
        <w:tabs>
          <w:tab w:val="left" w:pos="2880"/>
        </w:tabs>
        <w:ind w:left="2880" w:hanging="2880"/>
        <w:rPr>
          <w:rFonts w:cs="Arial"/>
          <w:b/>
          <w:szCs w:val="22"/>
        </w:rPr>
      </w:pPr>
    </w:p>
    <w:p w14:paraId="41B47564" w14:textId="77777777" w:rsidR="001438F6" w:rsidRDefault="001438F6" w:rsidP="001438F6">
      <w:pPr>
        <w:tabs>
          <w:tab w:val="left" w:pos="2880"/>
        </w:tabs>
        <w:suppressAutoHyphens/>
        <w:ind w:left="2880" w:hanging="2880"/>
      </w:pPr>
      <w:r w:rsidRPr="00F60663">
        <w:rPr>
          <w:rFonts w:cs="Arial"/>
          <w:b/>
          <w:color w:val="1E4959"/>
          <w:szCs w:val="22"/>
        </w:rPr>
        <w:t>Interior Configuration:</w:t>
      </w:r>
      <w:r w:rsidRPr="00F60663">
        <w:rPr>
          <w:rFonts w:cs="Arial"/>
          <w:szCs w:val="22"/>
        </w:rPr>
        <w:tab/>
      </w:r>
      <w:r>
        <w:t>The generally rectangular building is located in the northwest corner of the site with the parking area on the south side of the building and the drive-thru lanes on the north side of the building.</w:t>
      </w:r>
    </w:p>
    <w:p w14:paraId="430863AE" w14:textId="77777777" w:rsidR="001438F6" w:rsidRPr="00A45503" w:rsidRDefault="001438F6" w:rsidP="001438F6">
      <w:pPr>
        <w:tabs>
          <w:tab w:val="left" w:pos="2880"/>
        </w:tabs>
        <w:suppressAutoHyphens/>
        <w:ind w:left="2880" w:hanging="2880"/>
        <w:rPr>
          <w:bCs/>
        </w:rPr>
      </w:pPr>
    </w:p>
    <w:p w14:paraId="33E4E8B2" w14:textId="77777777" w:rsidR="001438F6" w:rsidRPr="00F60663" w:rsidRDefault="001438F6" w:rsidP="001438F6">
      <w:pPr>
        <w:tabs>
          <w:tab w:val="left" w:pos="2880"/>
        </w:tabs>
        <w:ind w:left="2880" w:hanging="2880"/>
      </w:pPr>
      <w:r>
        <w:rPr>
          <w:b/>
          <w:bCs/>
        </w:rPr>
        <w:tab/>
      </w:r>
      <w:r>
        <w:t>The majority of the building is comprised of an open lobby area, cubicle offices and a 3-window teller line. A double-door, entry air lock provides the main access, with the remaining build-out consisting of a private manager’s office and conference room along the west wall. Also, on this wall is a short corridor that leads to the men's and women's restrooms, the lunchroom with kitchen and the janitor's closet / mechanical-electrical room. Along the north wall of the building is the teller line, drive-through window and the safe. The safe is divided into two rooms with the main vault and the cash room. Along the east wall is a storage room and telephone room, then a glass enclosed office and a three-sided office and finally, adjacent to the entry doors, there is a small room previously used for servicing the ATM machine, but now a storage room</w:t>
      </w:r>
      <w:r w:rsidRPr="00F60663">
        <w:t>.</w:t>
      </w:r>
    </w:p>
    <w:p w14:paraId="6FBFD060" w14:textId="77777777" w:rsidR="001438F6" w:rsidRPr="008F4A35" w:rsidRDefault="001438F6" w:rsidP="001438F6">
      <w:pPr>
        <w:tabs>
          <w:tab w:val="left" w:pos="2880"/>
        </w:tabs>
        <w:ind w:left="2880" w:hanging="2880"/>
        <w:rPr>
          <w:rFonts w:cs="Arial"/>
          <w:b/>
          <w:szCs w:val="22"/>
        </w:rPr>
      </w:pPr>
    </w:p>
    <w:p w14:paraId="2CA9D94E" w14:textId="77777777" w:rsidR="001438F6" w:rsidRPr="00F34758" w:rsidRDefault="001438F6" w:rsidP="001438F6">
      <w:pPr>
        <w:tabs>
          <w:tab w:val="left" w:pos="2880"/>
        </w:tabs>
        <w:ind w:left="2880" w:hanging="2880"/>
        <w:rPr>
          <w:rFonts w:cs="Arial"/>
          <w:szCs w:val="22"/>
        </w:rPr>
      </w:pPr>
      <w:r w:rsidRPr="008F4A35">
        <w:rPr>
          <w:rFonts w:cs="Arial"/>
          <w:b/>
          <w:color w:val="1E4959"/>
          <w:szCs w:val="22"/>
        </w:rPr>
        <w:t>Exterior Finish:</w:t>
      </w:r>
      <w:r w:rsidRPr="008F4A35">
        <w:rPr>
          <w:rFonts w:cs="Arial"/>
          <w:szCs w:val="22"/>
        </w:rPr>
        <w:tab/>
      </w:r>
      <w:r>
        <w:t xml:space="preserve">Wood-frame construction covered with brick veneer / dryvit and aggregate stone wainscoting. The roof has a multi-slope design assumed supported by wood trusses with concrete shingles. The main entrance to </w:t>
      </w:r>
      <w:r>
        <w:lastRenderedPageBreak/>
        <w:t xml:space="preserve">the building is inset into the southeast corner of the building and leads into an air lock </w:t>
      </w:r>
      <w:r w:rsidRPr="0073338E">
        <w:t>(11’ x 7’)</w:t>
      </w:r>
      <w:r>
        <w:t xml:space="preserve"> with a double set of double metal-frame, glass doors. Other exterior doors are solid core metal. Windows are tinted thermo-pane. Reinforced concrete slab on spread footings.</w:t>
      </w:r>
    </w:p>
    <w:p w14:paraId="0B024481" w14:textId="77777777" w:rsidR="001438F6" w:rsidRPr="00356258" w:rsidRDefault="001438F6" w:rsidP="001438F6">
      <w:pPr>
        <w:tabs>
          <w:tab w:val="left" w:pos="2880"/>
        </w:tabs>
        <w:ind w:left="2880" w:hanging="2880"/>
        <w:rPr>
          <w:rFonts w:cs="Arial"/>
          <w:bCs/>
          <w:szCs w:val="22"/>
        </w:rPr>
      </w:pPr>
    </w:p>
    <w:p w14:paraId="710AC10F" w14:textId="77777777" w:rsidR="001438F6" w:rsidRDefault="001438F6" w:rsidP="001438F6">
      <w:pPr>
        <w:widowControl w:val="0"/>
        <w:tabs>
          <w:tab w:val="left" w:pos="2880"/>
        </w:tabs>
        <w:ind w:left="2880" w:hanging="2880"/>
      </w:pPr>
      <w:r w:rsidRPr="00F34758">
        <w:rPr>
          <w:rFonts w:cs="Arial"/>
          <w:b/>
          <w:color w:val="1E4959"/>
          <w:szCs w:val="22"/>
        </w:rPr>
        <w:t>Interior Finish:</w:t>
      </w:r>
      <w:r w:rsidRPr="00F34758">
        <w:rPr>
          <w:rFonts w:cs="Arial"/>
          <w:szCs w:val="22"/>
        </w:rPr>
        <w:tab/>
      </w:r>
      <w:r>
        <w:t>Flooring is generally commercial grade carpeting in the lobby and office areas with sheet vinyl in the restroom, supply room, storage areas and in front of the kitchen counter. Tile entry and walkway from the entrance to the end of the teller line. Walls are all painted textured drywall except for the restrooms which have vinyl wallpaper. Ceilings are drop acoustic tile with flush parabolic fluorescent fixtures in most areas, except for the main lobby which has vaulted ceilings to the roof. Ceiling height is 10 to 18 feet in the lobby and 8.5 feet in the office areas. HVAC consists of gas fired heat and electric air conditioning units mounted on the roof.</w:t>
      </w:r>
    </w:p>
    <w:p w14:paraId="449D3F21" w14:textId="77777777" w:rsidR="001438F6" w:rsidRDefault="001438F6" w:rsidP="001438F6"/>
    <w:p w14:paraId="5F8BB75E" w14:textId="77777777" w:rsidR="001438F6" w:rsidRDefault="001438F6" w:rsidP="001438F6">
      <w:pPr>
        <w:tabs>
          <w:tab w:val="left" w:pos="2880"/>
        </w:tabs>
        <w:ind w:left="2880" w:hanging="2880"/>
      </w:pPr>
      <w:r>
        <w:tab/>
        <w:t>Plumbing consists of men's and women's restrooms with both having one sink and two toilets, although one of the men's room toilets is a urinal. The break room has a sink and the janitor's closet has a floor sink.</w:t>
      </w:r>
    </w:p>
    <w:p w14:paraId="0E067DF3" w14:textId="77777777" w:rsidR="001438F6" w:rsidRPr="00356258" w:rsidRDefault="001438F6" w:rsidP="001438F6">
      <w:pPr>
        <w:tabs>
          <w:tab w:val="left" w:pos="2880"/>
        </w:tabs>
        <w:ind w:left="2880" w:hanging="2880"/>
        <w:rPr>
          <w:rFonts w:cs="Arial"/>
          <w:bCs/>
          <w:color w:val="1E4959"/>
          <w:szCs w:val="22"/>
        </w:rPr>
      </w:pPr>
    </w:p>
    <w:p w14:paraId="2A1A7CDD" w14:textId="77777777" w:rsidR="001438F6" w:rsidRDefault="001438F6" w:rsidP="001438F6">
      <w:pPr>
        <w:tabs>
          <w:tab w:val="left" w:pos="2880"/>
        </w:tabs>
        <w:ind w:left="2880" w:hanging="2880"/>
        <w:rPr>
          <w:rFonts w:cs="Arial"/>
          <w:szCs w:val="22"/>
        </w:rPr>
      </w:pPr>
      <w:r>
        <w:rPr>
          <w:rFonts w:cs="Arial"/>
          <w:b/>
          <w:color w:val="1E4959"/>
          <w:szCs w:val="22"/>
        </w:rPr>
        <w:t>Special Features</w:t>
      </w:r>
      <w:r w:rsidRPr="008F4A35">
        <w:rPr>
          <w:rFonts w:cs="Arial"/>
          <w:b/>
          <w:color w:val="1E4959"/>
          <w:szCs w:val="22"/>
        </w:rPr>
        <w:t>:</w:t>
      </w:r>
      <w:r w:rsidRPr="008F4A35">
        <w:rPr>
          <w:rFonts w:cs="Arial"/>
          <w:szCs w:val="22"/>
        </w:rPr>
        <w:tab/>
      </w:r>
      <w:r>
        <w:t>Bank fixtures include a secure vault with steel door and timed lock, a three station tellers’ row/line, and three covered drive-through lanes with a vacuum tube system. Note that the equipment is not included in this appraisal</w:t>
      </w:r>
    </w:p>
    <w:p w14:paraId="5534FCDB" w14:textId="77777777" w:rsidR="001438F6" w:rsidRPr="00F34758" w:rsidRDefault="001438F6" w:rsidP="001438F6">
      <w:pPr>
        <w:tabs>
          <w:tab w:val="left" w:pos="2880"/>
        </w:tabs>
        <w:ind w:left="2880" w:hanging="2880"/>
        <w:rPr>
          <w:rFonts w:cs="Arial"/>
          <w:szCs w:val="22"/>
        </w:rPr>
      </w:pPr>
    </w:p>
    <w:p w14:paraId="6CD53DD7" w14:textId="77777777" w:rsidR="001438F6" w:rsidRPr="008F4A35" w:rsidRDefault="001438F6" w:rsidP="001438F6">
      <w:pPr>
        <w:tabs>
          <w:tab w:val="left" w:pos="2880"/>
        </w:tabs>
        <w:ind w:left="2880" w:hanging="2880"/>
        <w:rPr>
          <w:rFonts w:cs="Arial"/>
          <w:b/>
          <w:color w:val="1E4959"/>
          <w:szCs w:val="22"/>
        </w:rPr>
      </w:pPr>
      <w:r w:rsidRPr="008F4A35">
        <w:rPr>
          <w:rFonts w:cs="Arial"/>
          <w:b/>
          <w:color w:val="1E4959"/>
          <w:szCs w:val="22"/>
        </w:rPr>
        <w:t>Site Improvements</w:t>
      </w:r>
    </w:p>
    <w:p w14:paraId="4BB24A9B" w14:textId="77777777" w:rsidR="001438F6" w:rsidRDefault="001438F6" w:rsidP="001438F6">
      <w:pPr>
        <w:widowControl w:val="0"/>
        <w:tabs>
          <w:tab w:val="left" w:pos="2880"/>
        </w:tabs>
        <w:ind w:left="2880" w:hanging="2880"/>
      </w:pPr>
      <w:r w:rsidRPr="008F4A35">
        <w:rPr>
          <w:rFonts w:cs="Arial"/>
          <w:b/>
          <w:color w:val="1E4959"/>
          <w:szCs w:val="22"/>
        </w:rPr>
        <w:t xml:space="preserve">  and Landscaping:</w:t>
      </w:r>
      <w:r w:rsidRPr="008F4A35">
        <w:rPr>
          <w:rFonts w:cs="Arial"/>
          <w:szCs w:val="22"/>
        </w:rPr>
        <w:tab/>
      </w:r>
      <w:r>
        <w:t xml:space="preserve">An asphalt paved parking area is located on the south side of the property, with a driveway around the building to the drive-through window on the north side of the building. The driveway is one-way with traffic flow in a counterclockwise direction. The parking improvements are in good condition.  </w:t>
      </w:r>
    </w:p>
    <w:p w14:paraId="11E4EC8F" w14:textId="77777777" w:rsidR="001438F6" w:rsidRPr="00EC022E" w:rsidRDefault="001438F6" w:rsidP="001438F6">
      <w:pPr>
        <w:widowControl w:val="0"/>
        <w:tabs>
          <w:tab w:val="left" w:pos="2880"/>
        </w:tabs>
        <w:ind w:left="2880" w:hanging="2880"/>
      </w:pPr>
    </w:p>
    <w:p w14:paraId="1653F208" w14:textId="77777777" w:rsidR="001438F6" w:rsidRDefault="001438F6" w:rsidP="001438F6">
      <w:pPr>
        <w:widowControl w:val="0"/>
        <w:tabs>
          <w:tab w:val="left" w:pos="2880"/>
        </w:tabs>
        <w:ind w:left="2880" w:hanging="2880"/>
      </w:pPr>
      <w:r w:rsidRPr="00F113AA">
        <w:tab/>
        <w:t>The subject includes extensive good quality landscaping (ground cover, deciduous / coniferous trees and shrubbery, with an automatic irrigation system) surrounding the building improvements, along the street</w:t>
      </w:r>
      <w:r>
        <w:t xml:space="preserve"> frontages, and within the parking areas</w:t>
      </w:r>
      <w:r w:rsidRPr="00B84CD7">
        <w:t>.</w:t>
      </w:r>
    </w:p>
    <w:p w14:paraId="2D78ECB5" w14:textId="77777777" w:rsidR="001438F6" w:rsidRPr="00B84CD7" w:rsidRDefault="001438F6" w:rsidP="001438F6">
      <w:pPr>
        <w:widowControl w:val="0"/>
        <w:tabs>
          <w:tab w:val="left" w:pos="2880"/>
        </w:tabs>
        <w:ind w:left="2880" w:hanging="2880"/>
        <w:rPr>
          <w:rFonts w:cs="Arial"/>
          <w:szCs w:val="22"/>
        </w:rPr>
      </w:pPr>
    </w:p>
    <w:p w14:paraId="131DA064" w14:textId="77777777" w:rsidR="001438F6" w:rsidRPr="00B84CD7" w:rsidRDefault="001438F6" w:rsidP="001438F6">
      <w:pPr>
        <w:tabs>
          <w:tab w:val="left" w:pos="2880"/>
        </w:tabs>
        <w:ind w:left="2880" w:hanging="2880"/>
        <w:rPr>
          <w:rFonts w:cs="Arial"/>
          <w:b/>
          <w:color w:val="1E4959"/>
          <w:szCs w:val="22"/>
        </w:rPr>
      </w:pPr>
      <w:r w:rsidRPr="00B84CD7">
        <w:rPr>
          <w:rFonts w:cs="Arial"/>
          <w:b/>
          <w:color w:val="1E4959"/>
          <w:szCs w:val="22"/>
        </w:rPr>
        <w:t>Interior and</w:t>
      </w:r>
    </w:p>
    <w:p w14:paraId="729EDE7D" w14:textId="77777777" w:rsidR="001438F6" w:rsidRPr="00BB4777" w:rsidRDefault="001438F6" w:rsidP="001438F6">
      <w:pPr>
        <w:tabs>
          <w:tab w:val="left" w:pos="2880"/>
        </w:tabs>
        <w:ind w:left="2880" w:hanging="2880"/>
        <w:rPr>
          <w:rFonts w:cs="Arial"/>
          <w:szCs w:val="22"/>
        </w:rPr>
      </w:pPr>
      <w:r w:rsidRPr="00B84CD7">
        <w:rPr>
          <w:rFonts w:cs="Arial"/>
          <w:b/>
          <w:color w:val="1E4959"/>
          <w:szCs w:val="22"/>
        </w:rPr>
        <w:t xml:space="preserve">  </w:t>
      </w:r>
      <w:r w:rsidRPr="00BB4777">
        <w:rPr>
          <w:rFonts w:cs="Arial"/>
          <w:b/>
          <w:color w:val="1E4959"/>
          <w:szCs w:val="22"/>
        </w:rPr>
        <w:t>Exterior Condition:</w:t>
      </w:r>
      <w:r w:rsidRPr="00BB4777">
        <w:rPr>
          <w:rFonts w:cs="Arial"/>
          <w:szCs w:val="22"/>
        </w:rPr>
        <w:tab/>
      </w:r>
      <w:r>
        <w:t xml:space="preserve">Overall, the subject building is in generally good well-maintained condition. The landscaping is in excellent condition, in part due to its location within </w:t>
      </w:r>
      <w:proofErr w:type="spellStart"/>
      <w:r>
        <w:t>Amberglen</w:t>
      </w:r>
      <w:proofErr w:type="spellEnd"/>
      <w:r>
        <w:t xml:space="preserve"> which takes care of all landscaping between the building and the sidewalk</w:t>
      </w:r>
      <w:r w:rsidRPr="00BB4777">
        <w:t>.</w:t>
      </w:r>
    </w:p>
    <w:p w14:paraId="53CA4A29" w14:textId="77777777" w:rsidR="001438F6" w:rsidRPr="00BB4777" w:rsidRDefault="001438F6" w:rsidP="001438F6">
      <w:pPr>
        <w:tabs>
          <w:tab w:val="left" w:pos="2880"/>
        </w:tabs>
        <w:ind w:left="2880" w:hanging="2880"/>
        <w:rPr>
          <w:rFonts w:cs="Arial"/>
          <w:szCs w:val="22"/>
        </w:rPr>
      </w:pPr>
    </w:p>
    <w:p w14:paraId="128BDE57" w14:textId="53DDA92C" w:rsidR="001438F6" w:rsidRPr="00BB4777" w:rsidRDefault="001438F6" w:rsidP="001438F6">
      <w:pPr>
        <w:tabs>
          <w:tab w:val="left" w:pos="2880"/>
        </w:tabs>
        <w:ind w:left="2880" w:hanging="2880"/>
        <w:rPr>
          <w:rFonts w:cs="Arial"/>
          <w:szCs w:val="22"/>
        </w:rPr>
      </w:pPr>
      <w:r w:rsidRPr="00BB4777">
        <w:rPr>
          <w:rFonts w:cs="Arial"/>
          <w:b/>
          <w:color w:val="1E4959"/>
          <w:szCs w:val="22"/>
        </w:rPr>
        <w:t>Year Built</w:t>
      </w:r>
      <w:r>
        <w:rPr>
          <w:rFonts w:cs="Arial"/>
          <w:b/>
          <w:color w:val="1E4959"/>
          <w:szCs w:val="22"/>
        </w:rPr>
        <w:t xml:space="preserve"> (Remodeled)</w:t>
      </w:r>
      <w:r w:rsidRPr="00BB4777">
        <w:rPr>
          <w:rFonts w:cs="Arial"/>
          <w:b/>
          <w:color w:val="1E4959"/>
          <w:szCs w:val="22"/>
        </w:rPr>
        <w:t>:</w:t>
      </w:r>
      <w:r w:rsidRPr="00BB4777">
        <w:rPr>
          <w:rFonts w:cs="Arial"/>
          <w:szCs w:val="22"/>
        </w:rPr>
        <w:tab/>
      </w:r>
      <w:r w:rsidR="007F471E">
        <w:rPr>
          <w:rFonts w:cs="Arial"/>
          <w:szCs w:val="22"/>
        </w:rPr>
        <w:t>${</w:t>
      </w:r>
      <w:proofErr w:type="spellStart"/>
      <w:r w:rsidR="007F471E" w:rsidRPr="007F471E">
        <w:rPr>
          <w:rFonts w:cs="Arial"/>
          <w:szCs w:val="22"/>
        </w:rPr>
        <w:t>yearbuilt</w:t>
      </w:r>
      <w:proofErr w:type="spellEnd"/>
      <w:r w:rsidR="007F471E">
        <w:rPr>
          <w:rFonts w:cs="Arial"/>
          <w:szCs w:val="22"/>
        </w:rPr>
        <w:t>}</w:t>
      </w:r>
    </w:p>
    <w:p w14:paraId="1ADD621C" w14:textId="77777777" w:rsidR="001438F6" w:rsidRPr="00BB4777" w:rsidRDefault="001438F6" w:rsidP="001438F6">
      <w:pPr>
        <w:tabs>
          <w:tab w:val="left" w:pos="2880"/>
        </w:tabs>
        <w:ind w:left="2880" w:hanging="2880"/>
        <w:rPr>
          <w:rFonts w:cs="Arial"/>
          <w:szCs w:val="22"/>
        </w:rPr>
      </w:pPr>
    </w:p>
    <w:p w14:paraId="3A098FFC" w14:textId="77777777" w:rsidR="001438F6" w:rsidRPr="00F34758" w:rsidRDefault="001438F6" w:rsidP="001438F6">
      <w:pPr>
        <w:tabs>
          <w:tab w:val="left" w:pos="2880"/>
        </w:tabs>
        <w:ind w:left="2880" w:hanging="2880"/>
        <w:rPr>
          <w:rFonts w:cs="Arial"/>
          <w:szCs w:val="22"/>
          <w:u w:val="single"/>
        </w:rPr>
      </w:pPr>
      <w:r w:rsidRPr="00DD30BA">
        <w:rPr>
          <w:rFonts w:cs="Arial"/>
          <w:b/>
          <w:color w:val="1E4959"/>
          <w:szCs w:val="22"/>
        </w:rPr>
        <w:t>Actual age/Effective Age:</w:t>
      </w:r>
      <w:r w:rsidRPr="00DD30BA">
        <w:rPr>
          <w:rFonts w:cs="Arial"/>
          <w:szCs w:val="22"/>
        </w:rPr>
        <w:tab/>
      </w:r>
      <w:r w:rsidRPr="001438F6">
        <w:rPr>
          <w:rFonts w:cs="Arial"/>
          <w:szCs w:val="22"/>
          <w:highlight w:val="yellow"/>
        </w:rPr>
        <w:t>24 years / Effective age estimated at 15 years, with remaining economic life estimated at ±35 years with regular maintenance</w:t>
      </w:r>
      <w:r w:rsidRPr="00DD30BA">
        <w:rPr>
          <w:rFonts w:cs="Arial"/>
          <w:szCs w:val="22"/>
        </w:rPr>
        <w:t>.</w:t>
      </w:r>
      <w:r w:rsidRPr="008F4A35">
        <w:rPr>
          <w:rFonts w:cs="Arial"/>
          <w:szCs w:val="22"/>
        </w:rPr>
        <w:t xml:space="preserve"> </w:t>
      </w:r>
    </w:p>
    <w:p w14:paraId="1BE578C9" w14:textId="77777777" w:rsidR="001438F6" w:rsidRPr="008F4A35" w:rsidRDefault="001438F6" w:rsidP="001438F6">
      <w:pPr>
        <w:tabs>
          <w:tab w:val="left" w:pos="2880"/>
        </w:tabs>
        <w:ind w:left="2880" w:hanging="2880"/>
        <w:rPr>
          <w:rFonts w:cs="Arial"/>
          <w:szCs w:val="22"/>
        </w:rPr>
      </w:pPr>
    </w:p>
    <w:p w14:paraId="4D578060" w14:textId="3DA170E3" w:rsidR="001438F6" w:rsidRPr="008F4A35" w:rsidRDefault="001438F6" w:rsidP="001438F6">
      <w:pPr>
        <w:tabs>
          <w:tab w:val="left" w:pos="2880"/>
        </w:tabs>
        <w:ind w:left="2880" w:hanging="2880"/>
        <w:rPr>
          <w:rFonts w:cs="Arial"/>
          <w:szCs w:val="22"/>
        </w:rPr>
      </w:pPr>
      <w:r w:rsidRPr="008F4A35">
        <w:rPr>
          <w:rFonts w:cs="Arial"/>
          <w:b/>
          <w:color w:val="1E4959"/>
          <w:szCs w:val="22"/>
        </w:rPr>
        <w:lastRenderedPageBreak/>
        <w:t>Land-to-Bldg. Ratio:</w:t>
      </w:r>
      <w:r w:rsidRPr="008F4A35">
        <w:rPr>
          <w:rFonts w:cs="Arial"/>
          <w:szCs w:val="22"/>
        </w:rPr>
        <w:tab/>
      </w:r>
      <w:r w:rsidR="00165AF9">
        <w:t>${</w:t>
      </w:r>
      <w:proofErr w:type="spellStart"/>
      <w:r w:rsidR="00165AF9" w:rsidRPr="00165AF9">
        <w:t>landprim</w:t>
      </w:r>
      <w:proofErr w:type="spellEnd"/>
      <w:r w:rsidR="00165AF9">
        <w:t>}</w:t>
      </w:r>
      <w:r w:rsidRPr="007F471E">
        <w:t xml:space="preserve"> to 1</w:t>
      </w:r>
      <w:r w:rsidRPr="0073338E">
        <w:t xml:space="preserve"> (</w:t>
      </w:r>
      <w:r w:rsidR="00165AF9">
        <w:t>${</w:t>
      </w:r>
      <w:proofErr w:type="spellStart"/>
      <w:r w:rsidR="00165AF9" w:rsidRPr="00165AF9">
        <w:t>primsf</w:t>
      </w:r>
      <w:proofErr w:type="spellEnd"/>
      <w:r w:rsidR="00165AF9">
        <w:t>}</w:t>
      </w:r>
      <w:r w:rsidRPr="0073338E">
        <w:t xml:space="preserve"> SF Site Area </w:t>
      </w:r>
      <w:r w:rsidRPr="0073338E">
        <w:sym w:font="Courier New" w:char="00F7"/>
      </w:r>
      <w:r w:rsidRPr="0073338E">
        <w:t xml:space="preserve"> </w:t>
      </w:r>
      <w:r w:rsidR="00165AF9">
        <w:t>${</w:t>
      </w:r>
      <w:proofErr w:type="spellStart"/>
      <w:r w:rsidR="00165AF9">
        <w:t>gba</w:t>
      </w:r>
      <w:proofErr w:type="spellEnd"/>
      <w:r w:rsidR="00165AF9">
        <w:t>}</w:t>
      </w:r>
      <w:r w:rsidRPr="0073338E">
        <w:t xml:space="preserve"> SF GBA</w:t>
      </w:r>
      <w:r w:rsidRPr="00514064">
        <w:rPr>
          <w:rFonts w:cs="Arial"/>
          <w:szCs w:val="22"/>
        </w:rPr>
        <w:t>)</w:t>
      </w:r>
    </w:p>
    <w:p w14:paraId="30E4B60C" w14:textId="77777777" w:rsidR="001438F6" w:rsidRPr="008F4A35" w:rsidRDefault="001438F6" w:rsidP="001438F6">
      <w:pPr>
        <w:tabs>
          <w:tab w:val="left" w:pos="2880"/>
        </w:tabs>
        <w:ind w:left="2880" w:hanging="2880"/>
        <w:rPr>
          <w:rFonts w:cs="Arial"/>
          <w:szCs w:val="22"/>
        </w:rPr>
      </w:pPr>
    </w:p>
    <w:p w14:paraId="5128B5A9" w14:textId="325EF8CC" w:rsidR="001438F6" w:rsidRPr="008F4A35" w:rsidRDefault="001438F6" w:rsidP="001438F6">
      <w:pPr>
        <w:tabs>
          <w:tab w:val="left" w:pos="2880"/>
        </w:tabs>
        <w:ind w:left="2880" w:hanging="2880"/>
        <w:rPr>
          <w:rFonts w:cs="Arial"/>
          <w:szCs w:val="22"/>
        </w:rPr>
      </w:pPr>
      <w:r w:rsidRPr="008F4A35">
        <w:rPr>
          <w:rFonts w:cs="Arial"/>
          <w:b/>
          <w:color w:val="1E4959"/>
          <w:szCs w:val="22"/>
        </w:rPr>
        <w:t>Site Coverage Ratio:</w:t>
      </w:r>
      <w:r w:rsidRPr="008F4A35">
        <w:rPr>
          <w:rFonts w:cs="Arial"/>
          <w:szCs w:val="22"/>
        </w:rPr>
        <w:tab/>
      </w:r>
      <w:r w:rsidR="00053723">
        <w:t>${</w:t>
      </w:r>
      <w:proofErr w:type="spellStart"/>
      <w:r w:rsidR="00053723" w:rsidRPr="00053723">
        <w:t>siteprim</w:t>
      </w:r>
      <w:proofErr w:type="spellEnd"/>
      <w:r w:rsidR="00053723">
        <w:t>}</w:t>
      </w:r>
      <w:r w:rsidRPr="0073338E">
        <w:t xml:space="preserve"> (</w:t>
      </w:r>
      <w:r w:rsidR="00165AF9">
        <w:t>${</w:t>
      </w:r>
      <w:r w:rsidR="00165AF9" w:rsidRPr="00165AF9">
        <w:t>footprint</w:t>
      </w:r>
      <w:r w:rsidR="00165AF9">
        <w:t>}</w:t>
      </w:r>
      <w:r w:rsidRPr="0073338E">
        <w:t xml:space="preserve"> SF Footprint </w:t>
      </w:r>
      <w:r w:rsidRPr="0073338E">
        <w:sym w:font="Courier New" w:char="00F7"/>
      </w:r>
      <w:r w:rsidRPr="0073338E">
        <w:t xml:space="preserve">  </w:t>
      </w:r>
      <w:r w:rsidR="00165AF9">
        <w:t>${</w:t>
      </w:r>
      <w:proofErr w:type="spellStart"/>
      <w:r w:rsidR="00165AF9" w:rsidRPr="00165AF9">
        <w:t>primsf</w:t>
      </w:r>
      <w:proofErr w:type="spellEnd"/>
      <w:r w:rsidR="00165AF9">
        <w:t>}</w:t>
      </w:r>
      <w:r w:rsidRPr="0073338E">
        <w:t xml:space="preserve"> SF Site Area</w:t>
      </w:r>
      <w:r w:rsidRPr="008F4A35">
        <w:rPr>
          <w:rFonts w:cs="Arial"/>
          <w:szCs w:val="22"/>
        </w:rPr>
        <w:t>)</w:t>
      </w:r>
    </w:p>
    <w:p w14:paraId="21CE034A" w14:textId="77777777" w:rsidR="001438F6" w:rsidRPr="008F4A35" w:rsidRDefault="001438F6" w:rsidP="001438F6">
      <w:pPr>
        <w:tabs>
          <w:tab w:val="left" w:pos="2880"/>
        </w:tabs>
        <w:ind w:left="2880" w:hanging="2880"/>
        <w:rPr>
          <w:rFonts w:cs="Arial"/>
          <w:szCs w:val="22"/>
        </w:rPr>
      </w:pPr>
    </w:p>
    <w:p w14:paraId="77610120" w14:textId="79151007" w:rsidR="001438F6" w:rsidRPr="008F4A35" w:rsidRDefault="001438F6" w:rsidP="001438F6">
      <w:pPr>
        <w:tabs>
          <w:tab w:val="left" w:pos="2880"/>
        </w:tabs>
        <w:ind w:left="2880" w:hanging="2880"/>
        <w:rPr>
          <w:rFonts w:cs="Arial"/>
          <w:szCs w:val="22"/>
        </w:rPr>
      </w:pPr>
      <w:r w:rsidRPr="008F4A35">
        <w:rPr>
          <w:rFonts w:cs="Arial"/>
          <w:b/>
          <w:color w:val="1E4959"/>
          <w:szCs w:val="22"/>
        </w:rPr>
        <w:t>Parking:</w:t>
      </w:r>
      <w:r w:rsidRPr="008F4A35">
        <w:rPr>
          <w:rFonts w:cs="Arial"/>
          <w:szCs w:val="22"/>
        </w:rPr>
        <w:tab/>
      </w:r>
      <w:r>
        <w:t xml:space="preserve">The subject has a total of </w:t>
      </w:r>
      <w:r w:rsidR="00053723">
        <w:t>${</w:t>
      </w:r>
      <w:proofErr w:type="spellStart"/>
      <w:r w:rsidR="00053723" w:rsidRPr="00053723">
        <w:t>pspaces</w:t>
      </w:r>
      <w:proofErr w:type="spellEnd"/>
      <w:r w:rsidR="00053723">
        <w:t>}</w:t>
      </w:r>
      <w:r>
        <w:t xml:space="preserve"> parking spaces. Based on the subject’s 5,286 SF of GLA</w:t>
      </w:r>
      <w:r>
        <w:rPr>
          <w:i/>
        </w:rPr>
        <w:t>,</w:t>
      </w:r>
      <w:r>
        <w:t xml:space="preserve"> this equates to a parking ratio of </w:t>
      </w:r>
      <w:r w:rsidR="00053723">
        <w:t>${</w:t>
      </w:r>
      <w:r w:rsidR="00053723" w:rsidRPr="00053723">
        <w:t>pratio</w:t>
      </w:r>
      <w:r w:rsidR="00053723">
        <w:t>}</w:t>
      </w:r>
      <w:r>
        <w:t>, which falls within the typical market standard of 4.0 to 6.0 spaces per 1,000 SF for newer financial services properties.</w:t>
      </w:r>
    </w:p>
    <w:p w14:paraId="5F752142" w14:textId="77777777" w:rsidR="001438F6" w:rsidRPr="008F4A35" w:rsidRDefault="001438F6" w:rsidP="001438F6">
      <w:pPr>
        <w:tabs>
          <w:tab w:val="left" w:pos="2880"/>
        </w:tabs>
        <w:ind w:left="2880" w:hanging="2880"/>
        <w:rPr>
          <w:rFonts w:cs="Arial"/>
          <w:szCs w:val="22"/>
        </w:rPr>
      </w:pPr>
    </w:p>
    <w:p w14:paraId="2B89CBE7" w14:textId="77777777" w:rsidR="001438F6" w:rsidRPr="00514064" w:rsidRDefault="001438F6" w:rsidP="001438F6">
      <w:pPr>
        <w:widowControl w:val="0"/>
        <w:tabs>
          <w:tab w:val="left" w:pos="2880"/>
        </w:tabs>
        <w:ind w:left="2880" w:hanging="2880"/>
      </w:pPr>
      <w:r w:rsidRPr="00643874">
        <w:rPr>
          <w:rFonts w:cs="Arial"/>
          <w:b/>
          <w:color w:val="1E4959"/>
          <w:szCs w:val="22"/>
        </w:rPr>
        <w:t>Utility:</w:t>
      </w:r>
      <w:r w:rsidRPr="00643874">
        <w:rPr>
          <w:rFonts w:cs="Arial"/>
          <w:szCs w:val="22"/>
        </w:rPr>
        <w:tab/>
      </w:r>
      <w:r>
        <w:t>The subject site has a good secondary corner location along a primary thoroughfare amid a newer, established commercial retail activity center that continues to experience incremental new development. Overall, the subject has good access and exposure. Thus, the subject has good functional utility in terms of size and available utilities for its existing financial services use</w:t>
      </w:r>
      <w:r w:rsidRPr="00514064">
        <w:t>.</w:t>
      </w:r>
    </w:p>
    <w:p w14:paraId="6060181C" w14:textId="77777777" w:rsidR="001438F6" w:rsidRPr="00514064" w:rsidRDefault="001438F6" w:rsidP="001438F6">
      <w:pPr>
        <w:widowControl w:val="0"/>
        <w:tabs>
          <w:tab w:val="left" w:pos="2880"/>
        </w:tabs>
        <w:ind w:left="2880" w:hanging="2880"/>
      </w:pPr>
    </w:p>
    <w:p w14:paraId="1CF7F3E8" w14:textId="6F54CA25" w:rsidR="00361B5E" w:rsidRDefault="00361B5E" w:rsidP="006028C1">
      <w:pPr>
        <w:tabs>
          <w:tab w:val="left" w:pos="2880"/>
        </w:tabs>
        <w:ind w:left="2880" w:hanging="2880"/>
        <w:rPr>
          <w:rFonts w:cs="Arial"/>
          <w:bCs/>
          <w:szCs w:val="22"/>
        </w:rPr>
      </w:pPr>
    </w:p>
    <w:p w14:paraId="4A9FA742" w14:textId="77777777" w:rsidR="006028C1" w:rsidRDefault="006028C1" w:rsidP="006028C1">
      <w:pPr>
        <w:tabs>
          <w:tab w:val="left" w:pos="2880"/>
        </w:tabs>
        <w:ind w:left="2880" w:hanging="2880"/>
        <w:rPr>
          <w:rFonts w:cs="Arial"/>
          <w:szCs w:val="22"/>
        </w:rPr>
        <w:sectPr w:rsidR="006028C1" w:rsidSect="00165AF9">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165AF9">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165AF9">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165AF9">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165AF9">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165AF9">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165AF9">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65AF9">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165AF9">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165AF9">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165AF9">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165AF9">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165AF9">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165AF9">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65AF9">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165AF9">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165AF9">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165AF9">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165AF9">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165AF9">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165AF9">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670AFFF2" w14:textId="77777777" w:rsidR="00A5618F" w:rsidRDefault="00A5618F" w:rsidP="00A5618F">
      <w:pPr>
        <w:tabs>
          <w:tab w:val="left" w:pos="2880"/>
        </w:tabs>
        <w:ind w:left="2880" w:hanging="2880"/>
        <w:rPr>
          <w:rFonts w:cs="Arial"/>
          <w:szCs w:val="22"/>
        </w:rPr>
        <w:sectPr w:rsidR="00A5618F" w:rsidSect="00165AF9">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5618F" w:rsidRPr="000754FA" w14:paraId="0E81EEC9" w14:textId="77777777" w:rsidTr="00165AF9">
        <w:trPr>
          <w:jc w:val="center"/>
        </w:trPr>
        <w:tc>
          <w:tcPr>
            <w:tcW w:w="9360" w:type="dxa"/>
            <w:tcBorders>
              <w:top w:val="nil"/>
              <w:left w:val="nil"/>
              <w:bottom w:val="single" w:sz="24" w:space="0" w:color="3FB44F"/>
              <w:right w:val="nil"/>
            </w:tcBorders>
            <w:shd w:val="clear" w:color="auto" w:fill="1E4959"/>
          </w:tcPr>
          <w:p w14:paraId="2C09C972" w14:textId="77777777" w:rsidR="00A5618F" w:rsidRPr="000754FA" w:rsidRDefault="00A5618F" w:rsidP="00165AF9">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5618F" w:rsidRPr="000754FA" w14:paraId="3A9C1EE4" w14:textId="77777777" w:rsidTr="00165AF9">
        <w:trPr>
          <w:trHeight w:hRule="exact" w:val="144"/>
          <w:jc w:val="center"/>
        </w:trPr>
        <w:tc>
          <w:tcPr>
            <w:tcW w:w="9360" w:type="dxa"/>
            <w:tcBorders>
              <w:top w:val="single" w:sz="24" w:space="0" w:color="3FB44F"/>
              <w:left w:val="nil"/>
              <w:bottom w:val="nil"/>
              <w:right w:val="nil"/>
            </w:tcBorders>
            <w:shd w:val="clear" w:color="auto" w:fill="auto"/>
          </w:tcPr>
          <w:p w14:paraId="29B25CBA" w14:textId="77777777" w:rsidR="00A5618F" w:rsidRPr="000754FA" w:rsidRDefault="00A5618F" w:rsidP="00165AF9">
            <w:pPr>
              <w:tabs>
                <w:tab w:val="left" w:pos="3960"/>
              </w:tabs>
              <w:spacing w:before="120" w:line="20" w:lineRule="atLeast"/>
              <w:jc w:val="center"/>
              <w:rPr>
                <w:rFonts w:cs="Arial"/>
                <w:b/>
                <w:smallCaps/>
                <w:color w:val="FFFFFF" w:themeColor="background1"/>
                <w:sz w:val="28"/>
                <w:szCs w:val="22"/>
              </w:rPr>
            </w:pPr>
          </w:p>
        </w:tc>
      </w:tr>
      <w:tr w:rsidR="00A5618F" w:rsidRPr="000754FA" w14:paraId="1E7574D4" w14:textId="77777777" w:rsidTr="00165AF9">
        <w:trPr>
          <w:trHeight w:hRule="exact" w:val="11808"/>
          <w:jc w:val="center"/>
        </w:trPr>
        <w:tc>
          <w:tcPr>
            <w:tcW w:w="9360" w:type="dxa"/>
            <w:tcBorders>
              <w:top w:val="nil"/>
              <w:left w:val="nil"/>
              <w:bottom w:val="nil"/>
              <w:right w:val="nil"/>
            </w:tcBorders>
            <w:shd w:val="clear" w:color="auto" w:fill="auto"/>
            <w:vAlign w:val="center"/>
          </w:tcPr>
          <w:p w14:paraId="1259EA12" w14:textId="77777777" w:rsidR="00A5618F" w:rsidRPr="000754FA" w:rsidRDefault="00A5618F" w:rsidP="00165AF9">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0FBD03" wp14:editId="45D2E751">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B22CC" w14:textId="77777777" w:rsidR="00165AF9" w:rsidRDefault="00165AF9">
      <w:r>
        <w:separator/>
      </w:r>
    </w:p>
  </w:endnote>
  <w:endnote w:type="continuationSeparator" w:id="0">
    <w:p w14:paraId="3837ED06" w14:textId="77777777" w:rsidR="00165AF9" w:rsidRDefault="0016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6E0E1313" w:rsidR="00165AF9" w:rsidRDefault="00165AF9"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w:t>
    </w:r>
    <w:r w:rsidRPr="0015609D">
      <w:rPr>
        <w:rFonts w:cs="Segoe UI"/>
        <w:bCs/>
        <w:iCs/>
        <w:kern w:val="0"/>
        <w:sz w:val="20"/>
        <w:szCs w:val="18"/>
      </w:rPr>
      <w:t>| ${</w:t>
    </w:r>
    <w:proofErr w:type="spellStart"/>
    <w:r w:rsidRPr="0015609D">
      <w:rPr>
        <w:rFonts w:cs="Segoe UI"/>
        <w:bCs/>
        <w:iCs/>
        <w:kern w:val="0"/>
        <w:sz w:val="20"/>
        <w:szCs w:val="18"/>
      </w:rPr>
      <w:t>reportname</w:t>
    </w:r>
    <w:proofErr w:type="spellEnd"/>
    <w:r w:rsidRPr="0015609D">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26B3" w14:textId="77777777" w:rsidR="00165AF9" w:rsidRDefault="00165AF9">
      <w:r>
        <w:separator/>
      </w:r>
    </w:p>
  </w:footnote>
  <w:footnote w:type="continuationSeparator" w:id="0">
    <w:p w14:paraId="0EBC7B22" w14:textId="77777777" w:rsidR="00165AF9" w:rsidRDefault="00165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165AF9" w:rsidRPr="00492705" w14:paraId="683199B0" w14:textId="77777777" w:rsidTr="00082CC9">
      <w:trPr>
        <w:trHeight w:val="800"/>
      </w:trPr>
      <w:tc>
        <w:tcPr>
          <w:tcW w:w="5248" w:type="dxa"/>
        </w:tcPr>
        <w:p w14:paraId="0A061EDF" w14:textId="77777777" w:rsidR="00165AF9" w:rsidRDefault="00165AF9"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165AF9" w:rsidRPr="00F01ADE" w:rsidRDefault="00165AF9" w:rsidP="006028C1">
          <w:pPr>
            <w:pStyle w:val="ValbridgeHeader"/>
            <w:spacing w:before="120" w:line="240" w:lineRule="auto"/>
            <w:rPr>
              <w:rFonts w:asciiTheme="minorHAnsi" w:hAnsiTheme="minorHAnsi"/>
              <w:noProof/>
              <w:color w:val="auto"/>
              <w:sz w:val="20"/>
            </w:rPr>
          </w:pPr>
          <w:r w:rsidRPr="0015609D">
            <w:rPr>
              <w:rFonts w:asciiTheme="minorHAnsi" w:hAnsiTheme="minorHAnsi"/>
              <w:caps/>
              <w:noProof/>
              <w:color w:val="auto"/>
              <w:sz w:val="20"/>
            </w:rPr>
            <w:t>${cappropname}</w:t>
          </w:r>
        </w:p>
        <w:p w14:paraId="1850A0B2" w14:textId="77777777" w:rsidR="00165AF9" w:rsidRPr="009208A9" w:rsidRDefault="00165AF9"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165AF9" w:rsidRPr="006028C1" w:rsidRDefault="00165AF9"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165AF9" w:rsidRPr="006C283F" w14:paraId="141473EB" w14:textId="77777777" w:rsidTr="00BA3AB1">
      <w:trPr>
        <w:trHeight w:val="800"/>
      </w:trPr>
      <w:tc>
        <w:tcPr>
          <w:tcW w:w="5216" w:type="dxa"/>
        </w:tcPr>
        <w:p w14:paraId="1D6783B5" w14:textId="77777777" w:rsidR="00165AF9" w:rsidRDefault="00165AF9"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165AF9" w:rsidRPr="00F01ADE" w:rsidRDefault="00165AF9"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165AF9" w:rsidRPr="00883365" w:rsidRDefault="00165AF9"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165AF9" w:rsidRPr="00E039CC" w:rsidRDefault="00165AF9"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3723"/>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8F6"/>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09D"/>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AF9"/>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71E"/>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38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97D7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6D89EF82-3CD8-489C-BEBC-04F017A4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5414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2020-05-11T17:06:00Z</dcterms:created>
  <dcterms:modified xsi:type="dcterms:W3CDTF">2020-05-11T17:06:00Z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