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7D282A">
        <w:rPr>
          <w:rFonts w:cs="Arial"/>
          <w:color w:val="000000"/>
          <w:szCs w:val="22"/>
        </w:rPr>
        <w:t>${property_name}</w:t>
      </w:r>
    </w:p>
    <w:p w14:paraId="68618E6E" w14:textId="77777777" w:rsidR="00820626" w:rsidRPr="00643874" w:rsidRDefault="00820626" w:rsidP="00820626">
      <w:pPr>
        <w:tabs>
          <w:tab w:val="left" w:pos="2880"/>
        </w:tabs>
        <w:ind w:left="2880" w:hanging="2880"/>
        <w:rPr>
          <w:rFonts w:cs="Arial"/>
          <w:szCs w:val="22"/>
        </w:rPr>
      </w:pPr>
    </w:p>
    <w:p w14:paraId="01A1EDE7" w14:textId="33FFD72B" w:rsidR="00820626" w:rsidRPr="00F34758" w:rsidRDefault="00820626" w:rsidP="00820626">
      <w:pPr>
        <w:tabs>
          <w:tab w:val="left" w:pos="2880"/>
        </w:tabs>
        <w:ind w:left="2880" w:hanging="2880"/>
        <w:rPr>
          <w:rFonts w:cs="Arial"/>
          <w:szCs w:val="22"/>
        </w:rPr>
      </w:pPr>
      <w:r w:rsidRPr="00F34758">
        <w:rPr>
          <w:rFonts w:cs="Arial"/>
          <w:b/>
          <w:color w:val="1E4959"/>
          <w:szCs w:val="22"/>
        </w:rPr>
        <w:t>General Description:</w:t>
      </w:r>
      <w:r w:rsidRPr="00F34758">
        <w:rPr>
          <w:rFonts w:cs="Arial"/>
          <w:szCs w:val="22"/>
        </w:rPr>
        <w:tab/>
      </w:r>
      <w:r w:rsidRPr="00820626">
        <w:rPr>
          <w:highlight w:val="yellow"/>
        </w:rPr>
        <w:t>Good quality, one-story</w:t>
      </w:r>
      <w:r>
        <w:t xml:space="preserve">, sit-down restaurant of </w:t>
      </w:r>
      <w:r w:rsidRPr="00820626">
        <w:rPr>
          <w:highlight w:val="yellow"/>
        </w:rPr>
        <w:t>wood-frame, wood / EIFS / stone wainscot veneer</w:t>
      </w:r>
      <w:r>
        <w:t xml:space="preserve">, exterior construction. </w:t>
      </w:r>
      <w:r w:rsidRPr="00820626">
        <w:rPr>
          <w:highlight w:val="yellow"/>
        </w:rPr>
        <w:t>Average, well maintained</w:t>
      </w:r>
      <w:r>
        <w:t xml:space="preserve"> condition.</w:t>
      </w:r>
    </w:p>
    <w:p w14:paraId="3C306586" w14:textId="77777777" w:rsidR="00820626" w:rsidRPr="000754FA" w:rsidRDefault="00820626" w:rsidP="00820626">
      <w:pPr>
        <w:tabs>
          <w:tab w:val="left" w:pos="0"/>
          <w:tab w:val="left" w:pos="259"/>
          <w:tab w:val="left" w:pos="2880"/>
        </w:tabs>
        <w:ind w:left="2880" w:hanging="2880"/>
        <w:rPr>
          <w:rFonts w:cs="Arial"/>
          <w:b/>
          <w:szCs w:val="22"/>
        </w:rPr>
      </w:pPr>
    </w:p>
    <w:p w14:paraId="27B39EC6" w14:textId="77777777" w:rsidR="00820626" w:rsidRPr="009B6E44" w:rsidRDefault="00820626" w:rsidP="00820626">
      <w:pPr>
        <w:widowControl w:val="0"/>
        <w:tabs>
          <w:tab w:val="left" w:pos="2880"/>
        </w:tabs>
        <w:ind w:left="2880" w:hanging="2880"/>
        <w:rPr>
          <w:rFonts w:cs="Arial"/>
          <w:b/>
          <w:szCs w:val="22"/>
        </w:rPr>
      </w:pPr>
      <w:r w:rsidRPr="009B6E44">
        <w:rPr>
          <w:rFonts w:cs="Arial"/>
          <w:b/>
          <w:color w:val="1E4959"/>
          <w:szCs w:val="22"/>
        </w:rPr>
        <w:t>Building Area:</w:t>
      </w:r>
    </w:p>
    <w:tbl>
      <w:tblPr>
        <w:tblW w:w="6588" w:type="dxa"/>
        <w:tblInd w:w="2880" w:type="dxa"/>
        <w:shd w:val="clear" w:color="auto" w:fill="FFFFFF"/>
        <w:tblLayout w:type="fixed"/>
        <w:tblLook w:val="0000" w:firstRow="0" w:lastRow="0" w:firstColumn="0" w:lastColumn="0" w:noHBand="0" w:noVBand="0"/>
      </w:tblPr>
      <w:tblGrid>
        <w:gridCol w:w="3438"/>
        <w:gridCol w:w="1575"/>
        <w:gridCol w:w="1575"/>
      </w:tblGrid>
      <w:tr w:rsidR="00820626" w:rsidRPr="009B6E44" w14:paraId="3EAA7123" w14:textId="77777777" w:rsidTr="004A11EB">
        <w:tc>
          <w:tcPr>
            <w:tcW w:w="3438" w:type="dxa"/>
            <w:shd w:val="clear" w:color="auto" w:fill="1E4959"/>
          </w:tcPr>
          <w:p w14:paraId="30DECFBF" w14:textId="77777777" w:rsidR="00820626" w:rsidRPr="009B6E44" w:rsidRDefault="00820626" w:rsidP="004A11EB">
            <w:pPr>
              <w:tabs>
                <w:tab w:val="left" w:pos="0"/>
                <w:tab w:val="left" w:pos="259"/>
                <w:tab w:val="left" w:pos="3600"/>
                <w:tab w:val="right" w:pos="7879"/>
              </w:tabs>
              <w:rPr>
                <w:rFonts w:cs="Arial"/>
                <w:b/>
                <w:smallCaps/>
                <w:color w:val="FFFFFF" w:themeColor="background1"/>
                <w:szCs w:val="22"/>
              </w:rPr>
            </w:pPr>
          </w:p>
        </w:tc>
        <w:tc>
          <w:tcPr>
            <w:tcW w:w="1575" w:type="dxa"/>
            <w:shd w:val="clear" w:color="auto" w:fill="1E4959"/>
          </w:tcPr>
          <w:p w14:paraId="6ED4A69B" w14:textId="77777777" w:rsidR="00820626" w:rsidRPr="009B6E44" w:rsidRDefault="00820626" w:rsidP="004A11EB">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Gross</w:t>
            </w:r>
          </w:p>
          <w:p w14:paraId="6F086870" w14:textId="77777777" w:rsidR="00820626" w:rsidRPr="009B6E44" w:rsidRDefault="00820626" w:rsidP="004A11EB">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Building</w:t>
            </w:r>
          </w:p>
        </w:tc>
        <w:tc>
          <w:tcPr>
            <w:tcW w:w="1575" w:type="dxa"/>
            <w:shd w:val="clear" w:color="auto" w:fill="1E4959"/>
          </w:tcPr>
          <w:p w14:paraId="309B92B0" w14:textId="77777777" w:rsidR="00820626" w:rsidRPr="009B6E44" w:rsidRDefault="00820626" w:rsidP="004A11EB">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Gross</w:t>
            </w:r>
          </w:p>
          <w:p w14:paraId="5B574978" w14:textId="77777777" w:rsidR="00820626" w:rsidRPr="009B6E44" w:rsidRDefault="00820626" w:rsidP="004A11EB">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Leas</w:t>
            </w:r>
            <w:r w:rsidRPr="009B6E44">
              <w:rPr>
                <w:rFonts w:cs="Arial"/>
                <w:b/>
                <w:smallCaps/>
                <w:color w:val="FFFFFF" w:themeColor="background1"/>
                <w:szCs w:val="22"/>
              </w:rPr>
              <w:t>able</w:t>
            </w:r>
          </w:p>
        </w:tc>
      </w:tr>
      <w:tr w:rsidR="00820626" w:rsidRPr="009B6E44" w14:paraId="1989B534" w14:textId="77777777" w:rsidTr="004A11EB">
        <w:tc>
          <w:tcPr>
            <w:tcW w:w="3438" w:type="dxa"/>
            <w:tcBorders>
              <w:bottom w:val="single" w:sz="24" w:space="0" w:color="3FB44F"/>
            </w:tcBorders>
            <w:shd w:val="clear" w:color="auto" w:fill="1E4959"/>
          </w:tcPr>
          <w:p w14:paraId="2BC31ED0" w14:textId="77777777" w:rsidR="00820626" w:rsidRPr="009B6E44" w:rsidRDefault="00820626" w:rsidP="004A11EB">
            <w:pPr>
              <w:tabs>
                <w:tab w:val="left" w:pos="0"/>
                <w:tab w:val="left" w:pos="259"/>
                <w:tab w:val="left" w:pos="3600"/>
                <w:tab w:val="right" w:pos="7879"/>
              </w:tabs>
              <w:spacing w:after="60" w:line="20" w:lineRule="atLeast"/>
              <w:jc w:val="left"/>
              <w:rPr>
                <w:rFonts w:cs="Arial"/>
                <w:b/>
                <w:smallCaps/>
                <w:color w:val="FFFFFF" w:themeColor="background1"/>
                <w:szCs w:val="22"/>
              </w:rPr>
            </w:pPr>
            <w:r w:rsidRPr="009B6E44">
              <w:rPr>
                <w:rFonts w:cs="Arial"/>
                <w:b/>
                <w:smallCaps/>
                <w:color w:val="FFFFFF" w:themeColor="background1"/>
                <w:szCs w:val="22"/>
              </w:rPr>
              <w:t>Building Component</w:t>
            </w:r>
          </w:p>
        </w:tc>
        <w:tc>
          <w:tcPr>
            <w:tcW w:w="1575" w:type="dxa"/>
            <w:tcBorders>
              <w:bottom w:val="single" w:sz="24" w:space="0" w:color="3FB44F"/>
            </w:tcBorders>
            <w:shd w:val="clear" w:color="auto" w:fill="1E4959"/>
          </w:tcPr>
          <w:p w14:paraId="7781D5E5" w14:textId="77777777" w:rsidR="00820626" w:rsidRPr="009B6E44" w:rsidRDefault="00820626" w:rsidP="004A11EB">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c>
          <w:tcPr>
            <w:tcW w:w="1575" w:type="dxa"/>
            <w:tcBorders>
              <w:bottom w:val="single" w:sz="24" w:space="0" w:color="3FB44F"/>
            </w:tcBorders>
            <w:shd w:val="clear" w:color="auto" w:fill="1E4959"/>
          </w:tcPr>
          <w:p w14:paraId="4AF7A535" w14:textId="77777777" w:rsidR="00820626" w:rsidRPr="009B6E44" w:rsidRDefault="00820626" w:rsidP="004A11EB">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r>
      <w:tr w:rsidR="00820626" w:rsidRPr="009B6E44" w14:paraId="51A72058" w14:textId="77777777" w:rsidTr="00820626">
        <w:trPr>
          <w:trHeight w:val="444"/>
        </w:trPr>
        <w:tc>
          <w:tcPr>
            <w:tcW w:w="3438" w:type="dxa"/>
            <w:tcBorders>
              <w:top w:val="single" w:sz="6" w:space="0" w:color="auto"/>
              <w:bottom w:val="double" w:sz="4" w:space="0" w:color="auto"/>
            </w:tcBorders>
            <w:shd w:val="clear" w:color="auto" w:fill="FFFFFF"/>
            <w:vAlign w:val="center"/>
          </w:tcPr>
          <w:p w14:paraId="52F9424A" w14:textId="30D5931E" w:rsidR="00820626" w:rsidRPr="009B6E44" w:rsidRDefault="00820626" w:rsidP="004A11EB">
            <w:pPr>
              <w:tabs>
                <w:tab w:val="left" w:pos="0"/>
                <w:tab w:val="left" w:pos="259"/>
                <w:tab w:val="left" w:pos="3600"/>
                <w:tab w:val="right" w:pos="7879"/>
              </w:tabs>
              <w:spacing w:line="320" w:lineRule="exact"/>
              <w:rPr>
                <w:rFonts w:cs="Arial"/>
                <w:b/>
                <w:bCs/>
                <w:szCs w:val="22"/>
              </w:rPr>
            </w:pPr>
            <w:r w:rsidRPr="009B6E44">
              <w:rPr>
                <w:rFonts w:cs="Arial"/>
                <w:b/>
                <w:bCs/>
                <w:szCs w:val="22"/>
              </w:rPr>
              <w:t xml:space="preserve">TOTAL GBA / </w:t>
            </w:r>
            <w:r>
              <w:rPr>
                <w:rFonts w:cs="Arial"/>
                <w:b/>
                <w:bCs/>
                <w:szCs w:val="22"/>
              </w:rPr>
              <w:t>GL</w:t>
            </w:r>
            <w:r w:rsidRPr="009B6E44">
              <w:rPr>
                <w:rFonts w:cs="Arial"/>
                <w:b/>
                <w:bCs/>
                <w:szCs w:val="22"/>
              </w:rPr>
              <w:t>A</w:t>
            </w:r>
          </w:p>
        </w:tc>
        <w:tc>
          <w:tcPr>
            <w:tcW w:w="1575" w:type="dxa"/>
            <w:tcBorders>
              <w:top w:val="single" w:sz="6" w:space="0" w:color="auto"/>
              <w:left w:val="single" w:sz="6" w:space="0" w:color="auto"/>
              <w:bottom w:val="double" w:sz="4" w:space="0" w:color="auto"/>
              <w:right w:val="single" w:sz="6" w:space="0" w:color="auto"/>
            </w:tcBorders>
            <w:shd w:val="clear" w:color="auto" w:fill="FFFFFF"/>
            <w:vAlign w:val="center"/>
          </w:tcPr>
          <w:p w14:paraId="3F70E5C7" w14:textId="41313B38" w:rsidR="00820626" w:rsidRPr="007D282A" w:rsidRDefault="007D282A" w:rsidP="004A11EB">
            <w:pPr>
              <w:tabs>
                <w:tab w:val="left" w:pos="0"/>
                <w:tab w:val="left" w:pos="259"/>
                <w:tab w:val="left" w:pos="3600"/>
                <w:tab w:val="right" w:pos="7879"/>
              </w:tabs>
              <w:spacing w:line="320" w:lineRule="exact"/>
              <w:jc w:val="center"/>
              <w:rPr>
                <w:rFonts w:cs="Arial"/>
                <w:b/>
                <w:szCs w:val="22"/>
              </w:rPr>
            </w:pPr>
            <w:r w:rsidRPr="007D282A">
              <w:rPr>
                <w:rFonts w:cs="Arial"/>
                <w:b/>
                <w:szCs w:val="22"/>
              </w:rPr>
              <w:t>${gba}</w:t>
            </w:r>
          </w:p>
        </w:tc>
        <w:tc>
          <w:tcPr>
            <w:tcW w:w="1575" w:type="dxa"/>
            <w:tcBorders>
              <w:top w:val="single" w:sz="6" w:space="0" w:color="auto"/>
              <w:left w:val="nil"/>
              <w:bottom w:val="double" w:sz="4" w:space="0" w:color="auto"/>
            </w:tcBorders>
            <w:shd w:val="clear" w:color="auto" w:fill="FFFFFF"/>
            <w:vAlign w:val="center"/>
          </w:tcPr>
          <w:p w14:paraId="692BD56A" w14:textId="6068ADE2" w:rsidR="00820626" w:rsidRPr="007D282A" w:rsidRDefault="007D282A" w:rsidP="004A11EB">
            <w:pPr>
              <w:tabs>
                <w:tab w:val="left" w:pos="0"/>
                <w:tab w:val="left" w:pos="259"/>
                <w:tab w:val="left" w:pos="3600"/>
                <w:tab w:val="right" w:pos="7879"/>
              </w:tabs>
              <w:spacing w:line="320" w:lineRule="exact"/>
              <w:jc w:val="center"/>
              <w:rPr>
                <w:rFonts w:cs="Arial"/>
                <w:b/>
                <w:szCs w:val="22"/>
              </w:rPr>
            </w:pPr>
            <w:r w:rsidRPr="007D282A">
              <w:rPr>
                <w:rFonts w:cs="Arial"/>
                <w:b/>
                <w:szCs w:val="22"/>
              </w:rPr>
              <w:t>${nra}</w:t>
            </w:r>
          </w:p>
        </w:tc>
      </w:tr>
    </w:tbl>
    <w:p w14:paraId="1390ABD5" w14:textId="77777777" w:rsidR="00820626" w:rsidRDefault="00820626" w:rsidP="00820626">
      <w:pPr>
        <w:tabs>
          <w:tab w:val="left" w:pos="2880"/>
        </w:tabs>
        <w:ind w:left="2880" w:hanging="2880"/>
        <w:rPr>
          <w:rFonts w:cs="Arial"/>
          <w:szCs w:val="22"/>
        </w:rPr>
      </w:pPr>
    </w:p>
    <w:p w14:paraId="301CD861" w14:textId="4105DBD6" w:rsidR="00820626" w:rsidRPr="00D50584" w:rsidRDefault="00820626" w:rsidP="00820626">
      <w:pPr>
        <w:tabs>
          <w:tab w:val="left" w:pos="2880"/>
        </w:tabs>
        <w:ind w:left="2880" w:hanging="2880"/>
        <w:rPr>
          <w:rFonts w:cs="Arial"/>
          <w:szCs w:val="22"/>
        </w:rPr>
      </w:pPr>
      <w:r>
        <w:rPr>
          <w:rFonts w:cs="Arial"/>
          <w:szCs w:val="22"/>
        </w:rPr>
        <w:tab/>
        <w:t xml:space="preserve">The preceding building areas are </w:t>
      </w:r>
      <w:r w:rsidRPr="00820626">
        <w:rPr>
          <w:rFonts w:cs="Arial"/>
          <w:szCs w:val="22"/>
          <w:highlight w:val="yellow"/>
        </w:rPr>
        <w:t>based on our on-site measurements</w:t>
      </w:r>
      <w:r>
        <w:rPr>
          <w:rFonts w:cs="Arial"/>
          <w:szCs w:val="22"/>
        </w:rPr>
        <w:t xml:space="preserve">, and further matches county assessment records. Due to the single-tenant nature of the subject </w:t>
      </w:r>
      <w:r w:rsidRPr="00D50584">
        <w:rPr>
          <w:rFonts w:cs="Arial"/>
          <w:szCs w:val="22"/>
        </w:rPr>
        <w:t>without common</w:t>
      </w:r>
      <w:r>
        <w:rPr>
          <w:rFonts w:cs="Arial"/>
          <w:szCs w:val="22"/>
        </w:rPr>
        <w:t xml:space="preserve"> areas, the gross building area (GBA) and gross leasable area (GLA) are </w:t>
      </w:r>
      <w:r w:rsidRPr="00D50584">
        <w:rPr>
          <w:rFonts w:cs="Arial"/>
          <w:szCs w:val="22"/>
        </w:rPr>
        <w:t>equal to one-another.  A sketch of the subject building is provided following this subsection.</w:t>
      </w:r>
    </w:p>
    <w:p w14:paraId="5DA5DE73" w14:textId="77777777" w:rsidR="00820626" w:rsidRPr="00F34758" w:rsidRDefault="00820626" w:rsidP="00820626">
      <w:pPr>
        <w:tabs>
          <w:tab w:val="left" w:pos="2880"/>
        </w:tabs>
        <w:ind w:left="2880" w:hanging="2880"/>
        <w:rPr>
          <w:rFonts w:cs="Arial"/>
          <w:szCs w:val="22"/>
        </w:rPr>
      </w:pPr>
    </w:p>
    <w:p w14:paraId="3F53BA1E" w14:textId="77777777" w:rsidR="00820626" w:rsidRPr="00F34758" w:rsidRDefault="00820626" w:rsidP="00820626">
      <w:pPr>
        <w:tabs>
          <w:tab w:val="left" w:pos="2880"/>
        </w:tabs>
        <w:ind w:left="2880" w:hanging="2880"/>
        <w:rPr>
          <w:rFonts w:cs="Arial"/>
          <w:szCs w:val="22"/>
        </w:rPr>
      </w:pPr>
      <w:r w:rsidRPr="00F34758">
        <w:rPr>
          <w:rFonts w:cs="Arial"/>
          <w:b/>
          <w:color w:val="1E4959"/>
          <w:szCs w:val="22"/>
        </w:rPr>
        <w:t>Seating Capacity:</w:t>
      </w:r>
      <w:r w:rsidRPr="00F34758">
        <w:rPr>
          <w:rFonts w:cs="Arial"/>
          <w:szCs w:val="22"/>
        </w:rPr>
        <w:tab/>
      </w:r>
      <w:r w:rsidRPr="00820626">
        <w:rPr>
          <w:highlight w:val="yellow"/>
        </w:rPr>
        <w:t>355</w:t>
      </w:r>
      <w:r>
        <w:t xml:space="preserve"> </w:t>
      </w:r>
      <w:r w:rsidRPr="008B16DB">
        <w:t>persons</w:t>
      </w:r>
      <w:r w:rsidRPr="00F34758">
        <w:rPr>
          <w:rFonts w:cs="Arial"/>
          <w:szCs w:val="22"/>
        </w:rPr>
        <w:t>.</w:t>
      </w:r>
    </w:p>
    <w:p w14:paraId="0A17F0A9" w14:textId="77777777" w:rsidR="00820626" w:rsidRPr="00D50584" w:rsidRDefault="00820626" w:rsidP="00820626">
      <w:pPr>
        <w:tabs>
          <w:tab w:val="left" w:pos="2880"/>
        </w:tabs>
        <w:ind w:left="2880" w:hanging="2880"/>
        <w:rPr>
          <w:rFonts w:cs="Arial"/>
          <w:b/>
          <w:szCs w:val="22"/>
        </w:rPr>
      </w:pPr>
    </w:p>
    <w:p w14:paraId="53783C1D" w14:textId="39C35EF2" w:rsidR="00820626" w:rsidRDefault="00820626" w:rsidP="00820626">
      <w:pPr>
        <w:tabs>
          <w:tab w:val="left" w:pos="2880"/>
        </w:tabs>
        <w:ind w:left="2880" w:hanging="2880"/>
        <w:rPr>
          <w:rFonts w:cs="Arial"/>
          <w:szCs w:val="22"/>
        </w:rPr>
      </w:pPr>
      <w:r w:rsidRPr="00D50584">
        <w:rPr>
          <w:rFonts w:cs="Arial"/>
          <w:b/>
          <w:color w:val="1E4959"/>
          <w:szCs w:val="22"/>
        </w:rPr>
        <w:t xml:space="preserve">Site </w:t>
      </w:r>
      <w:r w:rsidRPr="00F34758">
        <w:rPr>
          <w:rFonts w:cs="Arial"/>
          <w:b/>
          <w:color w:val="1E4959"/>
          <w:szCs w:val="22"/>
        </w:rPr>
        <w:t>Configuration</w:t>
      </w:r>
      <w:r w:rsidRPr="00D50584">
        <w:rPr>
          <w:rFonts w:cs="Arial"/>
          <w:b/>
          <w:color w:val="1E4959"/>
          <w:szCs w:val="22"/>
        </w:rPr>
        <w:t>:</w:t>
      </w:r>
      <w:r w:rsidRPr="00D50584">
        <w:rPr>
          <w:rFonts w:cs="Arial"/>
          <w:szCs w:val="22"/>
        </w:rPr>
        <w:tab/>
        <w:t xml:space="preserve">The subject building is located </w:t>
      </w:r>
      <w:r>
        <w:rPr>
          <w:rFonts w:cs="Arial"/>
          <w:szCs w:val="22"/>
        </w:rPr>
        <w:t xml:space="preserve">along </w:t>
      </w:r>
      <w:r w:rsidRPr="00D50584">
        <w:rPr>
          <w:rFonts w:cs="Arial"/>
          <w:szCs w:val="22"/>
        </w:rPr>
        <w:t xml:space="preserve">the </w:t>
      </w:r>
      <w:r>
        <w:rPr>
          <w:rFonts w:cs="Arial"/>
          <w:szCs w:val="22"/>
        </w:rPr>
        <w:t>north-central</w:t>
      </w:r>
      <w:r w:rsidRPr="00D50584">
        <w:rPr>
          <w:rFonts w:cs="Arial"/>
          <w:szCs w:val="22"/>
        </w:rPr>
        <w:t xml:space="preserve"> </w:t>
      </w:r>
      <w:r>
        <w:rPr>
          <w:rFonts w:cs="Arial"/>
          <w:szCs w:val="22"/>
        </w:rPr>
        <w:t>end</w:t>
      </w:r>
      <w:r w:rsidRPr="008F4A35">
        <w:rPr>
          <w:rFonts w:cs="Arial"/>
          <w:szCs w:val="22"/>
        </w:rPr>
        <w:t xml:space="preserve"> of the site</w:t>
      </w:r>
      <w:r>
        <w:rPr>
          <w:rFonts w:cs="Arial"/>
          <w:szCs w:val="22"/>
        </w:rPr>
        <w:t xml:space="preserve"> with frontages along the two streets, as well as a shared access easement from SE 164th along its southern boundary.  The south majority of the site consists of asphalt paved parking / landscaped areas, with the street frontages having well-maintained lawn areas. </w:t>
      </w:r>
      <w:r w:rsidRPr="00643874">
        <w:rPr>
          <w:rFonts w:cs="Arial"/>
          <w:szCs w:val="22"/>
        </w:rPr>
        <w:t xml:space="preserve"> </w:t>
      </w:r>
    </w:p>
    <w:p w14:paraId="46A711A1" w14:textId="77777777" w:rsidR="00820626" w:rsidRPr="00F34758" w:rsidRDefault="00820626" w:rsidP="00820626">
      <w:pPr>
        <w:tabs>
          <w:tab w:val="left" w:pos="2880"/>
        </w:tabs>
        <w:ind w:left="2880" w:hanging="2880"/>
        <w:rPr>
          <w:rFonts w:cs="Arial"/>
          <w:b/>
          <w:szCs w:val="22"/>
        </w:rPr>
      </w:pPr>
    </w:p>
    <w:p w14:paraId="125C3950" w14:textId="7F11752B" w:rsidR="00820626" w:rsidRDefault="00820626" w:rsidP="00820626">
      <w:pPr>
        <w:tabs>
          <w:tab w:val="left" w:pos="2880"/>
        </w:tabs>
        <w:ind w:left="2880" w:hanging="2880"/>
      </w:pPr>
      <w:r w:rsidRPr="00F34758">
        <w:rPr>
          <w:rFonts w:cs="Arial"/>
          <w:b/>
          <w:color w:val="1E4959"/>
          <w:szCs w:val="22"/>
        </w:rPr>
        <w:t>Interior</w:t>
      </w:r>
      <w:r w:rsidRPr="00820626">
        <w:rPr>
          <w:rFonts w:cs="Arial"/>
          <w:b/>
          <w:color w:val="1E4959"/>
          <w:szCs w:val="22"/>
        </w:rPr>
        <w:t xml:space="preserve"> </w:t>
      </w:r>
      <w:r w:rsidRPr="00D50584">
        <w:rPr>
          <w:rFonts w:cs="Arial"/>
          <w:b/>
          <w:color w:val="1E4959"/>
          <w:szCs w:val="22"/>
        </w:rPr>
        <w:t>Layout</w:t>
      </w:r>
      <w:r w:rsidRPr="00F34758">
        <w:rPr>
          <w:rFonts w:cs="Arial"/>
          <w:b/>
          <w:color w:val="1E4959"/>
          <w:szCs w:val="22"/>
        </w:rPr>
        <w:t>:</w:t>
      </w:r>
      <w:r w:rsidRPr="00F34758">
        <w:rPr>
          <w:rFonts w:cs="Arial"/>
          <w:szCs w:val="22"/>
        </w:rPr>
        <w:tab/>
      </w:r>
      <w:r>
        <w:t>The building has a semi-rectangular, shape with rectangular extensions along the east, west and south sides. The main entry is centrally located in the south side via a two doors accessing an entry vestibule before opening into a customer waiting / lobby area.  The main dining areas comprise the majority of the northwest corner and a portion of the east side and is built-out with a combination of booth and table seating. The well bar is located in the southwest corner and includes a wrap-around counter, overhead liquor cabinets, plus additional booth seating. Two multi-user restrooms, small management office, and a built-in, beer keg cooler room (108 SF; 9’ x 12’), are located in the southeast corner near a front entrance.</w:t>
      </w:r>
    </w:p>
    <w:p w14:paraId="770F7425" w14:textId="77777777" w:rsidR="00820626" w:rsidRDefault="00820626" w:rsidP="00820626">
      <w:pPr>
        <w:tabs>
          <w:tab w:val="left" w:pos="2880"/>
        </w:tabs>
        <w:ind w:left="2880" w:hanging="2880"/>
      </w:pPr>
    </w:p>
    <w:p w14:paraId="26E7B797" w14:textId="77777777" w:rsidR="00820626" w:rsidRPr="00514064" w:rsidRDefault="00820626" w:rsidP="00820626">
      <w:pPr>
        <w:tabs>
          <w:tab w:val="left" w:pos="2880"/>
        </w:tabs>
        <w:ind w:left="2880" w:hanging="2880"/>
      </w:pPr>
      <w:r>
        <w:tab/>
        <w:t xml:space="preserve">The northeast portion of the building </w:t>
      </w:r>
      <w:r w:rsidRPr="00514064">
        <w:t xml:space="preserve">consists of the main kitchen area, scullery, </w:t>
      </w:r>
      <w:r>
        <w:t xml:space="preserve">main cooking line, </w:t>
      </w:r>
      <w:r w:rsidRPr="00514064">
        <w:t>service</w:t>
      </w:r>
      <w:r>
        <w:t xml:space="preserve"> </w:t>
      </w:r>
      <w:r w:rsidRPr="00514064">
        <w:t>/</w:t>
      </w:r>
      <w:r>
        <w:t xml:space="preserve"> </w:t>
      </w:r>
      <w:r w:rsidRPr="00514064">
        <w:t xml:space="preserve">prep kitchen area, pantry storage, and </w:t>
      </w:r>
      <w:r>
        <w:t>janitor’s mop basin</w:t>
      </w:r>
      <w:r w:rsidRPr="00514064">
        <w:t xml:space="preserve">. The kitchen area also includes </w:t>
      </w:r>
      <w:r>
        <w:t xml:space="preserve">a </w:t>
      </w:r>
      <w:r w:rsidRPr="00514064">
        <w:t xml:space="preserve">built-in, walk-in </w:t>
      </w:r>
      <w:r w:rsidRPr="00514064">
        <w:lastRenderedPageBreak/>
        <w:t>cooler</w:t>
      </w:r>
      <w:r>
        <w:t xml:space="preserve"> (189 SF; 21’ x 9’) and </w:t>
      </w:r>
      <w:r w:rsidRPr="00514064">
        <w:t xml:space="preserve">freezer </w:t>
      </w:r>
      <w:r>
        <w:t>(54</w:t>
      </w:r>
      <w:r w:rsidRPr="00514064">
        <w:t xml:space="preserve"> SF</w:t>
      </w:r>
      <w:r>
        <w:t>; 9’ x 6’</w:t>
      </w:r>
      <w:r w:rsidRPr="00514064">
        <w:t xml:space="preserve">) which are considered non-removable fixtures, and are therefore part of the real estate. </w:t>
      </w:r>
    </w:p>
    <w:p w14:paraId="227AD0FB" w14:textId="77777777" w:rsidR="00820626" w:rsidRPr="00514064" w:rsidRDefault="00820626" w:rsidP="00820626">
      <w:pPr>
        <w:tabs>
          <w:tab w:val="left" w:pos="2880"/>
        </w:tabs>
        <w:ind w:left="2880" w:hanging="2880"/>
      </w:pPr>
    </w:p>
    <w:p w14:paraId="5CAFFEB4" w14:textId="77777777" w:rsidR="00820626" w:rsidRPr="008F4A35" w:rsidRDefault="00820626" w:rsidP="00820626">
      <w:pPr>
        <w:tabs>
          <w:tab w:val="left" w:pos="2880"/>
        </w:tabs>
        <w:ind w:left="2880" w:hanging="2880"/>
        <w:rPr>
          <w:rFonts w:cs="Arial"/>
          <w:szCs w:val="22"/>
        </w:rPr>
      </w:pPr>
      <w:r w:rsidRPr="00514064">
        <w:tab/>
        <w:t xml:space="preserve">Attached to the rear/northeast corner of the building is an </w:t>
      </w:r>
      <w:r>
        <w:t xml:space="preserve">chain link fence (with privacy slats) </w:t>
      </w:r>
      <w:r w:rsidRPr="00514064">
        <w:t>enclos</w:t>
      </w:r>
      <w:r>
        <w:t>ing a</w:t>
      </w:r>
      <w:r w:rsidRPr="00514064">
        <w:t xml:space="preserve"> service area</w:t>
      </w:r>
      <w:r>
        <w:t xml:space="preserve"> for refuse containers</w:t>
      </w:r>
      <w:r w:rsidRPr="00514064">
        <w:t>.</w:t>
      </w:r>
      <w:r>
        <w:t>.</w:t>
      </w:r>
      <w:r w:rsidRPr="00643874">
        <w:rPr>
          <w:rFonts w:cs="Arial"/>
          <w:szCs w:val="22"/>
        </w:rPr>
        <w:t xml:space="preserve"> </w:t>
      </w:r>
    </w:p>
    <w:p w14:paraId="66CB3134" w14:textId="77777777" w:rsidR="00820626" w:rsidRPr="00820626" w:rsidRDefault="00820626" w:rsidP="00820626">
      <w:pPr>
        <w:tabs>
          <w:tab w:val="left" w:pos="2880"/>
        </w:tabs>
        <w:ind w:left="2880" w:hanging="2880"/>
        <w:rPr>
          <w:rFonts w:cs="Arial"/>
          <w:bCs/>
          <w:szCs w:val="22"/>
        </w:rPr>
      </w:pPr>
    </w:p>
    <w:p w14:paraId="1C2B94B9" w14:textId="77777777" w:rsidR="00820626" w:rsidRPr="00F34758" w:rsidRDefault="00820626" w:rsidP="00820626">
      <w:pPr>
        <w:tabs>
          <w:tab w:val="left" w:pos="2880"/>
        </w:tabs>
        <w:ind w:left="2880" w:hanging="2880"/>
        <w:rPr>
          <w:rFonts w:cs="Arial"/>
          <w:szCs w:val="22"/>
        </w:rPr>
      </w:pPr>
      <w:r w:rsidRPr="008F4A35">
        <w:rPr>
          <w:rFonts w:cs="Arial"/>
          <w:b/>
          <w:color w:val="1E4959"/>
          <w:szCs w:val="22"/>
        </w:rPr>
        <w:t>Exterior Finish:</w:t>
      </w:r>
      <w:r w:rsidRPr="008F4A35">
        <w:rPr>
          <w:rFonts w:cs="Arial"/>
          <w:szCs w:val="22"/>
        </w:rPr>
        <w:tab/>
      </w:r>
      <w:r>
        <w:t>Wood-frame with a combination of stone</w:t>
      </w:r>
      <w:r w:rsidRPr="002970AD">
        <w:t xml:space="preserve"> brick veneer</w:t>
      </w:r>
      <w:r>
        <w:t xml:space="preserve"> wainscot (2’ high), with the remainder</w:t>
      </w:r>
      <w:r w:rsidRPr="002970AD">
        <w:t xml:space="preserve"> EFIS (synthetic stucco)</w:t>
      </w:r>
      <w:r>
        <w:t xml:space="preserve"> with wood trim batten boards</w:t>
      </w:r>
      <w:r w:rsidRPr="002970AD">
        <w:t>. The foundation is a concrete slab. Wood frame, truss joist roof system with a combination of gable</w:t>
      </w:r>
      <w:r>
        <w:t xml:space="preserve"> and valley </w:t>
      </w:r>
      <w:r w:rsidRPr="002970AD">
        <w:t xml:space="preserve">designs. The roof area are finished with </w:t>
      </w:r>
      <w:r>
        <w:t>decorative asphalt shingles</w:t>
      </w:r>
      <w:r w:rsidRPr="002970AD">
        <w:t xml:space="preserve"> with </w:t>
      </w:r>
      <w:r>
        <w:t>perimeter gutters system. Solid wood / glass main entry doors and steel hollow metal exterior side doors. Painted, wood-frame fixed storefront windows; thermopane design.</w:t>
      </w:r>
    </w:p>
    <w:p w14:paraId="4EF54836" w14:textId="77777777" w:rsidR="00820626" w:rsidRPr="00820626" w:rsidRDefault="00820626" w:rsidP="00820626">
      <w:pPr>
        <w:tabs>
          <w:tab w:val="left" w:pos="2880"/>
        </w:tabs>
        <w:ind w:left="2880" w:hanging="2880"/>
        <w:rPr>
          <w:rFonts w:cs="Arial"/>
          <w:bCs/>
          <w:szCs w:val="22"/>
        </w:rPr>
      </w:pPr>
    </w:p>
    <w:p w14:paraId="32E012A4" w14:textId="77777777" w:rsidR="00820626" w:rsidRPr="00F34758" w:rsidRDefault="00820626" w:rsidP="00820626">
      <w:pPr>
        <w:tabs>
          <w:tab w:val="left" w:pos="2880"/>
        </w:tabs>
        <w:ind w:left="2880" w:hanging="2880"/>
        <w:rPr>
          <w:rFonts w:cs="Arial"/>
          <w:szCs w:val="22"/>
        </w:rPr>
      </w:pPr>
      <w:r w:rsidRPr="00F34758">
        <w:rPr>
          <w:rFonts w:cs="Arial"/>
          <w:b/>
          <w:color w:val="1E4959"/>
          <w:szCs w:val="22"/>
        </w:rPr>
        <w:t>Interior Finish:</w:t>
      </w:r>
      <w:r w:rsidRPr="00F34758">
        <w:rPr>
          <w:rFonts w:cs="Arial"/>
          <w:szCs w:val="22"/>
        </w:rPr>
        <w:tab/>
      </w:r>
      <w:r>
        <w:t xml:space="preserve">Good quality carpet in the entry dining and around bar areas, and ceramic tile in the kitchen / service areas, around the </w:t>
      </w:r>
      <w:r w:rsidRPr="00BC7929">
        <w:t>base of the well bar. Combination of painted sheetrock with resilient and ceramic surfaces in the kitchen areas. The dining areas have a combination of painted plaster</w:t>
      </w:r>
      <w:r>
        <w:t xml:space="preserve"> and wall paper</w:t>
      </w:r>
      <w:r w:rsidRPr="00BC7929">
        <w:t>, with some wood panel wainscoting in the seating and bar areas. The ceiling height</w:t>
      </w:r>
      <w:r>
        <w:t xml:space="preserve">s vary within the building, with the entry vaulted from 24 to 30 </w:t>
      </w:r>
      <w:r w:rsidRPr="00BC7929">
        <w:t>feet</w:t>
      </w:r>
      <w:r>
        <w:t>, the dining / bar areas from 16 to 26 feet</w:t>
      </w:r>
      <w:r w:rsidRPr="00BC7929">
        <w:t>,</w:t>
      </w:r>
      <w:r>
        <w:t xml:space="preserve"> and the kitchen / side dining areas at 9.5 feet</w:t>
      </w:r>
      <w:r w:rsidRPr="00BC7929">
        <w:t xml:space="preserve">. The ceilings throughout have open </w:t>
      </w:r>
      <w:r>
        <w:t>natural wood</w:t>
      </w:r>
      <w:r w:rsidRPr="00BC7929">
        <w:t xml:space="preserve"> trusses </w:t>
      </w:r>
      <w:r>
        <w:t xml:space="preserve">with iron ties, and </w:t>
      </w:r>
      <w:r w:rsidRPr="00BC7929">
        <w:t>exposed / painted HVAC ducting. Lighting is a combination of fluorescent / incandescent fixtures and track lighting in the seating and work areas. The dining areas include good quality incandescent fixtures. HVAC consists of roof mounted gas-pack heating and air-conditioning units which allow for zoned temperature control. Plumbing consists of two</w:t>
      </w:r>
      <w:r>
        <w:t xml:space="preserve"> multi-</w:t>
      </w:r>
      <w:r w:rsidRPr="00BC7929">
        <w:t xml:space="preserve">restrooms </w:t>
      </w:r>
      <w:r>
        <w:t xml:space="preserve">for customers, plus a single-user staff restroom in the kitchen, and also </w:t>
      </w:r>
      <w:r w:rsidRPr="00BC7929">
        <w:t>typical kitchen fixtures necessary for a commercial sit-down restaurant operation. Several sinks are located in</w:t>
      </w:r>
      <w:r>
        <w:t xml:space="preserve"> the kitchen, prep areas, and behind the bar.</w:t>
      </w:r>
    </w:p>
    <w:p w14:paraId="5937DAF1" w14:textId="77777777" w:rsidR="00820626" w:rsidRPr="00F34758" w:rsidRDefault="00820626" w:rsidP="00820626">
      <w:pPr>
        <w:tabs>
          <w:tab w:val="left" w:pos="2880"/>
        </w:tabs>
        <w:ind w:left="2880" w:hanging="2880"/>
        <w:rPr>
          <w:rFonts w:cs="Arial"/>
          <w:szCs w:val="22"/>
        </w:rPr>
      </w:pPr>
    </w:p>
    <w:p w14:paraId="4ED746B0" w14:textId="77777777" w:rsidR="00820626" w:rsidRDefault="00820626" w:rsidP="00820626">
      <w:pPr>
        <w:tabs>
          <w:tab w:val="left" w:pos="2880"/>
        </w:tabs>
        <w:ind w:left="2880" w:hanging="2880"/>
        <w:rPr>
          <w:rFonts w:cs="Arial"/>
          <w:szCs w:val="22"/>
        </w:rPr>
      </w:pPr>
      <w:r w:rsidRPr="00F34758">
        <w:rPr>
          <w:rFonts w:cs="Arial"/>
          <w:b/>
          <w:color w:val="1E4959"/>
          <w:szCs w:val="22"/>
        </w:rPr>
        <w:t>Special Features:</w:t>
      </w:r>
      <w:r w:rsidRPr="00F34758">
        <w:rPr>
          <w:rFonts w:cs="Arial"/>
          <w:b/>
          <w:szCs w:val="22"/>
        </w:rPr>
        <w:tab/>
      </w:r>
      <w:r w:rsidRPr="00F34758">
        <w:rPr>
          <w:rFonts w:cs="Arial"/>
          <w:szCs w:val="22"/>
        </w:rPr>
        <w:t>The subject includes typical restaurant equipment (bar and kitchen fixtures, walk-in coolers, freezers, dishwashers,</w:t>
      </w:r>
      <w:r w:rsidRPr="008F4A35">
        <w:rPr>
          <w:rFonts w:cs="Arial"/>
          <w:szCs w:val="22"/>
        </w:rPr>
        <w:t xml:space="preserve"> ovens, grills, and hood fan systems). The walk-in coolers/freezers are considered real estate as they cannot be removed without substantial damage to the building. The remaining items are considered personal property and are not valued in this appraisal.</w:t>
      </w:r>
    </w:p>
    <w:p w14:paraId="33BFA06F" w14:textId="77777777" w:rsidR="00820626" w:rsidRPr="008F4A35" w:rsidRDefault="00820626" w:rsidP="00820626">
      <w:pPr>
        <w:tabs>
          <w:tab w:val="left" w:pos="2880"/>
        </w:tabs>
        <w:ind w:left="2880" w:hanging="2880"/>
        <w:rPr>
          <w:rFonts w:cs="Arial"/>
          <w:szCs w:val="22"/>
        </w:rPr>
      </w:pPr>
    </w:p>
    <w:p w14:paraId="597A9BA3" w14:textId="77777777" w:rsidR="00820626" w:rsidRPr="008F4A35" w:rsidRDefault="00820626" w:rsidP="00820626">
      <w:pPr>
        <w:tabs>
          <w:tab w:val="left" w:pos="2880"/>
        </w:tabs>
        <w:ind w:left="2880" w:hanging="2880"/>
        <w:rPr>
          <w:rFonts w:cs="Arial"/>
          <w:b/>
          <w:color w:val="1E4959"/>
          <w:szCs w:val="22"/>
        </w:rPr>
      </w:pPr>
      <w:r w:rsidRPr="008F4A35">
        <w:rPr>
          <w:rFonts w:cs="Arial"/>
          <w:b/>
          <w:color w:val="1E4959"/>
          <w:szCs w:val="22"/>
        </w:rPr>
        <w:t>Site Improvements</w:t>
      </w:r>
    </w:p>
    <w:p w14:paraId="4FB1A9D6" w14:textId="77777777" w:rsidR="00820626" w:rsidRPr="00514064" w:rsidRDefault="00820626" w:rsidP="00820626">
      <w:pPr>
        <w:widowControl w:val="0"/>
        <w:tabs>
          <w:tab w:val="left" w:pos="2880"/>
        </w:tabs>
        <w:spacing w:after="120"/>
        <w:ind w:left="2880" w:hanging="2880"/>
      </w:pPr>
      <w:r w:rsidRPr="008F4A35">
        <w:rPr>
          <w:rFonts w:cs="Arial"/>
          <w:b/>
          <w:color w:val="1E4959"/>
          <w:szCs w:val="22"/>
        </w:rPr>
        <w:t xml:space="preserve">  and Landscaping:</w:t>
      </w:r>
      <w:r w:rsidRPr="008F4A35">
        <w:rPr>
          <w:rFonts w:cs="Arial"/>
          <w:szCs w:val="22"/>
        </w:rPr>
        <w:tab/>
      </w:r>
      <w:r>
        <w:t xml:space="preserve">The southern majority of the site is </w:t>
      </w:r>
      <w:r w:rsidRPr="00514064">
        <w:t xml:space="preserve">asphalt paved for automobile parking with landscaping along the </w:t>
      </w:r>
      <w:r>
        <w:t>street</w:t>
      </w:r>
      <w:r w:rsidRPr="00514064">
        <w:t xml:space="preserve"> perimeter</w:t>
      </w:r>
      <w:r>
        <w:t>s</w:t>
      </w:r>
      <w:r w:rsidRPr="00514064">
        <w:t xml:space="preserve"> and throughout the front and side parking areas.</w:t>
      </w:r>
      <w:r>
        <w:t xml:space="preserve"> </w:t>
      </w:r>
      <w:r w:rsidRPr="00514064">
        <w:t xml:space="preserve">The subject includes extensive good quality landscaping (landscaped islands, deciduous trees and shrubbery, with an automatic irrigation system) surrounding the building improvements, along the street frontages, and within the parking areas.  </w:t>
      </w:r>
    </w:p>
    <w:p w14:paraId="6DCD469D" w14:textId="77777777" w:rsidR="00820626" w:rsidRPr="00514064" w:rsidRDefault="00820626" w:rsidP="00820626">
      <w:pPr>
        <w:widowControl w:val="0"/>
        <w:tabs>
          <w:tab w:val="left" w:pos="2880"/>
        </w:tabs>
        <w:ind w:left="2880" w:hanging="2880"/>
      </w:pPr>
    </w:p>
    <w:p w14:paraId="771AE700" w14:textId="0D66E704" w:rsidR="00820626" w:rsidRDefault="00820626" w:rsidP="00820626">
      <w:pPr>
        <w:widowControl w:val="0"/>
        <w:tabs>
          <w:tab w:val="left" w:pos="2880"/>
        </w:tabs>
        <w:ind w:left="2880" w:hanging="2880"/>
      </w:pPr>
      <w:r w:rsidRPr="00514064">
        <w:tab/>
        <w:t xml:space="preserve">Within the subject’s buffer along </w:t>
      </w:r>
      <w:r>
        <w:t>SE 164th Avenue</w:t>
      </w:r>
      <w:r w:rsidRPr="00514064">
        <w:t xml:space="preserve"> is a grassy area with a drainage swale. There is also a fixed, projection-lit restaurant sign along this street frontage.  The noted walled-in storage </w:t>
      </w:r>
      <w:r>
        <w:t>area off the NEC of</w:t>
      </w:r>
      <w:r w:rsidRPr="00514064">
        <w:t xml:space="preserve"> the building is </w:t>
      </w:r>
      <w:r>
        <w:t>fenced with 6’ high chain link fencing with privacy slats and swing gate</w:t>
      </w:r>
      <w:r w:rsidRPr="00514064">
        <w:t>. This rear area includes a concrete pad.  Off the west side of the building is a concrete pad, outdoor seating area that includes a</w:t>
      </w:r>
      <w:r>
        <w:t xml:space="preserve"> 3’ high</w:t>
      </w:r>
      <w:r w:rsidRPr="00514064">
        <w:t xml:space="preserve"> wood perimeter </w:t>
      </w:r>
      <w:r>
        <w:t>fencing</w:t>
      </w:r>
      <w:r w:rsidRPr="00514064">
        <w:t xml:space="preserve">.  </w:t>
      </w:r>
    </w:p>
    <w:p w14:paraId="3FB9499D" w14:textId="77777777" w:rsidR="00820626" w:rsidRPr="00514064" w:rsidRDefault="00820626" w:rsidP="00820626">
      <w:pPr>
        <w:widowControl w:val="0"/>
        <w:tabs>
          <w:tab w:val="left" w:pos="2880"/>
        </w:tabs>
        <w:ind w:left="2880" w:hanging="2880"/>
      </w:pPr>
    </w:p>
    <w:p w14:paraId="5E1CCF7A" w14:textId="77777777" w:rsidR="00820626" w:rsidRPr="00514064" w:rsidRDefault="00820626" w:rsidP="00820626">
      <w:pPr>
        <w:tabs>
          <w:tab w:val="left" w:pos="2880"/>
        </w:tabs>
        <w:ind w:left="2880" w:hanging="2880"/>
        <w:rPr>
          <w:rFonts w:cs="Arial"/>
          <w:szCs w:val="22"/>
        </w:rPr>
      </w:pPr>
      <w:r w:rsidRPr="00514064">
        <w:tab/>
        <w:t xml:space="preserve">Exterior lighting on the building includes decorative incandescent fixtures. The parking areas are illuminated around the perimeter with anodized, metal poles with </w:t>
      </w:r>
      <w:r>
        <w:t>metal</w:t>
      </w:r>
      <w:r w:rsidRPr="00514064">
        <w:t xml:space="preserve"> halide fixtures.</w:t>
      </w:r>
    </w:p>
    <w:p w14:paraId="12506B7E" w14:textId="77777777" w:rsidR="00820626" w:rsidRPr="00514064" w:rsidRDefault="00820626" w:rsidP="00820626">
      <w:pPr>
        <w:tabs>
          <w:tab w:val="left" w:pos="2880"/>
        </w:tabs>
        <w:ind w:left="2880" w:hanging="2880"/>
        <w:rPr>
          <w:rFonts w:cs="Arial"/>
          <w:szCs w:val="22"/>
        </w:rPr>
      </w:pPr>
    </w:p>
    <w:p w14:paraId="32387107" w14:textId="77777777" w:rsidR="00820626" w:rsidRPr="008F4A35" w:rsidRDefault="00820626" w:rsidP="00820626">
      <w:pPr>
        <w:tabs>
          <w:tab w:val="left" w:pos="2880"/>
        </w:tabs>
        <w:ind w:left="2880" w:hanging="2880"/>
        <w:rPr>
          <w:rFonts w:cs="Arial"/>
          <w:b/>
          <w:color w:val="1E4959"/>
          <w:szCs w:val="22"/>
        </w:rPr>
      </w:pPr>
      <w:r w:rsidRPr="008F4A35">
        <w:rPr>
          <w:rFonts w:cs="Arial"/>
          <w:b/>
          <w:color w:val="1E4959"/>
          <w:szCs w:val="22"/>
        </w:rPr>
        <w:t>Interior and</w:t>
      </w:r>
    </w:p>
    <w:p w14:paraId="3A54F27C" w14:textId="77777777" w:rsidR="00820626" w:rsidRDefault="00820626" w:rsidP="00820626">
      <w:pPr>
        <w:tabs>
          <w:tab w:val="left" w:pos="2880"/>
        </w:tabs>
        <w:ind w:left="2880" w:hanging="2880"/>
        <w:rPr>
          <w:rFonts w:cs="Arial"/>
          <w:szCs w:val="22"/>
        </w:rPr>
      </w:pPr>
      <w:r w:rsidRPr="008F4A35">
        <w:rPr>
          <w:rFonts w:cs="Arial"/>
          <w:b/>
          <w:color w:val="1E4959"/>
          <w:szCs w:val="22"/>
        </w:rPr>
        <w:t xml:space="preserve">  Exterior Condition:</w:t>
      </w:r>
      <w:r w:rsidRPr="008F4A35">
        <w:rPr>
          <w:rFonts w:cs="Arial"/>
          <w:szCs w:val="22"/>
        </w:rPr>
        <w:tab/>
      </w:r>
      <w:r w:rsidRPr="00514064">
        <w:rPr>
          <w:rFonts w:cs="Arial"/>
          <w:szCs w:val="22"/>
        </w:rPr>
        <w:t xml:space="preserve">Generally </w:t>
      </w:r>
      <w:r w:rsidRPr="00820626">
        <w:rPr>
          <w:rFonts w:cs="Arial"/>
          <w:szCs w:val="22"/>
          <w:highlight w:val="yellow"/>
        </w:rPr>
        <w:t>average, well maintained</w:t>
      </w:r>
      <w:r>
        <w:rPr>
          <w:rFonts w:cs="Arial"/>
          <w:szCs w:val="22"/>
        </w:rPr>
        <w:t xml:space="preserve"> </w:t>
      </w:r>
      <w:r w:rsidRPr="00514064">
        <w:rPr>
          <w:rFonts w:cs="Arial"/>
          <w:szCs w:val="22"/>
        </w:rPr>
        <w:t>condition</w:t>
      </w:r>
      <w:r>
        <w:rPr>
          <w:rFonts w:cs="Arial"/>
          <w:szCs w:val="22"/>
        </w:rPr>
        <w:t xml:space="preserve"> (no major items of deferred maintenance noted)</w:t>
      </w:r>
      <w:r w:rsidRPr="004E46B5">
        <w:rPr>
          <w:rFonts w:cs="Arial"/>
          <w:szCs w:val="22"/>
        </w:rPr>
        <w:t xml:space="preserve">. </w:t>
      </w:r>
      <w:r w:rsidRPr="00820626">
        <w:rPr>
          <w:rFonts w:cs="Arial"/>
          <w:szCs w:val="22"/>
          <w:highlight w:val="yellow"/>
        </w:rPr>
        <w:t>According to discussions with the owner’s representative – Juergen Davis, CFO of Guten Foods, this property received an approximately $150,000 ($20 / SF) “freshen up” in 2015, including paint and carpeting.</w:t>
      </w:r>
      <w:r>
        <w:rPr>
          <w:rFonts w:cs="Arial"/>
          <w:szCs w:val="22"/>
        </w:rPr>
        <w:t xml:space="preserve">  </w:t>
      </w:r>
    </w:p>
    <w:p w14:paraId="67E749D3" w14:textId="77777777" w:rsidR="00820626" w:rsidRPr="00F34758" w:rsidRDefault="00820626" w:rsidP="00820626">
      <w:pPr>
        <w:tabs>
          <w:tab w:val="left" w:pos="2880"/>
        </w:tabs>
        <w:ind w:left="2880" w:hanging="2880"/>
        <w:rPr>
          <w:rFonts w:cs="Arial"/>
          <w:b/>
          <w:szCs w:val="22"/>
          <w:u w:val="single"/>
        </w:rPr>
      </w:pPr>
    </w:p>
    <w:p w14:paraId="764923A9" w14:textId="2D26F399" w:rsidR="00820626" w:rsidRPr="00A46E01" w:rsidRDefault="00820626" w:rsidP="00820626">
      <w:pPr>
        <w:ind w:left="2880" w:hanging="2880"/>
        <w:jc w:val="left"/>
        <w:rPr>
          <w:rFonts w:cs="Arial"/>
          <w:szCs w:val="22"/>
        </w:rPr>
      </w:pPr>
      <w:r w:rsidRPr="00A46E01">
        <w:rPr>
          <w:rFonts w:cs="Arial"/>
          <w:b/>
          <w:color w:val="1E4959"/>
          <w:szCs w:val="22"/>
        </w:rPr>
        <w:t>Year Built</w:t>
      </w:r>
      <w:r>
        <w:rPr>
          <w:rFonts w:cs="Arial"/>
          <w:b/>
          <w:color w:val="1E4959"/>
          <w:szCs w:val="22"/>
        </w:rPr>
        <w:t xml:space="preserve"> (Remodeled)</w:t>
      </w:r>
      <w:r w:rsidRPr="00A46E01">
        <w:rPr>
          <w:rFonts w:cs="Arial"/>
          <w:b/>
          <w:color w:val="1E4959"/>
          <w:szCs w:val="22"/>
        </w:rPr>
        <w:t>:</w:t>
      </w:r>
      <w:r>
        <w:rPr>
          <w:rFonts w:cs="Arial"/>
          <w:szCs w:val="22"/>
        </w:rPr>
        <w:tab/>
      </w:r>
      <w:r w:rsidR="007D282A">
        <w:rPr>
          <w:rFonts w:cs="Arial"/>
          <w:szCs w:val="22"/>
        </w:rPr>
        <w:t>${yearbuilt}</w:t>
      </w:r>
    </w:p>
    <w:p w14:paraId="622CCA14" w14:textId="77777777" w:rsidR="00820626" w:rsidRPr="004E46B5" w:rsidRDefault="00820626" w:rsidP="00820626">
      <w:pPr>
        <w:tabs>
          <w:tab w:val="left" w:pos="2880"/>
        </w:tabs>
        <w:ind w:left="2880" w:hanging="2880"/>
        <w:rPr>
          <w:rFonts w:cs="Arial"/>
          <w:szCs w:val="22"/>
        </w:rPr>
      </w:pPr>
    </w:p>
    <w:p w14:paraId="6B515746" w14:textId="77777777" w:rsidR="00820626" w:rsidRPr="000816D3" w:rsidRDefault="00820626" w:rsidP="00820626">
      <w:pPr>
        <w:tabs>
          <w:tab w:val="left" w:pos="2880"/>
        </w:tabs>
        <w:ind w:left="2880" w:hanging="2880"/>
        <w:rPr>
          <w:rFonts w:cs="Arial"/>
          <w:szCs w:val="22"/>
          <w:u w:val="single"/>
        </w:rPr>
      </w:pPr>
      <w:r>
        <w:rPr>
          <w:rFonts w:cs="Arial"/>
          <w:b/>
          <w:color w:val="1E4959"/>
          <w:szCs w:val="22"/>
        </w:rPr>
        <w:t xml:space="preserve">Actual / </w:t>
      </w:r>
      <w:r w:rsidRPr="004E46B5">
        <w:rPr>
          <w:rFonts w:cs="Arial"/>
          <w:b/>
          <w:color w:val="1E4959"/>
          <w:szCs w:val="22"/>
        </w:rPr>
        <w:t>Effective Age:</w:t>
      </w:r>
      <w:r w:rsidRPr="004E46B5">
        <w:rPr>
          <w:rFonts w:cs="Arial"/>
          <w:szCs w:val="22"/>
        </w:rPr>
        <w:tab/>
      </w:r>
      <w:r w:rsidRPr="00820626">
        <w:rPr>
          <w:rFonts w:cs="Arial"/>
          <w:szCs w:val="22"/>
          <w:highlight w:val="yellow"/>
        </w:rPr>
        <w:t>17 Years / Effective age estimated at 15 years</w:t>
      </w:r>
      <w:r w:rsidRPr="004E46B5">
        <w:rPr>
          <w:rFonts w:cs="Arial"/>
          <w:szCs w:val="22"/>
        </w:rPr>
        <w:t xml:space="preserve">, with remaining economic life </w:t>
      </w:r>
      <w:r w:rsidRPr="000816D3">
        <w:rPr>
          <w:rFonts w:cs="Arial"/>
          <w:szCs w:val="22"/>
        </w:rPr>
        <w:t xml:space="preserve">estimated at +30 years with regular maintenance. </w:t>
      </w:r>
    </w:p>
    <w:p w14:paraId="065ED462" w14:textId="77777777" w:rsidR="00820626" w:rsidRPr="000816D3" w:rsidRDefault="00820626" w:rsidP="00820626">
      <w:pPr>
        <w:tabs>
          <w:tab w:val="left" w:pos="2880"/>
        </w:tabs>
        <w:ind w:left="2880" w:hanging="2880"/>
        <w:rPr>
          <w:rFonts w:cs="Arial"/>
          <w:szCs w:val="22"/>
        </w:rPr>
      </w:pPr>
    </w:p>
    <w:p w14:paraId="7F0662A7" w14:textId="1B24D211" w:rsidR="00820626" w:rsidRPr="008F4A35" w:rsidRDefault="00820626" w:rsidP="00820626">
      <w:pPr>
        <w:tabs>
          <w:tab w:val="left" w:pos="2880"/>
        </w:tabs>
        <w:ind w:left="2880" w:hanging="2880"/>
        <w:rPr>
          <w:rFonts w:cs="Arial"/>
          <w:szCs w:val="22"/>
        </w:rPr>
      </w:pPr>
      <w:r w:rsidRPr="000816D3">
        <w:rPr>
          <w:rFonts w:cs="Arial"/>
          <w:b/>
          <w:color w:val="1E4959"/>
          <w:szCs w:val="22"/>
        </w:rPr>
        <w:t>Site Coverage Ratio:</w:t>
      </w:r>
      <w:r w:rsidRPr="000816D3">
        <w:rPr>
          <w:rFonts w:cs="Arial"/>
          <w:szCs w:val="22"/>
        </w:rPr>
        <w:tab/>
      </w:r>
      <w:r w:rsidR="007D282A">
        <w:rPr>
          <w:rFonts w:cs="Arial"/>
          <w:szCs w:val="22"/>
        </w:rPr>
        <w:t>${</w:t>
      </w:r>
      <w:r w:rsidR="007D282A" w:rsidRPr="007D282A">
        <w:rPr>
          <w:rFonts w:cs="Arial"/>
          <w:szCs w:val="22"/>
        </w:rPr>
        <w:t>siteprim</w:t>
      </w:r>
      <w:r w:rsidR="007D282A">
        <w:rPr>
          <w:rFonts w:cs="Arial"/>
          <w:szCs w:val="22"/>
        </w:rPr>
        <w:t>}</w:t>
      </w:r>
      <w:r w:rsidRPr="000816D3">
        <w:rPr>
          <w:rFonts w:cs="Arial"/>
          <w:szCs w:val="22"/>
        </w:rPr>
        <w:t xml:space="preserve"> (</w:t>
      </w:r>
      <w:r w:rsidR="007D282A">
        <w:rPr>
          <w:rFonts w:cs="Arial"/>
          <w:szCs w:val="22"/>
        </w:rPr>
        <w:t>${footprint}</w:t>
      </w:r>
      <w:r w:rsidRPr="000816D3">
        <w:rPr>
          <w:rFonts w:cs="Arial"/>
          <w:szCs w:val="22"/>
        </w:rPr>
        <w:t xml:space="preserve"> SF Footprint </w:t>
      </w:r>
      <w:r w:rsidRPr="000816D3">
        <w:rPr>
          <w:rFonts w:cs="Arial"/>
          <w:szCs w:val="22"/>
        </w:rPr>
        <w:sym w:font="Courier New" w:char="00F7"/>
      </w:r>
      <w:r w:rsidRPr="000816D3">
        <w:rPr>
          <w:rFonts w:cs="Arial"/>
          <w:szCs w:val="22"/>
        </w:rPr>
        <w:t xml:space="preserve"> </w:t>
      </w:r>
      <w:r w:rsidR="007D282A">
        <w:rPr>
          <w:rFonts w:cs="Arial"/>
          <w:szCs w:val="22"/>
        </w:rPr>
        <w:t>${primsf}</w:t>
      </w:r>
      <w:r w:rsidRPr="000816D3">
        <w:rPr>
          <w:rFonts w:cs="Arial"/>
          <w:szCs w:val="22"/>
        </w:rPr>
        <w:t xml:space="preserve"> SF </w:t>
      </w:r>
      <w:r>
        <w:rPr>
          <w:rFonts w:cs="Arial"/>
          <w:szCs w:val="22"/>
        </w:rPr>
        <w:t xml:space="preserve">Land </w:t>
      </w:r>
      <w:r w:rsidRPr="000816D3">
        <w:rPr>
          <w:rFonts w:cs="Arial"/>
          <w:szCs w:val="22"/>
        </w:rPr>
        <w:t>Area)</w:t>
      </w:r>
    </w:p>
    <w:p w14:paraId="2A8E1BDB" w14:textId="77777777" w:rsidR="00820626" w:rsidRPr="000816D3" w:rsidRDefault="00820626" w:rsidP="00820626">
      <w:pPr>
        <w:tabs>
          <w:tab w:val="left" w:pos="2880"/>
        </w:tabs>
        <w:ind w:left="2880" w:hanging="2880"/>
        <w:rPr>
          <w:rFonts w:cs="Arial"/>
          <w:szCs w:val="22"/>
        </w:rPr>
      </w:pPr>
    </w:p>
    <w:p w14:paraId="28CF6B1D" w14:textId="1A5CF9D0" w:rsidR="00820626" w:rsidRPr="000816D3" w:rsidRDefault="00820626" w:rsidP="00820626">
      <w:pPr>
        <w:tabs>
          <w:tab w:val="left" w:pos="2880"/>
        </w:tabs>
        <w:ind w:left="2880" w:hanging="2880"/>
        <w:rPr>
          <w:rFonts w:cs="Arial"/>
          <w:szCs w:val="22"/>
        </w:rPr>
      </w:pPr>
      <w:r w:rsidRPr="000816D3">
        <w:rPr>
          <w:rFonts w:cs="Arial"/>
          <w:b/>
          <w:color w:val="1E4959"/>
          <w:szCs w:val="22"/>
        </w:rPr>
        <w:t>Land-to-Bldg. Ratio:</w:t>
      </w:r>
      <w:r w:rsidRPr="000816D3">
        <w:rPr>
          <w:rFonts w:cs="Arial"/>
          <w:szCs w:val="22"/>
        </w:rPr>
        <w:tab/>
      </w:r>
      <w:r w:rsidR="007D282A">
        <w:rPr>
          <w:rFonts w:cs="Arial"/>
          <w:szCs w:val="22"/>
        </w:rPr>
        <w:t>${</w:t>
      </w:r>
      <w:r w:rsidR="007D282A" w:rsidRPr="007D282A">
        <w:rPr>
          <w:rFonts w:cs="Arial"/>
          <w:szCs w:val="22"/>
        </w:rPr>
        <w:t>landprim</w:t>
      </w:r>
      <w:r w:rsidR="007D282A">
        <w:rPr>
          <w:rFonts w:cs="Arial"/>
          <w:szCs w:val="22"/>
        </w:rPr>
        <w:t>}</w:t>
      </w:r>
      <w:r w:rsidRPr="000816D3">
        <w:rPr>
          <w:rFonts w:cs="Arial"/>
          <w:szCs w:val="22"/>
        </w:rPr>
        <w:t xml:space="preserve"> to 1 </w:t>
      </w:r>
      <w:r w:rsidRPr="007D282A">
        <w:rPr>
          <w:rFonts w:cs="Arial"/>
          <w:szCs w:val="22"/>
        </w:rPr>
        <w:t>(</w:t>
      </w:r>
      <w:r w:rsidR="007D282A" w:rsidRPr="007D282A">
        <w:rPr>
          <w:rFonts w:cs="Arial"/>
          <w:szCs w:val="22"/>
        </w:rPr>
        <w:t>${primsf}</w:t>
      </w:r>
      <w:r w:rsidRPr="007D282A">
        <w:rPr>
          <w:rFonts w:cs="Arial"/>
          <w:szCs w:val="22"/>
        </w:rPr>
        <w:t xml:space="preserve"> SF</w:t>
      </w:r>
      <w:r w:rsidRPr="000816D3">
        <w:rPr>
          <w:rFonts w:cs="Arial"/>
          <w:szCs w:val="22"/>
        </w:rPr>
        <w:t xml:space="preserve"> </w:t>
      </w:r>
      <w:r>
        <w:rPr>
          <w:rFonts w:cs="Arial"/>
          <w:szCs w:val="22"/>
        </w:rPr>
        <w:t xml:space="preserve">Land </w:t>
      </w:r>
      <w:r w:rsidRPr="000816D3">
        <w:rPr>
          <w:rFonts w:cs="Arial"/>
          <w:szCs w:val="22"/>
        </w:rPr>
        <w:t xml:space="preserve">Area </w:t>
      </w:r>
      <w:r w:rsidRPr="000816D3">
        <w:rPr>
          <w:rFonts w:cs="Arial"/>
          <w:szCs w:val="22"/>
        </w:rPr>
        <w:sym w:font="Courier New" w:char="00F7"/>
      </w:r>
      <w:r w:rsidRPr="000816D3">
        <w:rPr>
          <w:rFonts w:cs="Arial"/>
          <w:szCs w:val="22"/>
        </w:rPr>
        <w:t xml:space="preserve"> </w:t>
      </w:r>
      <w:r w:rsidR="007D282A">
        <w:rPr>
          <w:rFonts w:cs="Arial"/>
          <w:szCs w:val="22"/>
        </w:rPr>
        <w:t>${gba}</w:t>
      </w:r>
      <w:r w:rsidRPr="000816D3">
        <w:rPr>
          <w:rFonts w:cs="Arial"/>
          <w:szCs w:val="22"/>
        </w:rPr>
        <w:t xml:space="preserve"> SF GBA)</w:t>
      </w:r>
    </w:p>
    <w:p w14:paraId="431C663A" w14:textId="77777777" w:rsidR="00820626" w:rsidRPr="008F4A35" w:rsidRDefault="00820626" w:rsidP="00820626">
      <w:pPr>
        <w:tabs>
          <w:tab w:val="left" w:pos="2880"/>
        </w:tabs>
        <w:ind w:left="2880" w:hanging="2880"/>
        <w:rPr>
          <w:rFonts w:cs="Arial"/>
          <w:szCs w:val="22"/>
        </w:rPr>
      </w:pPr>
    </w:p>
    <w:p w14:paraId="338AA6B2" w14:textId="166E7A4E" w:rsidR="00820626" w:rsidRPr="008F4A35" w:rsidRDefault="00820626" w:rsidP="00820626">
      <w:pPr>
        <w:tabs>
          <w:tab w:val="left" w:pos="2880"/>
        </w:tabs>
        <w:ind w:left="2880" w:hanging="2880"/>
        <w:rPr>
          <w:rFonts w:cs="Arial"/>
          <w:szCs w:val="22"/>
        </w:rPr>
      </w:pPr>
      <w:r w:rsidRPr="008F4A35">
        <w:rPr>
          <w:rFonts w:cs="Arial"/>
          <w:b/>
          <w:color w:val="1E4959"/>
          <w:szCs w:val="22"/>
        </w:rPr>
        <w:t>Parking:</w:t>
      </w:r>
      <w:r w:rsidRPr="008F4A35">
        <w:rPr>
          <w:rFonts w:cs="Arial"/>
          <w:szCs w:val="22"/>
        </w:rPr>
        <w:tab/>
      </w:r>
      <w:r>
        <w:rPr>
          <w:rFonts w:cs="Arial"/>
          <w:szCs w:val="22"/>
        </w:rPr>
        <w:t xml:space="preserve">Our on-site inspection indicates </w:t>
      </w:r>
      <w:r w:rsidR="007D282A">
        <w:rPr>
          <w:rFonts w:cs="Arial"/>
          <w:szCs w:val="22"/>
        </w:rPr>
        <w:t>${</w:t>
      </w:r>
      <w:r w:rsidR="007D282A" w:rsidRPr="007D282A">
        <w:rPr>
          <w:rFonts w:cs="Arial"/>
          <w:szCs w:val="22"/>
        </w:rPr>
        <w:t>pspaces</w:t>
      </w:r>
      <w:r w:rsidR="007D282A">
        <w:rPr>
          <w:rFonts w:cs="Arial"/>
          <w:szCs w:val="22"/>
        </w:rPr>
        <w:t>}</w:t>
      </w:r>
      <w:r w:rsidRPr="008F4A35">
        <w:rPr>
          <w:rFonts w:cs="Arial"/>
          <w:szCs w:val="22"/>
        </w:rPr>
        <w:t xml:space="preserve"> delineated automobile spaces on-site</w:t>
      </w:r>
      <w:r>
        <w:rPr>
          <w:rFonts w:cs="Arial"/>
          <w:szCs w:val="22"/>
        </w:rPr>
        <w:t>. This</w:t>
      </w:r>
      <w:r w:rsidRPr="008F4A35">
        <w:rPr>
          <w:rFonts w:cs="Arial"/>
          <w:szCs w:val="22"/>
        </w:rPr>
        <w:t xml:space="preserve"> equates to a parking ratio of </w:t>
      </w:r>
      <w:r w:rsidR="007D282A">
        <w:rPr>
          <w:rFonts w:cs="Arial"/>
          <w:szCs w:val="22"/>
        </w:rPr>
        <w:t>${</w:t>
      </w:r>
      <w:r w:rsidR="007D282A" w:rsidRPr="007D282A">
        <w:rPr>
          <w:rFonts w:cs="Arial"/>
          <w:szCs w:val="22"/>
        </w:rPr>
        <w:t>pratio</w:t>
      </w:r>
      <w:r w:rsidR="007D282A">
        <w:rPr>
          <w:rFonts w:cs="Arial"/>
          <w:szCs w:val="22"/>
        </w:rPr>
        <w:t>}</w:t>
      </w:r>
      <w:r w:rsidRPr="008F4A35">
        <w:rPr>
          <w:rFonts w:cs="Arial"/>
          <w:szCs w:val="22"/>
        </w:rPr>
        <w:t xml:space="preserve"> </w:t>
      </w:r>
      <w:r>
        <w:rPr>
          <w:rFonts w:cs="Arial"/>
          <w:szCs w:val="22"/>
        </w:rPr>
        <w:t>GLA</w:t>
      </w:r>
      <w:r w:rsidRPr="008F4A35">
        <w:rPr>
          <w:rFonts w:cs="Arial"/>
          <w:szCs w:val="22"/>
        </w:rPr>
        <w:t xml:space="preserve">, which </w:t>
      </w:r>
      <w:r>
        <w:rPr>
          <w:rFonts w:cs="Arial"/>
          <w:szCs w:val="22"/>
        </w:rPr>
        <w:t>lies just above</w:t>
      </w:r>
      <w:r w:rsidRPr="008F4A35">
        <w:rPr>
          <w:rFonts w:cs="Arial"/>
          <w:szCs w:val="22"/>
        </w:rPr>
        <w:t xml:space="preserve"> the market standard of 10 to 15 spaces per 1,000 SF for typical restaurants </w:t>
      </w:r>
      <w:r w:rsidRPr="00820626">
        <w:rPr>
          <w:rFonts w:cs="Arial"/>
          <w:szCs w:val="22"/>
          <w:highlight w:val="yellow"/>
        </w:rPr>
        <w:t>occupied by national credit tenants</w:t>
      </w:r>
      <w:r w:rsidRPr="008F4A35">
        <w:rPr>
          <w:rFonts w:cs="Arial"/>
          <w:szCs w:val="22"/>
        </w:rPr>
        <w:t xml:space="preserve">. </w:t>
      </w:r>
      <w:r>
        <w:rPr>
          <w:rFonts w:cs="Arial"/>
          <w:szCs w:val="22"/>
        </w:rPr>
        <w:t xml:space="preserve"> Thus, the subject has </w:t>
      </w:r>
      <w:r w:rsidRPr="00820626">
        <w:rPr>
          <w:rFonts w:cs="Arial"/>
          <w:szCs w:val="22"/>
          <w:highlight w:val="yellow"/>
        </w:rPr>
        <w:t>very good</w:t>
      </w:r>
      <w:r>
        <w:rPr>
          <w:rFonts w:cs="Arial"/>
          <w:szCs w:val="22"/>
        </w:rPr>
        <w:t xml:space="preserve"> on-site parking available</w:t>
      </w:r>
      <w:r w:rsidRPr="008F4A35">
        <w:rPr>
          <w:rFonts w:cs="Arial"/>
          <w:szCs w:val="22"/>
        </w:rPr>
        <w:t>.</w:t>
      </w:r>
    </w:p>
    <w:p w14:paraId="6929DC85" w14:textId="77777777" w:rsidR="00820626" w:rsidRPr="008F4A35" w:rsidRDefault="00820626" w:rsidP="00820626">
      <w:pPr>
        <w:tabs>
          <w:tab w:val="left" w:pos="2880"/>
        </w:tabs>
        <w:ind w:left="2880" w:hanging="2880"/>
        <w:rPr>
          <w:rFonts w:cs="Arial"/>
          <w:szCs w:val="22"/>
        </w:rPr>
      </w:pPr>
    </w:p>
    <w:p w14:paraId="05FDBCB3" w14:textId="48651243" w:rsidR="00820626" w:rsidRDefault="00820626" w:rsidP="00820626">
      <w:pPr>
        <w:widowControl w:val="0"/>
        <w:tabs>
          <w:tab w:val="left" w:pos="2880"/>
        </w:tabs>
        <w:spacing w:after="120"/>
        <w:ind w:left="2880" w:hanging="2880"/>
      </w:pPr>
      <w:r w:rsidRPr="00643874">
        <w:rPr>
          <w:rFonts w:cs="Arial"/>
          <w:b/>
          <w:color w:val="1E4959"/>
          <w:szCs w:val="22"/>
        </w:rPr>
        <w:t>Utility:</w:t>
      </w:r>
      <w:r w:rsidRPr="00643874">
        <w:rPr>
          <w:rFonts w:cs="Arial"/>
          <w:szCs w:val="22"/>
        </w:rPr>
        <w:tab/>
      </w:r>
      <w:r w:rsidRPr="00820626">
        <w:rPr>
          <w:highlight w:val="yellow"/>
        </w:rPr>
        <w:t>Good.</w:t>
      </w:r>
      <w:r>
        <w:t xml:space="preserve">  The </w:t>
      </w:r>
      <w:r w:rsidRPr="00514064">
        <w:t xml:space="preserve">subject facility is well-suited for a sit-down restaurant/lounge use due to its functional design with adequate seating and service area and ample parking.  </w:t>
      </w:r>
    </w:p>
    <w:p w14:paraId="687A712D" w14:textId="0ECA1399" w:rsidR="00820626" w:rsidRDefault="00820626" w:rsidP="00820626">
      <w:pPr>
        <w:widowControl w:val="0"/>
        <w:tabs>
          <w:tab w:val="left" w:pos="2880"/>
        </w:tabs>
        <w:spacing w:after="120"/>
        <w:ind w:left="2880" w:hanging="2880"/>
      </w:pPr>
      <w:r>
        <w:tab/>
      </w:r>
      <w:r w:rsidRPr="00820626">
        <w:rPr>
          <w:highlight w:val="yellow"/>
        </w:rPr>
        <w:t xml:space="preserve">As an aside, it is noted that the existing facility’s “Bavarian” theme is suited for the existing operator.  However, it does have potential for occupancy by other larger format, sit-down restaurant chain or operators, including say, McCormick &amp; Schmick’s Grill, Portland Seafood Company and Newport Seafood Grill), or possibly an American cuisine theme (Chili’s, Ruby Tuesday, Buffalo Wild Wings, etc.), or a locally owned sports bar, brew pub or steakhouse, would require little in the way of conversion costs. However, other alternative restaurant operations may require a full </w:t>
      </w:r>
      <w:r w:rsidRPr="00820626">
        <w:rPr>
          <w:highlight w:val="yellow"/>
        </w:rPr>
        <w:lastRenderedPageBreak/>
        <w:t>interior / exterior conversion / remodel to match an alternative theme restaurant (Chinese, Japanese, Italian, Mexican cuisines, etc.) with substantial associated costs.</w:t>
      </w:r>
    </w:p>
    <w:p w14:paraId="1CF7F3E8" w14:textId="6F54CA25" w:rsidR="00361B5E" w:rsidRDefault="00361B5E" w:rsidP="006028C1">
      <w:pPr>
        <w:tabs>
          <w:tab w:val="left" w:pos="2880"/>
        </w:tabs>
        <w:ind w:left="2880" w:hanging="2880"/>
        <w:rPr>
          <w:rFonts w:cs="Arial"/>
          <w:bCs/>
          <w:szCs w:val="22"/>
        </w:rPr>
      </w:pPr>
    </w:p>
    <w:p w14:paraId="4A9FA742" w14:textId="77777777" w:rsidR="006028C1" w:rsidRDefault="006028C1" w:rsidP="006028C1">
      <w:pPr>
        <w:tabs>
          <w:tab w:val="left" w:pos="2880"/>
        </w:tabs>
        <w:ind w:left="2880" w:hanging="2880"/>
        <w:rPr>
          <w:rFonts w:cs="Arial"/>
          <w:szCs w:val="22"/>
        </w:rPr>
        <w:sectPr w:rsidR="006028C1"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670AFFF2" w14:textId="77777777" w:rsidR="00A5618F" w:rsidRDefault="00A5618F" w:rsidP="00A5618F">
      <w:pPr>
        <w:tabs>
          <w:tab w:val="left" w:pos="2880"/>
        </w:tabs>
        <w:ind w:left="2880" w:hanging="2880"/>
        <w:rPr>
          <w:rFonts w:cs="Arial"/>
          <w:szCs w:val="22"/>
        </w:rPr>
        <w:sectPr w:rsidR="00A5618F"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5618F" w:rsidRPr="000754FA" w14:paraId="0E81EEC9" w14:textId="77777777" w:rsidTr="004A11EB">
        <w:trPr>
          <w:jc w:val="center"/>
        </w:trPr>
        <w:tc>
          <w:tcPr>
            <w:tcW w:w="9360" w:type="dxa"/>
            <w:tcBorders>
              <w:top w:val="nil"/>
              <w:left w:val="nil"/>
              <w:bottom w:val="single" w:sz="24" w:space="0" w:color="3FB44F"/>
              <w:right w:val="nil"/>
            </w:tcBorders>
            <w:shd w:val="clear" w:color="auto" w:fill="1E4959"/>
          </w:tcPr>
          <w:p w14:paraId="2C09C972" w14:textId="77777777" w:rsidR="00A5618F" w:rsidRPr="000754FA" w:rsidRDefault="00A5618F"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5618F" w:rsidRPr="000754FA" w14:paraId="3A9C1EE4"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29B25CBA"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p>
        </w:tc>
      </w:tr>
      <w:tr w:rsidR="00A5618F" w:rsidRPr="000754FA" w14:paraId="1E7574D4" w14:textId="77777777" w:rsidTr="004A11EB">
        <w:trPr>
          <w:trHeight w:hRule="exact" w:val="11808"/>
          <w:jc w:val="center"/>
        </w:trPr>
        <w:tc>
          <w:tcPr>
            <w:tcW w:w="9360" w:type="dxa"/>
            <w:tcBorders>
              <w:top w:val="nil"/>
              <w:left w:val="nil"/>
              <w:bottom w:val="nil"/>
              <w:right w:val="nil"/>
            </w:tcBorders>
            <w:shd w:val="clear" w:color="auto" w:fill="auto"/>
            <w:vAlign w:val="center"/>
          </w:tcPr>
          <w:p w14:paraId="1259EA12"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0FBD03" wp14:editId="45D2E751">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9329A" w14:textId="77777777" w:rsidR="006C4163" w:rsidRDefault="006C4163">
      <w:r>
        <w:separator/>
      </w:r>
    </w:p>
  </w:endnote>
  <w:endnote w:type="continuationSeparator" w:id="0">
    <w:p w14:paraId="03D8BDAC" w14:textId="77777777" w:rsidR="006C4163" w:rsidRDefault="006C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0CDCB701"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F20D6F">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7D282A">
      <w:rPr>
        <w:rFonts w:cs="Segoe UI"/>
        <w:bCs/>
        <w:iCs/>
        <w:kern w:val="0"/>
        <w:sz w:val="20"/>
        <w:szCs w:val="18"/>
      </w:rPr>
      <w:t>${reportname}</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80282" w14:textId="77777777" w:rsidR="006C4163" w:rsidRDefault="006C4163">
      <w:r>
        <w:separator/>
      </w:r>
    </w:p>
  </w:footnote>
  <w:footnote w:type="continuationSeparator" w:id="0">
    <w:p w14:paraId="40A6A44E" w14:textId="77777777" w:rsidR="006C4163" w:rsidRDefault="006C4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7D282A">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163"/>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282A"/>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008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021"/>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D6F"/>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69D70E-3EAD-413A-B606-19D4D7EA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1155</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7633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2020-05-12T16:25:00Z</dcterms:created>
  <dcterms:modified xsi:type="dcterms:W3CDTF">2020-05-12T16:30:00Z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