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6028C1" w:rsidRPr="00E03623" w:rsidRDefault="006028C1" w:rsidP="006028C1">
                                  <w:pPr>
                                    <w:pStyle w:val="AddendaHeading"/>
                                  </w:pPr>
                                  <w:bookmarkStart w:id="0" w:name="_Toc33773871"/>
                                  <w:r w:rsidRPr="009334EB">
                                    <w:t>Improvement Description</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6028C1" w:rsidRPr="00E03623" w:rsidRDefault="006028C1" w:rsidP="006028C1">
                            <w:pPr>
                              <w:pStyle w:val="AddendaHeading"/>
                            </w:pPr>
                            <w:bookmarkStart w:id="1" w:name="_Toc33773871"/>
                            <w:r w:rsidRPr="009334EB">
                              <w:t>Improvement Description</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4FE4A815"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D662B6">
        <w:rPr>
          <w:rFonts w:cs="Arial"/>
          <w:color w:val="000000"/>
          <w:szCs w:val="22"/>
        </w:rPr>
        <w:t>${</w:t>
      </w:r>
      <w:proofErr w:type="spellStart"/>
      <w:r w:rsidRPr="00D662B6">
        <w:rPr>
          <w:rFonts w:cs="Arial"/>
          <w:color w:val="000000"/>
          <w:szCs w:val="22"/>
        </w:rPr>
        <w:t>property_name</w:t>
      </w:r>
      <w:proofErr w:type="spellEnd"/>
      <w:r w:rsidRPr="00D662B6">
        <w:rPr>
          <w:rFonts w:cs="Arial"/>
          <w:color w:val="000000"/>
          <w:szCs w:val="22"/>
        </w:rPr>
        <w:t>}</w:t>
      </w:r>
    </w:p>
    <w:p w14:paraId="5B240988" w14:textId="77777777" w:rsidR="00361B5E" w:rsidRPr="00361B5E" w:rsidRDefault="00361B5E" w:rsidP="00361B5E">
      <w:pPr>
        <w:tabs>
          <w:tab w:val="left" w:pos="0"/>
          <w:tab w:val="left" w:pos="259"/>
          <w:tab w:val="left" w:pos="2880"/>
        </w:tabs>
        <w:ind w:left="2880" w:hanging="2880"/>
        <w:rPr>
          <w:rFonts w:cs="Arial"/>
          <w:bCs/>
          <w:szCs w:val="22"/>
        </w:rPr>
      </w:pPr>
    </w:p>
    <w:p w14:paraId="5290CCF3" w14:textId="3E49B7C1" w:rsidR="00361B5E" w:rsidRPr="000754FA" w:rsidRDefault="00361B5E" w:rsidP="00361B5E">
      <w:pPr>
        <w:tabs>
          <w:tab w:val="left" w:pos="0"/>
          <w:tab w:val="left" w:pos="259"/>
          <w:tab w:val="left" w:pos="2880"/>
        </w:tabs>
        <w:ind w:left="2880" w:hanging="2880"/>
        <w:rPr>
          <w:rFonts w:cs="Arial"/>
          <w:bCs/>
          <w:szCs w:val="22"/>
        </w:rPr>
      </w:pPr>
      <w:r w:rsidRPr="000754FA">
        <w:rPr>
          <w:rFonts w:cs="Arial"/>
          <w:b/>
          <w:color w:val="1E4959"/>
          <w:szCs w:val="22"/>
        </w:rPr>
        <w:t>General Description:</w:t>
      </w:r>
      <w:r w:rsidRPr="000754FA">
        <w:rPr>
          <w:rFonts w:cs="Arial"/>
          <w:b/>
          <w:szCs w:val="22"/>
        </w:rPr>
        <w:tab/>
      </w:r>
      <w:r>
        <w:rPr>
          <w:rFonts w:cs="Arial"/>
          <w:szCs w:val="22"/>
        </w:rPr>
        <w:t>Older, single-tenant</w:t>
      </w:r>
      <w:r w:rsidRPr="00E34F5B">
        <w:rPr>
          <w:rFonts w:cs="Arial"/>
          <w:szCs w:val="22"/>
        </w:rPr>
        <w:t xml:space="preserve">, auto </w:t>
      </w:r>
      <w:r>
        <w:rPr>
          <w:rFonts w:cs="Arial"/>
          <w:szCs w:val="22"/>
        </w:rPr>
        <w:t>service &amp; repair</w:t>
      </w:r>
      <w:r w:rsidRPr="00E34F5B">
        <w:rPr>
          <w:rFonts w:cs="Arial"/>
          <w:szCs w:val="22"/>
        </w:rPr>
        <w:t xml:space="preserve"> shop</w:t>
      </w:r>
      <w:r>
        <w:rPr>
          <w:rFonts w:cs="Arial"/>
          <w:szCs w:val="22"/>
        </w:rPr>
        <w:t xml:space="preserve"> of</w:t>
      </w:r>
      <w:r w:rsidRPr="00E34F5B">
        <w:rPr>
          <w:rFonts w:cs="Arial"/>
          <w:szCs w:val="22"/>
        </w:rPr>
        <w:t xml:space="preserve"> </w:t>
      </w:r>
      <w:r>
        <w:rPr>
          <w:rFonts w:cs="Arial"/>
          <w:szCs w:val="22"/>
        </w:rPr>
        <w:t>CMU / wood construction. Bu</w:t>
      </w:r>
      <w:r w:rsidRPr="00E34F5B">
        <w:rPr>
          <w:rFonts w:cs="Arial"/>
          <w:szCs w:val="22"/>
        </w:rPr>
        <w:t xml:space="preserve">ilt in </w:t>
      </w:r>
      <w:r w:rsidR="00D662B6">
        <w:rPr>
          <w:rFonts w:cs="Arial"/>
          <w:szCs w:val="22"/>
        </w:rPr>
        <w:t>${</w:t>
      </w:r>
      <w:proofErr w:type="spellStart"/>
      <w:r w:rsidR="00D662B6">
        <w:rPr>
          <w:rFonts w:cs="Arial"/>
          <w:szCs w:val="22"/>
        </w:rPr>
        <w:t>yearb</w:t>
      </w:r>
      <w:proofErr w:type="spellEnd"/>
      <w:r w:rsidR="00D662B6">
        <w:rPr>
          <w:rFonts w:cs="Arial"/>
          <w:szCs w:val="22"/>
        </w:rPr>
        <w:t>}</w:t>
      </w:r>
      <w:r>
        <w:rPr>
          <w:rFonts w:cs="Arial"/>
          <w:szCs w:val="22"/>
        </w:rPr>
        <w:t xml:space="preserve">; </w:t>
      </w:r>
      <w:r w:rsidRPr="00361B5E">
        <w:rPr>
          <w:rFonts w:cs="Arial"/>
          <w:szCs w:val="22"/>
          <w:highlight w:val="yellow"/>
        </w:rPr>
        <w:t>average quality / below average condition</w:t>
      </w:r>
      <w:r>
        <w:rPr>
          <w:rFonts w:cs="Arial"/>
          <w:szCs w:val="22"/>
        </w:rPr>
        <w:t xml:space="preserve">. </w:t>
      </w:r>
    </w:p>
    <w:p w14:paraId="181360DE" w14:textId="77777777" w:rsidR="00361B5E" w:rsidRPr="00361B5E" w:rsidRDefault="00361B5E" w:rsidP="00361B5E">
      <w:pPr>
        <w:tabs>
          <w:tab w:val="left" w:pos="0"/>
          <w:tab w:val="left" w:pos="259"/>
          <w:tab w:val="left" w:pos="2880"/>
        </w:tabs>
        <w:ind w:left="2880" w:hanging="2880"/>
        <w:rPr>
          <w:rFonts w:cs="Arial"/>
          <w:bCs/>
          <w:szCs w:val="22"/>
        </w:rPr>
      </w:pPr>
    </w:p>
    <w:p w14:paraId="3A77EF47" w14:textId="77777777" w:rsidR="00361B5E" w:rsidRPr="009B6E44" w:rsidRDefault="00361B5E" w:rsidP="00361B5E">
      <w:pPr>
        <w:widowControl w:val="0"/>
        <w:tabs>
          <w:tab w:val="left" w:pos="2880"/>
        </w:tabs>
        <w:ind w:left="2880" w:hanging="2880"/>
        <w:rPr>
          <w:rFonts w:cs="Arial"/>
          <w:b/>
          <w:szCs w:val="22"/>
        </w:rPr>
      </w:pPr>
      <w:r w:rsidRPr="009B6E44">
        <w:rPr>
          <w:rFonts w:cs="Arial"/>
          <w:b/>
          <w:color w:val="1E4959"/>
          <w:szCs w:val="22"/>
        </w:rPr>
        <w:t>Building Area:</w:t>
      </w:r>
    </w:p>
    <w:tbl>
      <w:tblPr>
        <w:tblW w:w="6480" w:type="dxa"/>
        <w:tblInd w:w="2988" w:type="dxa"/>
        <w:shd w:val="clear" w:color="auto" w:fill="FFFFFF"/>
        <w:tblLayout w:type="fixed"/>
        <w:tblLook w:val="0000" w:firstRow="0" w:lastRow="0" w:firstColumn="0" w:lastColumn="0" w:noHBand="0" w:noVBand="0"/>
      </w:tblPr>
      <w:tblGrid>
        <w:gridCol w:w="3150"/>
        <w:gridCol w:w="1665"/>
        <w:gridCol w:w="1665"/>
      </w:tblGrid>
      <w:tr w:rsidR="00361B5E" w:rsidRPr="009B6E44" w14:paraId="19CD131A" w14:textId="77777777" w:rsidTr="004A11EB">
        <w:tc>
          <w:tcPr>
            <w:tcW w:w="3150" w:type="dxa"/>
            <w:shd w:val="clear" w:color="auto" w:fill="1E4959"/>
          </w:tcPr>
          <w:p w14:paraId="26234D56" w14:textId="77777777" w:rsidR="00361B5E" w:rsidRPr="009B6E44" w:rsidRDefault="00361B5E" w:rsidP="004A11EB">
            <w:pPr>
              <w:tabs>
                <w:tab w:val="left" w:pos="0"/>
                <w:tab w:val="left" w:pos="259"/>
                <w:tab w:val="left" w:pos="3600"/>
                <w:tab w:val="right" w:pos="7879"/>
              </w:tabs>
              <w:rPr>
                <w:rFonts w:cs="Arial"/>
                <w:b/>
                <w:smallCaps/>
                <w:color w:val="FFFFFF" w:themeColor="background1"/>
                <w:szCs w:val="22"/>
              </w:rPr>
            </w:pPr>
          </w:p>
        </w:tc>
        <w:tc>
          <w:tcPr>
            <w:tcW w:w="1665" w:type="dxa"/>
            <w:shd w:val="clear" w:color="auto" w:fill="1E4959"/>
          </w:tcPr>
          <w:p w14:paraId="335AAE37" w14:textId="77777777" w:rsidR="00361B5E" w:rsidRPr="009B6E44" w:rsidRDefault="00361B5E" w:rsidP="004A11EB">
            <w:pPr>
              <w:tabs>
                <w:tab w:val="left" w:pos="0"/>
                <w:tab w:val="left" w:pos="259"/>
                <w:tab w:val="left" w:pos="3600"/>
                <w:tab w:val="right" w:pos="7879"/>
              </w:tabs>
              <w:jc w:val="center"/>
              <w:rPr>
                <w:rFonts w:cs="Arial"/>
                <w:b/>
                <w:smallCaps/>
                <w:color w:val="FFFFFF" w:themeColor="background1"/>
                <w:szCs w:val="22"/>
              </w:rPr>
            </w:pPr>
            <w:r w:rsidRPr="009B6E44">
              <w:rPr>
                <w:rFonts w:cs="Arial"/>
                <w:b/>
                <w:smallCaps/>
                <w:color w:val="FFFFFF" w:themeColor="background1"/>
                <w:szCs w:val="22"/>
              </w:rPr>
              <w:t>Gross</w:t>
            </w:r>
          </w:p>
          <w:p w14:paraId="38DA42E1" w14:textId="77777777" w:rsidR="00361B5E" w:rsidRPr="009B6E44" w:rsidRDefault="00361B5E" w:rsidP="004A11EB">
            <w:pPr>
              <w:tabs>
                <w:tab w:val="left" w:pos="0"/>
                <w:tab w:val="left" w:pos="259"/>
                <w:tab w:val="left" w:pos="3600"/>
                <w:tab w:val="right" w:pos="7879"/>
              </w:tabs>
              <w:jc w:val="center"/>
              <w:rPr>
                <w:rFonts w:cs="Arial"/>
                <w:b/>
                <w:smallCaps/>
                <w:color w:val="FFFFFF" w:themeColor="background1"/>
                <w:szCs w:val="22"/>
              </w:rPr>
            </w:pPr>
            <w:r w:rsidRPr="009B6E44">
              <w:rPr>
                <w:rFonts w:cs="Arial"/>
                <w:b/>
                <w:smallCaps/>
                <w:color w:val="FFFFFF" w:themeColor="background1"/>
                <w:szCs w:val="22"/>
              </w:rPr>
              <w:t>Building</w:t>
            </w:r>
          </w:p>
        </w:tc>
        <w:tc>
          <w:tcPr>
            <w:tcW w:w="1665" w:type="dxa"/>
            <w:shd w:val="clear" w:color="auto" w:fill="1E4959"/>
          </w:tcPr>
          <w:p w14:paraId="284495D8" w14:textId="77777777" w:rsidR="00361B5E" w:rsidRPr="009B4D83" w:rsidRDefault="00361B5E" w:rsidP="004A11EB">
            <w:pPr>
              <w:tabs>
                <w:tab w:val="left" w:pos="0"/>
                <w:tab w:val="left" w:pos="259"/>
                <w:tab w:val="left" w:pos="3600"/>
                <w:tab w:val="right" w:pos="7879"/>
              </w:tabs>
              <w:jc w:val="center"/>
              <w:rPr>
                <w:rFonts w:cs="Arial"/>
                <w:b/>
                <w:smallCaps/>
                <w:color w:val="FFFFFF" w:themeColor="background1"/>
                <w:szCs w:val="22"/>
              </w:rPr>
            </w:pPr>
            <w:r w:rsidRPr="009B4D83">
              <w:rPr>
                <w:rFonts w:cs="Arial"/>
                <w:b/>
                <w:smallCaps/>
                <w:color w:val="FFFFFF" w:themeColor="background1"/>
                <w:szCs w:val="22"/>
              </w:rPr>
              <w:t>Office</w:t>
            </w:r>
          </w:p>
          <w:p w14:paraId="6A354CB8" w14:textId="77777777" w:rsidR="00361B5E" w:rsidRPr="009B6E44" w:rsidRDefault="00361B5E" w:rsidP="004A11EB">
            <w:pPr>
              <w:tabs>
                <w:tab w:val="left" w:pos="0"/>
                <w:tab w:val="left" w:pos="259"/>
                <w:tab w:val="left" w:pos="3600"/>
                <w:tab w:val="right" w:pos="7879"/>
              </w:tabs>
              <w:jc w:val="center"/>
              <w:rPr>
                <w:rFonts w:cs="Arial"/>
                <w:b/>
                <w:smallCaps/>
                <w:color w:val="FFFFFF" w:themeColor="background1"/>
                <w:szCs w:val="22"/>
              </w:rPr>
            </w:pPr>
            <w:r w:rsidRPr="009B4D83">
              <w:rPr>
                <w:rFonts w:cs="Arial"/>
                <w:b/>
                <w:smallCaps/>
                <w:color w:val="FFFFFF" w:themeColor="background1"/>
                <w:szCs w:val="22"/>
              </w:rPr>
              <w:t>Space</w:t>
            </w:r>
          </w:p>
        </w:tc>
      </w:tr>
      <w:tr w:rsidR="00361B5E" w:rsidRPr="009B6E44" w14:paraId="1DEBBEDD" w14:textId="77777777" w:rsidTr="004A11EB">
        <w:tc>
          <w:tcPr>
            <w:tcW w:w="3150" w:type="dxa"/>
            <w:tcBorders>
              <w:bottom w:val="single" w:sz="24" w:space="0" w:color="3FB44F"/>
            </w:tcBorders>
            <w:shd w:val="clear" w:color="auto" w:fill="1E4959"/>
          </w:tcPr>
          <w:p w14:paraId="6B628144" w14:textId="77777777" w:rsidR="00361B5E" w:rsidRPr="009B6E44" w:rsidRDefault="00361B5E" w:rsidP="004A11EB">
            <w:pPr>
              <w:tabs>
                <w:tab w:val="left" w:pos="0"/>
                <w:tab w:val="left" w:pos="259"/>
                <w:tab w:val="left" w:pos="3600"/>
                <w:tab w:val="right" w:pos="7879"/>
              </w:tabs>
              <w:spacing w:after="60" w:line="20" w:lineRule="atLeast"/>
              <w:jc w:val="left"/>
              <w:rPr>
                <w:rFonts w:cs="Arial"/>
                <w:b/>
                <w:smallCaps/>
                <w:color w:val="FFFFFF" w:themeColor="background1"/>
                <w:szCs w:val="22"/>
              </w:rPr>
            </w:pPr>
            <w:r w:rsidRPr="009B6E44">
              <w:rPr>
                <w:rFonts w:cs="Arial"/>
                <w:b/>
                <w:smallCaps/>
                <w:color w:val="FFFFFF" w:themeColor="background1"/>
                <w:szCs w:val="22"/>
              </w:rPr>
              <w:t>Building Component</w:t>
            </w:r>
          </w:p>
        </w:tc>
        <w:tc>
          <w:tcPr>
            <w:tcW w:w="1665" w:type="dxa"/>
            <w:tcBorders>
              <w:bottom w:val="single" w:sz="24" w:space="0" w:color="3FB44F"/>
            </w:tcBorders>
            <w:shd w:val="clear" w:color="auto" w:fill="1E4959"/>
          </w:tcPr>
          <w:p w14:paraId="3D061014" w14:textId="77777777" w:rsidR="00361B5E" w:rsidRPr="009B6E44" w:rsidRDefault="00361B5E" w:rsidP="004A11EB">
            <w:pPr>
              <w:tabs>
                <w:tab w:val="left" w:pos="0"/>
                <w:tab w:val="left" w:pos="259"/>
                <w:tab w:val="left" w:pos="3600"/>
                <w:tab w:val="right" w:pos="7879"/>
              </w:tabs>
              <w:spacing w:after="60" w:line="20" w:lineRule="atLeast"/>
              <w:jc w:val="center"/>
              <w:rPr>
                <w:rFonts w:cs="Arial"/>
                <w:b/>
                <w:smallCaps/>
                <w:color w:val="FFFFFF" w:themeColor="background1"/>
                <w:szCs w:val="22"/>
              </w:rPr>
            </w:pPr>
            <w:r w:rsidRPr="009B6E44">
              <w:rPr>
                <w:rFonts w:cs="Arial"/>
                <w:b/>
                <w:smallCaps/>
                <w:color w:val="FFFFFF" w:themeColor="background1"/>
                <w:szCs w:val="22"/>
              </w:rPr>
              <w:t>Area (SF)</w:t>
            </w:r>
          </w:p>
        </w:tc>
        <w:tc>
          <w:tcPr>
            <w:tcW w:w="1665" w:type="dxa"/>
            <w:tcBorders>
              <w:bottom w:val="single" w:sz="24" w:space="0" w:color="3FB44F"/>
            </w:tcBorders>
            <w:shd w:val="clear" w:color="auto" w:fill="1E4959"/>
          </w:tcPr>
          <w:p w14:paraId="2CA3AB34" w14:textId="77777777" w:rsidR="00361B5E" w:rsidRPr="009B6E44" w:rsidRDefault="00361B5E" w:rsidP="004A11EB">
            <w:pPr>
              <w:tabs>
                <w:tab w:val="left" w:pos="0"/>
                <w:tab w:val="left" w:pos="259"/>
                <w:tab w:val="left" w:pos="3600"/>
                <w:tab w:val="right" w:pos="7879"/>
              </w:tabs>
              <w:spacing w:after="60" w:line="20" w:lineRule="atLeast"/>
              <w:jc w:val="center"/>
              <w:rPr>
                <w:rFonts w:cs="Arial"/>
                <w:b/>
                <w:smallCaps/>
                <w:color w:val="FFFFFF" w:themeColor="background1"/>
                <w:szCs w:val="22"/>
              </w:rPr>
            </w:pPr>
            <w:r w:rsidRPr="009B4D83">
              <w:rPr>
                <w:rFonts w:cs="Arial"/>
                <w:b/>
                <w:smallCaps/>
                <w:color w:val="FFFFFF" w:themeColor="background1"/>
                <w:szCs w:val="22"/>
              </w:rPr>
              <w:t>SF / %</w:t>
            </w:r>
          </w:p>
        </w:tc>
      </w:tr>
      <w:tr w:rsidR="00361B5E" w:rsidRPr="009B6E44" w14:paraId="1798A862" w14:textId="77777777" w:rsidTr="00361B5E">
        <w:trPr>
          <w:trHeight w:val="453"/>
        </w:trPr>
        <w:tc>
          <w:tcPr>
            <w:tcW w:w="3150" w:type="dxa"/>
            <w:tcBorders>
              <w:top w:val="single" w:sz="24" w:space="0" w:color="3FB44F"/>
            </w:tcBorders>
            <w:shd w:val="clear" w:color="auto" w:fill="FFFFFF"/>
            <w:vAlign w:val="center"/>
          </w:tcPr>
          <w:p w14:paraId="7805D702" w14:textId="77777777" w:rsidR="00361B5E" w:rsidRPr="009B6E44" w:rsidRDefault="00361B5E" w:rsidP="004A11EB">
            <w:pPr>
              <w:tabs>
                <w:tab w:val="left" w:pos="0"/>
                <w:tab w:val="left" w:pos="259"/>
                <w:tab w:val="left" w:pos="1512"/>
                <w:tab w:val="left" w:pos="3600"/>
                <w:tab w:val="right" w:pos="7879"/>
              </w:tabs>
              <w:spacing w:line="320" w:lineRule="exact"/>
              <w:rPr>
                <w:rFonts w:cs="Arial"/>
                <w:szCs w:val="22"/>
              </w:rPr>
            </w:pPr>
            <w:r>
              <w:rPr>
                <w:rFonts w:cs="Arial"/>
                <w:szCs w:val="22"/>
              </w:rPr>
              <w:t>Shop Shell</w:t>
            </w:r>
          </w:p>
        </w:tc>
        <w:tc>
          <w:tcPr>
            <w:tcW w:w="1665" w:type="dxa"/>
            <w:tcBorders>
              <w:top w:val="single" w:sz="24" w:space="0" w:color="3FB44F"/>
              <w:left w:val="single" w:sz="6" w:space="0" w:color="auto"/>
              <w:right w:val="single" w:sz="6" w:space="0" w:color="auto"/>
            </w:tcBorders>
            <w:shd w:val="clear" w:color="auto" w:fill="FFFFFF"/>
            <w:vAlign w:val="center"/>
          </w:tcPr>
          <w:p w14:paraId="131666CF" w14:textId="7AF4C4A7" w:rsidR="00361B5E" w:rsidRPr="009B6E44" w:rsidRDefault="00E724C5" w:rsidP="004A11EB">
            <w:pPr>
              <w:tabs>
                <w:tab w:val="left" w:pos="0"/>
                <w:tab w:val="left" w:pos="259"/>
                <w:tab w:val="left" w:pos="1512"/>
                <w:tab w:val="left" w:pos="3600"/>
                <w:tab w:val="right" w:pos="7879"/>
              </w:tabs>
              <w:spacing w:line="320" w:lineRule="exact"/>
              <w:jc w:val="center"/>
              <w:rPr>
                <w:rFonts w:cs="Arial"/>
                <w:szCs w:val="22"/>
              </w:rPr>
            </w:pPr>
            <w:r>
              <w:rPr>
                <w:rFonts w:cs="Arial"/>
                <w:szCs w:val="22"/>
              </w:rPr>
              <w:t>${</w:t>
            </w:r>
            <w:r w:rsidR="006B4A30">
              <w:rPr>
                <w:rFonts w:cs="Arial"/>
                <w:szCs w:val="22"/>
              </w:rPr>
              <w:t>floor1</w:t>
            </w:r>
            <w:r>
              <w:rPr>
                <w:rFonts w:cs="Arial"/>
                <w:szCs w:val="22"/>
              </w:rPr>
              <w:t>}</w:t>
            </w:r>
          </w:p>
        </w:tc>
        <w:tc>
          <w:tcPr>
            <w:tcW w:w="1665" w:type="dxa"/>
            <w:tcBorders>
              <w:top w:val="single" w:sz="24" w:space="0" w:color="3FB44F"/>
              <w:left w:val="single" w:sz="6" w:space="0" w:color="auto"/>
            </w:tcBorders>
            <w:shd w:val="clear" w:color="auto" w:fill="FFFFFF"/>
            <w:vAlign w:val="center"/>
          </w:tcPr>
          <w:p w14:paraId="5D72C912" w14:textId="77777777" w:rsidR="00361B5E" w:rsidRPr="009B6E44" w:rsidRDefault="00361B5E" w:rsidP="004A11EB">
            <w:pPr>
              <w:tabs>
                <w:tab w:val="left" w:pos="0"/>
                <w:tab w:val="left" w:pos="259"/>
                <w:tab w:val="left" w:pos="1512"/>
                <w:tab w:val="left" w:pos="3600"/>
                <w:tab w:val="right" w:pos="7879"/>
              </w:tabs>
              <w:spacing w:line="320" w:lineRule="exact"/>
              <w:jc w:val="center"/>
              <w:rPr>
                <w:rFonts w:cs="Arial"/>
                <w:szCs w:val="22"/>
              </w:rPr>
            </w:pPr>
          </w:p>
        </w:tc>
      </w:tr>
      <w:tr w:rsidR="00361B5E" w:rsidRPr="009B6E44" w14:paraId="2DE34C2C" w14:textId="77777777" w:rsidTr="00361B5E">
        <w:trPr>
          <w:trHeight w:val="441"/>
        </w:trPr>
        <w:tc>
          <w:tcPr>
            <w:tcW w:w="3150" w:type="dxa"/>
            <w:shd w:val="clear" w:color="auto" w:fill="FFFFFF"/>
            <w:vAlign w:val="center"/>
          </w:tcPr>
          <w:p w14:paraId="56808035" w14:textId="77777777" w:rsidR="00361B5E" w:rsidRDefault="00361B5E" w:rsidP="004A11EB">
            <w:pPr>
              <w:tabs>
                <w:tab w:val="left" w:pos="0"/>
                <w:tab w:val="left" w:pos="259"/>
                <w:tab w:val="left" w:pos="1512"/>
                <w:tab w:val="left" w:pos="3600"/>
                <w:tab w:val="right" w:pos="7879"/>
              </w:tabs>
              <w:spacing w:line="320" w:lineRule="exact"/>
              <w:rPr>
                <w:rFonts w:cs="Arial"/>
                <w:szCs w:val="22"/>
              </w:rPr>
            </w:pPr>
            <w:r>
              <w:rPr>
                <w:rFonts w:cs="Arial"/>
                <w:szCs w:val="22"/>
              </w:rPr>
              <w:t>Floor 1 -  Main Level Office</w:t>
            </w:r>
          </w:p>
        </w:tc>
        <w:tc>
          <w:tcPr>
            <w:tcW w:w="1665" w:type="dxa"/>
            <w:tcBorders>
              <w:left w:val="single" w:sz="6" w:space="0" w:color="auto"/>
              <w:right w:val="single" w:sz="6" w:space="0" w:color="auto"/>
            </w:tcBorders>
            <w:shd w:val="clear" w:color="auto" w:fill="FFFFFF"/>
            <w:vAlign w:val="center"/>
          </w:tcPr>
          <w:p w14:paraId="1AC34B78" w14:textId="77777777" w:rsidR="00361B5E" w:rsidRDefault="00361B5E" w:rsidP="004A11EB">
            <w:pPr>
              <w:tabs>
                <w:tab w:val="left" w:pos="0"/>
                <w:tab w:val="left" w:pos="259"/>
                <w:tab w:val="left" w:pos="1512"/>
                <w:tab w:val="left" w:pos="3600"/>
                <w:tab w:val="right" w:pos="7879"/>
              </w:tabs>
              <w:spacing w:line="320" w:lineRule="exact"/>
              <w:jc w:val="center"/>
              <w:rPr>
                <w:rFonts w:cs="Arial"/>
                <w:szCs w:val="22"/>
              </w:rPr>
            </w:pPr>
            <w:r>
              <w:rPr>
                <w:rFonts w:cs="Arial"/>
                <w:szCs w:val="22"/>
              </w:rPr>
              <w:t>---</w:t>
            </w:r>
          </w:p>
        </w:tc>
        <w:tc>
          <w:tcPr>
            <w:tcW w:w="1665" w:type="dxa"/>
            <w:tcBorders>
              <w:left w:val="single" w:sz="6" w:space="0" w:color="auto"/>
            </w:tcBorders>
            <w:shd w:val="clear" w:color="auto" w:fill="FFFFFF"/>
            <w:vAlign w:val="center"/>
          </w:tcPr>
          <w:p w14:paraId="513308BE" w14:textId="01A6E34B" w:rsidR="00361B5E" w:rsidRPr="006B4A30" w:rsidRDefault="006715DB" w:rsidP="004A11EB">
            <w:pPr>
              <w:tabs>
                <w:tab w:val="left" w:pos="0"/>
                <w:tab w:val="left" w:pos="259"/>
                <w:tab w:val="left" w:pos="3600"/>
                <w:tab w:val="right" w:pos="7879"/>
              </w:tabs>
              <w:spacing w:line="320" w:lineRule="exact"/>
              <w:jc w:val="center"/>
              <w:rPr>
                <w:rFonts w:cs="Arial"/>
                <w:bCs/>
                <w:szCs w:val="22"/>
                <w:highlight w:val="yellow"/>
              </w:rPr>
            </w:pPr>
            <w:r w:rsidRPr="006B4A30">
              <w:rPr>
                <w:rFonts w:cs="Arial"/>
                <w:bCs/>
                <w:szCs w:val="22"/>
              </w:rPr>
              <w:t>${off</w:t>
            </w:r>
            <w:r w:rsidR="006B4A30" w:rsidRPr="006B4A30">
              <w:rPr>
                <w:rFonts w:cs="Arial"/>
                <w:bCs/>
                <w:szCs w:val="22"/>
              </w:rPr>
              <w:t>1</w:t>
            </w:r>
            <w:r w:rsidRPr="006B4A30">
              <w:rPr>
                <w:rFonts w:cs="Arial"/>
                <w:bCs/>
                <w:szCs w:val="22"/>
              </w:rPr>
              <w:t>}</w:t>
            </w:r>
          </w:p>
        </w:tc>
      </w:tr>
      <w:tr w:rsidR="00361B5E" w:rsidRPr="009B6E44" w14:paraId="00C89E5E" w14:textId="77777777" w:rsidTr="00361B5E">
        <w:trPr>
          <w:trHeight w:val="450"/>
        </w:trPr>
        <w:tc>
          <w:tcPr>
            <w:tcW w:w="3150" w:type="dxa"/>
            <w:tcBorders>
              <w:bottom w:val="single" w:sz="6" w:space="0" w:color="auto"/>
            </w:tcBorders>
            <w:shd w:val="clear" w:color="auto" w:fill="FFFFFF"/>
            <w:vAlign w:val="center"/>
          </w:tcPr>
          <w:p w14:paraId="03EE0416" w14:textId="77777777" w:rsidR="00361B5E" w:rsidRDefault="00361B5E" w:rsidP="004A11EB">
            <w:pPr>
              <w:tabs>
                <w:tab w:val="left" w:pos="0"/>
                <w:tab w:val="left" w:pos="259"/>
                <w:tab w:val="left" w:pos="1512"/>
                <w:tab w:val="left" w:pos="3600"/>
                <w:tab w:val="right" w:pos="7879"/>
              </w:tabs>
              <w:spacing w:line="320" w:lineRule="exact"/>
              <w:rPr>
                <w:rFonts w:cs="Arial"/>
                <w:szCs w:val="22"/>
              </w:rPr>
            </w:pPr>
            <w:r>
              <w:rPr>
                <w:rFonts w:cs="Arial"/>
                <w:szCs w:val="22"/>
              </w:rPr>
              <w:t>Floor 2 -  Mezzanine Office</w:t>
            </w:r>
          </w:p>
        </w:tc>
        <w:tc>
          <w:tcPr>
            <w:tcW w:w="1665" w:type="dxa"/>
            <w:tcBorders>
              <w:left w:val="single" w:sz="6" w:space="0" w:color="auto"/>
              <w:bottom w:val="single" w:sz="6" w:space="0" w:color="auto"/>
              <w:right w:val="single" w:sz="6" w:space="0" w:color="auto"/>
            </w:tcBorders>
            <w:shd w:val="clear" w:color="auto" w:fill="FFFFFF"/>
            <w:vAlign w:val="center"/>
          </w:tcPr>
          <w:p w14:paraId="5D1F7A23" w14:textId="06AA6E0C" w:rsidR="00361B5E" w:rsidRPr="00361B5E" w:rsidRDefault="006B4A30" w:rsidP="004A11EB">
            <w:pPr>
              <w:tabs>
                <w:tab w:val="left" w:pos="0"/>
                <w:tab w:val="left" w:pos="259"/>
                <w:tab w:val="left" w:pos="1512"/>
                <w:tab w:val="left" w:pos="3600"/>
                <w:tab w:val="right" w:pos="7879"/>
              </w:tabs>
              <w:spacing w:line="320" w:lineRule="exact"/>
              <w:jc w:val="center"/>
              <w:rPr>
                <w:rFonts w:cs="Arial"/>
                <w:szCs w:val="22"/>
                <w:highlight w:val="magenta"/>
              </w:rPr>
            </w:pPr>
            <w:r>
              <w:rPr>
                <w:rFonts w:cs="Arial"/>
                <w:szCs w:val="22"/>
              </w:rPr>
              <w:t>${floor2}</w:t>
            </w:r>
          </w:p>
        </w:tc>
        <w:tc>
          <w:tcPr>
            <w:tcW w:w="1665" w:type="dxa"/>
            <w:tcBorders>
              <w:left w:val="single" w:sz="6" w:space="0" w:color="auto"/>
              <w:bottom w:val="single" w:sz="6" w:space="0" w:color="auto"/>
            </w:tcBorders>
            <w:shd w:val="clear" w:color="auto" w:fill="FFFFFF"/>
            <w:vAlign w:val="center"/>
          </w:tcPr>
          <w:p w14:paraId="1B9D68C2" w14:textId="0F05290A" w:rsidR="00361B5E" w:rsidRPr="00361B5E" w:rsidRDefault="006B4A30" w:rsidP="004A11EB">
            <w:pPr>
              <w:tabs>
                <w:tab w:val="left" w:pos="0"/>
                <w:tab w:val="left" w:pos="259"/>
                <w:tab w:val="left" w:pos="3600"/>
                <w:tab w:val="right" w:pos="7879"/>
              </w:tabs>
              <w:spacing w:line="320" w:lineRule="exact"/>
              <w:jc w:val="center"/>
              <w:rPr>
                <w:rFonts w:cs="Arial"/>
                <w:szCs w:val="22"/>
                <w:highlight w:val="yellow"/>
              </w:rPr>
            </w:pPr>
            <w:r w:rsidRPr="006B4A30">
              <w:rPr>
                <w:rFonts w:cs="Arial"/>
                <w:szCs w:val="22"/>
              </w:rPr>
              <w:t>${floor2}</w:t>
            </w:r>
          </w:p>
        </w:tc>
      </w:tr>
      <w:tr w:rsidR="00361B5E" w:rsidRPr="009B6E44" w14:paraId="3AFED8DC" w14:textId="77777777" w:rsidTr="00361B5E">
        <w:trPr>
          <w:trHeight w:val="444"/>
        </w:trPr>
        <w:tc>
          <w:tcPr>
            <w:tcW w:w="3150" w:type="dxa"/>
            <w:tcBorders>
              <w:top w:val="single" w:sz="6" w:space="0" w:color="auto"/>
              <w:bottom w:val="double" w:sz="4" w:space="0" w:color="auto"/>
            </w:tcBorders>
            <w:shd w:val="clear" w:color="auto" w:fill="FFFFFF"/>
            <w:vAlign w:val="center"/>
          </w:tcPr>
          <w:p w14:paraId="2B701EFE" w14:textId="6224F424" w:rsidR="00361B5E" w:rsidRPr="00F15CE2" w:rsidRDefault="00361B5E" w:rsidP="004A11EB">
            <w:pPr>
              <w:tabs>
                <w:tab w:val="left" w:pos="0"/>
                <w:tab w:val="left" w:pos="259"/>
                <w:tab w:val="left" w:pos="1512"/>
                <w:tab w:val="left" w:pos="3600"/>
                <w:tab w:val="right" w:pos="7879"/>
              </w:tabs>
              <w:spacing w:line="320" w:lineRule="exact"/>
              <w:rPr>
                <w:rFonts w:cs="Arial"/>
                <w:b/>
                <w:szCs w:val="22"/>
              </w:rPr>
            </w:pPr>
            <w:r>
              <w:rPr>
                <w:rFonts w:cs="Arial"/>
                <w:b/>
                <w:szCs w:val="22"/>
              </w:rPr>
              <w:t>Total GBA / GLA</w:t>
            </w:r>
          </w:p>
        </w:tc>
        <w:tc>
          <w:tcPr>
            <w:tcW w:w="1665" w:type="dxa"/>
            <w:tcBorders>
              <w:top w:val="single" w:sz="6" w:space="0" w:color="auto"/>
              <w:left w:val="single" w:sz="6" w:space="0" w:color="auto"/>
              <w:bottom w:val="double" w:sz="4" w:space="0" w:color="auto"/>
              <w:right w:val="single" w:sz="6" w:space="0" w:color="auto"/>
            </w:tcBorders>
            <w:shd w:val="clear" w:color="auto" w:fill="FFFFFF"/>
            <w:vAlign w:val="center"/>
          </w:tcPr>
          <w:p w14:paraId="0761BB83" w14:textId="1DDD8890" w:rsidR="00361B5E" w:rsidRPr="00361B5E" w:rsidRDefault="00E724C5" w:rsidP="004A11EB">
            <w:pPr>
              <w:tabs>
                <w:tab w:val="left" w:pos="0"/>
                <w:tab w:val="left" w:pos="259"/>
                <w:tab w:val="left" w:pos="1512"/>
                <w:tab w:val="left" w:pos="3600"/>
                <w:tab w:val="right" w:pos="7879"/>
              </w:tabs>
              <w:spacing w:line="320" w:lineRule="exact"/>
              <w:jc w:val="center"/>
              <w:rPr>
                <w:rFonts w:cs="Arial"/>
                <w:b/>
                <w:szCs w:val="22"/>
                <w:highlight w:val="magenta"/>
              </w:rPr>
            </w:pPr>
            <w:r w:rsidRPr="00E724C5">
              <w:rPr>
                <w:rFonts w:cs="Arial"/>
                <w:b/>
                <w:szCs w:val="22"/>
              </w:rPr>
              <w:t>${</w:t>
            </w:r>
            <w:proofErr w:type="spellStart"/>
            <w:r w:rsidRPr="00E724C5">
              <w:rPr>
                <w:rFonts w:cs="Arial"/>
                <w:b/>
                <w:szCs w:val="22"/>
              </w:rPr>
              <w:t>gba</w:t>
            </w:r>
            <w:proofErr w:type="spellEnd"/>
            <w:r w:rsidRPr="00E724C5">
              <w:rPr>
                <w:rFonts w:cs="Arial"/>
                <w:b/>
                <w:szCs w:val="22"/>
              </w:rPr>
              <w:t>}</w:t>
            </w:r>
          </w:p>
        </w:tc>
        <w:tc>
          <w:tcPr>
            <w:tcW w:w="1665" w:type="dxa"/>
            <w:tcBorders>
              <w:top w:val="single" w:sz="6" w:space="0" w:color="auto"/>
              <w:left w:val="single" w:sz="6" w:space="0" w:color="auto"/>
              <w:bottom w:val="double" w:sz="4" w:space="0" w:color="auto"/>
            </w:tcBorders>
            <w:shd w:val="clear" w:color="auto" w:fill="FFFFFF"/>
            <w:vAlign w:val="center"/>
          </w:tcPr>
          <w:p w14:paraId="4B634946" w14:textId="7116310C" w:rsidR="00361B5E" w:rsidRPr="00361B5E" w:rsidRDefault="00E724C5" w:rsidP="004A11EB">
            <w:pPr>
              <w:tabs>
                <w:tab w:val="left" w:pos="0"/>
                <w:tab w:val="left" w:pos="259"/>
                <w:tab w:val="left" w:pos="3600"/>
                <w:tab w:val="right" w:pos="7879"/>
              </w:tabs>
              <w:spacing w:line="320" w:lineRule="exact"/>
              <w:jc w:val="center"/>
              <w:rPr>
                <w:rFonts w:cs="Arial"/>
                <w:b/>
                <w:szCs w:val="22"/>
                <w:highlight w:val="yellow"/>
              </w:rPr>
            </w:pPr>
            <w:r>
              <w:rPr>
                <w:rFonts w:cs="Arial"/>
                <w:b/>
                <w:szCs w:val="22"/>
              </w:rPr>
              <w:t>${</w:t>
            </w:r>
            <w:proofErr w:type="spellStart"/>
            <w:r>
              <w:rPr>
                <w:rFonts w:cs="Arial"/>
                <w:b/>
                <w:szCs w:val="22"/>
              </w:rPr>
              <w:t>offsf</w:t>
            </w:r>
            <w:proofErr w:type="spellEnd"/>
            <w:r>
              <w:rPr>
                <w:rFonts w:cs="Arial"/>
                <w:b/>
                <w:szCs w:val="22"/>
              </w:rPr>
              <w:t>}</w:t>
            </w:r>
            <w:r w:rsidR="00361B5E" w:rsidRPr="00361B5E">
              <w:rPr>
                <w:rFonts w:cs="Arial"/>
                <w:b/>
                <w:szCs w:val="22"/>
              </w:rPr>
              <w:t xml:space="preserve"> </w:t>
            </w:r>
            <w:r w:rsidR="00361B5E" w:rsidRPr="00E724C5">
              <w:rPr>
                <w:rFonts w:cs="Arial"/>
                <w:b/>
                <w:szCs w:val="22"/>
              </w:rPr>
              <w:t>(</w:t>
            </w:r>
            <w:r w:rsidRPr="00E724C5">
              <w:rPr>
                <w:rFonts w:cs="Arial"/>
                <w:b/>
                <w:szCs w:val="22"/>
              </w:rPr>
              <w:t>${</w:t>
            </w:r>
            <w:proofErr w:type="spellStart"/>
            <w:r w:rsidRPr="00E724C5">
              <w:rPr>
                <w:rFonts w:cs="Arial"/>
                <w:b/>
                <w:szCs w:val="22"/>
              </w:rPr>
              <w:t>offpct</w:t>
            </w:r>
            <w:proofErr w:type="spellEnd"/>
            <w:r w:rsidRPr="00E724C5">
              <w:rPr>
                <w:rFonts w:cs="Arial"/>
                <w:b/>
                <w:szCs w:val="22"/>
              </w:rPr>
              <w:t>}</w:t>
            </w:r>
            <w:r w:rsidR="00361B5E" w:rsidRPr="00E724C5">
              <w:rPr>
                <w:rFonts w:cs="Arial"/>
                <w:b/>
                <w:szCs w:val="22"/>
              </w:rPr>
              <w:t>)</w:t>
            </w:r>
          </w:p>
        </w:tc>
      </w:tr>
      <w:tr w:rsidR="00361B5E" w:rsidRPr="009B6E44" w14:paraId="08E976A5" w14:textId="77777777" w:rsidTr="004A11EB">
        <w:tc>
          <w:tcPr>
            <w:tcW w:w="3150" w:type="dxa"/>
            <w:tcBorders>
              <w:top w:val="double" w:sz="4" w:space="0" w:color="auto"/>
            </w:tcBorders>
            <w:shd w:val="clear" w:color="auto" w:fill="FFFFFF"/>
          </w:tcPr>
          <w:p w14:paraId="5DD24A95" w14:textId="77777777" w:rsidR="00361B5E" w:rsidRPr="006767FA" w:rsidRDefault="00361B5E" w:rsidP="004A11EB">
            <w:pPr>
              <w:tabs>
                <w:tab w:val="left" w:pos="0"/>
                <w:tab w:val="left" w:pos="259"/>
                <w:tab w:val="left" w:pos="1512"/>
                <w:tab w:val="left" w:pos="3600"/>
                <w:tab w:val="right" w:pos="7879"/>
              </w:tabs>
              <w:spacing w:line="320" w:lineRule="exact"/>
              <w:rPr>
                <w:rFonts w:cs="Arial"/>
                <w:szCs w:val="22"/>
              </w:rPr>
            </w:pPr>
            <w:r w:rsidRPr="006767FA">
              <w:rPr>
                <w:rFonts w:cs="Arial"/>
                <w:szCs w:val="22"/>
              </w:rPr>
              <w:t xml:space="preserve"> </w:t>
            </w:r>
            <w:r>
              <w:rPr>
                <w:rFonts w:cs="Arial"/>
                <w:szCs w:val="22"/>
              </w:rPr>
              <w:t xml:space="preserve">- </w:t>
            </w:r>
            <w:r w:rsidRPr="00AC06DC">
              <w:rPr>
                <w:rFonts w:cs="Arial"/>
                <w:szCs w:val="22"/>
                <w:u w:val="single"/>
              </w:rPr>
              <w:t>Excluded Area</w:t>
            </w:r>
          </w:p>
        </w:tc>
        <w:tc>
          <w:tcPr>
            <w:tcW w:w="1665" w:type="dxa"/>
            <w:tcBorders>
              <w:top w:val="double" w:sz="4" w:space="0" w:color="auto"/>
              <w:left w:val="single" w:sz="6" w:space="0" w:color="auto"/>
              <w:right w:val="single" w:sz="6" w:space="0" w:color="auto"/>
            </w:tcBorders>
            <w:shd w:val="clear" w:color="auto" w:fill="FFFFFF"/>
          </w:tcPr>
          <w:p w14:paraId="67842E16" w14:textId="77777777" w:rsidR="00361B5E" w:rsidRDefault="00361B5E" w:rsidP="004A11EB">
            <w:pPr>
              <w:tabs>
                <w:tab w:val="left" w:pos="0"/>
                <w:tab w:val="left" w:pos="259"/>
                <w:tab w:val="left" w:pos="1512"/>
                <w:tab w:val="left" w:pos="3600"/>
                <w:tab w:val="right" w:pos="7879"/>
              </w:tabs>
              <w:spacing w:line="320" w:lineRule="exact"/>
              <w:jc w:val="center"/>
              <w:rPr>
                <w:rFonts w:cs="Arial"/>
                <w:b/>
                <w:szCs w:val="22"/>
              </w:rPr>
            </w:pPr>
          </w:p>
        </w:tc>
        <w:tc>
          <w:tcPr>
            <w:tcW w:w="1665" w:type="dxa"/>
            <w:tcBorders>
              <w:top w:val="double" w:sz="4" w:space="0" w:color="auto"/>
              <w:left w:val="single" w:sz="6" w:space="0" w:color="auto"/>
            </w:tcBorders>
            <w:shd w:val="clear" w:color="auto" w:fill="FFFFFF"/>
          </w:tcPr>
          <w:p w14:paraId="54E8FAC7" w14:textId="77777777" w:rsidR="00361B5E" w:rsidRDefault="00361B5E" w:rsidP="004A11EB">
            <w:pPr>
              <w:tabs>
                <w:tab w:val="left" w:pos="0"/>
                <w:tab w:val="left" w:pos="259"/>
                <w:tab w:val="left" w:pos="3600"/>
                <w:tab w:val="right" w:pos="7879"/>
              </w:tabs>
              <w:spacing w:line="320" w:lineRule="exact"/>
              <w:jc w:val="center"/>
              <w:rPr>
                <w:rFonts w:cs="Arial"/>
                <w:b/>
                <w:szCs w:val="22"/>
              </w:rPr>
            </w:pPr>
          </w:p>
        </w:tc>
      </w:tr>
      <w:tr w:rsidR="00361B5E" w:rsidRPr="009B6E44" w14:paraId="1996F9BB" w14:textId="77777777" w:rsidTr="004A11EB">
        <w:tc>
          <w:tcPr>
            <w:tcW w:w="3150" w:type="dxa"/>
            <w:tcBorders>
              <w:bottom w:val="single" w:sz="6" w:space="0" w:color="auto"/>
            </w:tcBorders>
            <w:shd w:val="clear" w:color="auto" w:fill="FFFFFF"/>
          </w:tcPr>
          <w:p w14:paraId="7F793CF4" w14:textId="77777777" w:rsidR="00361B5E" w:rsidRDefault="00361B5E" w:rsidP="004A11EB">
            <w:pPr>
              <w:tabs>
                <w:tab w:val="left" w:pos="0"/>
                <w:tab w:val="left" w:pos="259"/>
                <w:tab w:val="left" w:pos="1512"/>
                <w:tab w:val="left" w:pos="3600"/>
                <w:tab w:val="right" w:pos="7879"/>
              </w:tabs>
              <w:spacing w:line="320" w:lineRule="exact"/>
              <w:rPr>
                <w:rFonts w:cs="Arial"/>
                <w:szCs w:val="22"/>
              </w:rPr>
            </w:pPr>
            <w:r w:rsidRPr="006767FA">
              <w:rPr>
                <w:rFonts w:cs="Arial"/>
                <w:szCs w:val="22"/>
              </w:rPr>
              <w:t xml:space="preserve">   </w:t>
            </w:r>
            <w:r>
              <w:rPr>
                <w:rFonts w:cs="Arial"/>
                <w:szCs w:val="22"/>
              </w:rPr>
              <w:t>-  Enclosed Storage Mezz.</w:t>
            </w:r>
          </w:p>
          <w:p w14:paraId="69245280" w14:textId="77777777" w:rsidR="00361B5E" w:rsidRPr="006767FA" w:rsidRDefault="00361B5E" w:rsidP="004A11EB">
            <w:pPr>
              <w:tabs>
                <w:tab w:val="left" w:pos="0"/>
                <w:tab w:val="left" w:pos="259"/>
                <w:tab w:val="left" w:pos="1512"/>
                <w:tab w:val="left" w:pos="3600"/>
                <w:tab w:val="right" w:pos="7879"/>
              </w:tabs>
              <w:spacing w:line="320" w:lineRule="exact"/>
              <w:rPr>
                <w:rFonts w:cs="Arial"/>
                <w:szCs w:val="22"/>
              </w:rPr>
            </w:pPr>
            <w:r>
              <w:rPr>
                <w:rFonts w:cs="Arial"/>
                <w:szCs w:val="22"/>
              </w:rPr>
              <w:t xml:space="preserve">   -  </w:t>
            </w:r>
            <w:r w:rsidRPr="006767FA">
              <w:rPr>
                <w:rFonts w:cs="Arial"/>
                <w:szCs w:val="22"/>
              </w:rPr>
              <w:t>S</w:t>
            </w:r>
            <w:r>
              <w:rPr>
                <w:rFonts w:cs="Arial"/>
                <w:szCs w:val="22"/>
              </w:rPr>
              <w:t>torage Canopies</w:t>
            </w:r>
          </w:p>
        </w:tc>
        <w:tc>
          <w:tcPr>
            <w:tcW w:w="1665" w:type="dxa"/>
            <w:tcBorders>
              <w:left w:val="single" w:sz="6" w:space="0" w:color="auto"/>
              <w:bottom w:val="single" w:sz="6" w:space="0" w:color="auto"/>
              <w:right w:val="single" w:sz="6" w:space="0" w:color="auto"/>
            </w:tcBorders>
            <w:shd w:val="clear" w:color="auto" w:fill="FFFFFF"/>
          </w:tcPr>
          <w:p w14:paraId="317DEE10" w14:textId="3076738F" w:rsidR="00361B5E" w:rsidRPr="006767FA" w:rsidRDefault="00361B5E" w:rsidP="004A11EB">
            <w:pPr>
              <w:tabs>
                <w:tab w:val="left" w:pos="0"/>
                <w:tab w:val="left" w:pos="259"/>
                <w:tab w:val="left" w:pos="1512"/>
                <w:tab w:val="left" w:pos="3600"/>
                <w:tab w:val="right" w:pos="7879"/>
              </w:tabs>
              <w:spacing w:line="320" w:lineRule="exact"/>
              <w:jc w:val="center"/>
              <w:rPr>
                <w:rFonts w:cs="Arial"/>
                <w:szCs w:val="22"/>
              </w:rPr>
            </w:pPr>
            <w:r w:rsidRPr="00361B5E">
              <w:rPr>
                <w:rFonts w:cs="Arial"/>
                <w:szCs w:val="22"/>
                <w:highlight w:val="yellow"/>
              </w:rPr>
              <w:t>0</w:t>
            </w:r>
            <w:r w:rsidRPr="00361B5E">
              <w:rPr>
                <w:rFonts w:cs="Arial"/>
                <w:szCs w:val="22"/>
                <w:highlight w:val="yellow"/>
              </w:rPr>
              <w:br/>
              <w:t>0</w:t>
            </w:r>
          </w:p>
        </w:tc>
        <w:tc>
          <w:tcPr>
            <w:tcW w:w="1665" w:type="dxa"/>
            <w:tcBorders>
              <w:left w:val="single" w:sz="6" w:space="0" w:color="auto"/>
              <w:bottom w:val="single" w:sz="6" w:space="0" w:color="auto"/>
            </w:tcBorders>
            <w:shd w:val="clear" w:color="auto" w:fill="FFFFFF"/>
          </w:tcPr>
          <w:p w14:paraId="4722B56D" w14:textId="77777777" w:rsidR="00361B5E" w:rsidRDefault="00361B5E" w:rsidP="004A11EB">
            <w:pPr>
              <w:tabs>
                <w:tab w:val="left" w:pos="0"/>
                <w:tab w:val="left" w:pos="259"/>
                <w:tab w:val="left" w:pos="3600"/>
                <w:tab w:val="right" w:pos="7879"/>
              </w:tabs>
              <w:spacing w:line="320" w:lineRule="exact"/>
              <w:jc w:val="center"/>
              <w:rPr>
                <w:rFonts w:cs="Arial"/>
                <w:b/>
                <w:szCs w:val="22"/>
              </w:rPr>
            </w:pPr>
          </w:p>
        </w:tc>
      </w:tr>
    </w:tbl>
    <w:p w14:paraId="4FF73A53" w14:textId="77777777" w:rsidR="00361B5E" w:rsidRDefault="00361B5E" w:rsidP="00361B5E">
      <w:pPr>
        <w:widowControl w:val="0"/>
        <w:tabs>
          <w:tab w:val="left" w:pos="2880"/>
        </w:tabs>
        <w:ind w:left="2880" w:hanging="2880"/>
        <w:rPr>
          <w:rFonts w:cs="Arial"/>
          <w:szCs w:val="22"/>
        </w:rPr>
      </w:pPr>
    </w:p>
    <w:p w14:paraId="5A854F41" w14:textId="5127E7C8" w:rsidR="00361B5E" w:rsidRDefault="00361B5E" w:rsidP="00361B5E">
      <w:pPr>
        <w:widowControl w:val="0"/>
        <w:tabs>
          <w:tab w:val="left" w:pos="2880"/>
        </w:tabs>
        <w:ind w:left="2880" w:hanging="2880"/>
        <w:rPr>
          <w:rFonts w:cs="Arial"/>
          <w:bCs/>
          <w:szCs w:val="22"/>
        </w:rPr>
      </w:pPr>
      <w:r w:rsidRPr="009B6E44">
        <w:rPr>
          <w:rFonts w:cs="Arial"/>
          <w:szCs w:val="22"/>
        </w:rPr>
        <w:tab/>
      </w:r>
      <w:r w:rsidRPr="009B6E44">
        <w:rPr>
          <w:rFonts w:cs="Arial"/>
          <w:bCs/>
          <w:szCs w:val="22"/>
        </w:rPr>
        <w:t xml:space="preserve">The above building area calculations are based on </w:t>
      </w:r>
      <w:r w:rsidRPr="007D0777">
        <w:rPr>
          <w:rFonts w:cs="Arial"/>
          <w:bCs/>
          <w:szCs w:val="22"/>
        </w:rPr>
        <w:t xml:space="preserve">the appraiser’s physical inspection and measurements. A floor plan sketch is presented on a following page.  The gross building area </w:t>
      </w:r>
      <w:r>
        <w:rPr>
          <w:rFonts w:cs="Arial"/>
          <w:bCs/>
          <w:szCs w:val="22"/>
        </w:rPr>
        <w:t xml:space="preserve">(GBA) </w:t>
      </w:r>
      <w:r w:rsidRPr="007D0777">
        <w:rPr>
          <w:rFonts w:cs="Arial"/>
          <w:bCs/>
          <w:szCs w:val="22"/>
        </w:rPr>
        <w:t xml:space="preserve">is equivalent to the gross leasable area </w:t>
      </w:r>
      <w:r>
        <w:rPr>
          <w:rFonts w:cs="Arial"/>
          <w:bCs/>
          <w:szCs w:val="22"/>
        </w:rPr>
        <w:t xml:space="preserve">(GLA) </w:t>
      </w:r>
      <w:r w:rsidRPr="007D0777">
        <w:rPr>
          <w:rFonts w:cs="Arial"/>
          <w:bCs/>
          <w:szCs w:val="22"/>
        </w:rPr>
        <w:t>in this analysis due to the single-user nature of the improvements.</w:t>
      </w:r>
      <w:r>
        <w:rPr>
          <w:rFonts w:cs="Arial"/>
          <w:bCs/>
          <w:szCs w:val="22"/>
        </w:rPr>
        <w:t xml:space="preserve"> </w:t>
      </w:r>
    </w:p>
    <w:p w14:paraId="473E46EE" w14:textId="77777777" w:rsidR="00361B5E" w:rsidRDefault="00361B5E" w:rsidP="00361B5E">
      <w:pPr>
        <w:ind w:left="2880" w:hanging="2880"/>
        <w:rPr>
          <w:rFonts w:cs="Arial"/>
          <w:szCs w:val="22"/>
        </w:rPr>
      </w:pPr>
    </w:p>
    <w:p w14:paraId="3B33FBE4" w14:textId="77777777" w:rsidR="00361B5E" w:rsidRDefault="00361B5E" w:rsidP="00361B5E">
      <w:pPr>
        <w:ind w:left="2880" w:hanging="2880"/>
        <w:rPr>
          <w:rFonts w:cs="Arial"/>
          <w:szCs w:val="22"/>
        </w:rPr>
      </w:pPr>
      <w:r w:rsidRPr="009B6E44">
        <w:rPr>
          <w:rFonts w:cs="Arial"/>
          <w:b/>
          <w:color w:val="1E4959"/>
          <w:szCs w:val="22"/>
        </w:rPr>
        <w:t>Site Configuration:</w:t>
      </w:r>
      <w:r w:rsidRPr="009B6E44">
        <w:rPr>
          <w:rFonts w:cs="Arial"/>
          <w:szCs w:val="22"/>
        </w:rPr>
        <w:tab/>
      </w:r>
      <w:r w:rsidRPr="00FB1B68">
        <w:rPr>
          <w:rFonts w:cs="Arial"/>
          <w:szCs w:val="22"/>
        </w:rPr>
        <w:t xml:space="preserve">The improvements are </w:t>
      </w:r>
      <w:r>
        <w:rPr>
          <w:rFonts w:cs="Arial"/>
          <w:szCs w:val="22"/>
        </w:rPr>
        <w:t>situated on the east half of the site, with the west half consisting of fenced / paved parking &amp; yard storage.</w:t>
      </w:r>
      <w:r w:rsidRPr="00C236CC">
        <w:rPr>
          <w:rFonts w:cs="Arial"/>
          <w:szCs w:val="22"/>
        </w:rPr>
        <w:t>.</w:t>
      </w:r>
    </w:p>
    <w:p w14:paraId="54533517" w14:textId="77777777" w:rsidR="00361B5E" w:rsidRPr="009B6E44" w:rsidRDefault="00361B5E" w:rsidP="00361B5E">
      <w:pPr>
        <w:ind w:left="2880" w:hanging="2880"/>
        <w:rPr>
          <w:rFonts w:cs="Arial"/>
          <w:szCs w:val="22"/>
        </w:rPr>
      </w:pPr>
    </w:p>
    <w:p w14:paraId="17289657" w14:textId="77777777" w:rsidR="00361B5E" w:rsidRDefault="00361B5E" w:rsidP="00361B5E">
      <w:pPr>
        <w:ind w:left="2880" w:hanging="2880"/>
        <w:rPr>
          <w:rFonts w:cs="Arial"/>
          <w:szCs w:val="22"/>
        </w:rPr>
      </w:pPr>
      <w:r w:rsidRPr="009B6E44">
        <w:rPr>
          <w:rFonts w:cs="Arial"/>
          <w:b/>
          <w:color w:val="1E4959"/>
          <w:szCs w:val="22"/>
        </w:rPr>
        <w:t xml:space="preserve">Interior </w:t>
      </w:r>
      <w:r>
        <w:rPr>
          <w:rFonts w:cs="Arial"/>
          <w:b/>
          <w:color w:val="1E4959"/>
          <w:szCs w:val="22"/>
        </w:rPr>
        <w:t>Layout</w:t>
      </w:r>
      <w:r w:rsidRPr="009B6E44">
        <w:rPr>
          <w:rFonts w:cs="Arial"/>
          <w:b/>
          <w:color w:val="1E4959"/>
          <w:szCs w:val="22"/>
        </w:rPr>
        <w:t>:</w:t>
      </w:r>
      <w:r w:rsidRPr="009B6E44">
        <w:rPr>
          <w:rFonts w:cs="Arial"/>
          <w:b/>
          <w:color w:val="1E4959"/>
          <w:szCs w:val="22"/>
        </w:rPr>
        <w:tab/>
      </w:r>
      <w:r w:rsidRPr="00F15CE2">
        <w:rPr>
          <w:rFonts w:cs="Arial"/>
          <w:szCs w:val="22"/>
        </w:rPr>
        <w:t xml:space="preserve">The building </w:t>
      </w:r>
      <w:r>
        <w:rPr>
          <w:rFonts w:cs="Arial"/>
          <w:szCs w:val="22"/>
        </w:rPr>
        <w:t>has an “L” shape</w:t>
      </w:r>
      <w:r w:rsidRPr="00F15CE2">
        <w:rPr>
          <w:rFonts w:cs="Arial"/>
          <w:szCs w:val="22"/>
        </w:rPr>
        <w:t xml:space="preserve"> with </w:t>
      </w:r>
      <w:r>
        <w:rPr>
          <w:rFonts w:cs="Arial"/>
          <w:szCs w:val="22"/>
        </w:rPr>
        <w:t xml:space="preserve">two-levels of </w:t>
      </w:r>
      <w:r w:rsidRPr="00F15CE2">
        <w:rPr>
          <w:rFonts w:cs="Arial"/>
          <w:szCs w:val="22"/>
        </w:rPr>
        <w:t xml:space="preserve">office </w:t>
      </w:r>
      <w:r>
        <w:rPr>
          <w:rFonts w:cs="Arial"/>
          <w:szCs w:val="22"/>
        </w:rPr>
        <w:t>build-out</w:t>
      </w:r>
      <w:r w:rsidRPr="00F15CE2">
        <w:rPr>
          <w:rFonts w:cs="Arial"/>
          <w:szCs w:val="22"/>
        </w:rPr>
        <w:t xml:space="preserve"> </w:t>
      </w:r>
      <w:r>
        <w:rPr>
          <w:rFonts w:cs="Arial"/>
          <w:szCs w:val="22"/>
        </w:rPr>
        <w:t xml:space="preserve">in the northwest corner, plus enclosed mezzanine storage along the north wall  The building is clear span.  The main level office consists of a small open lobby, plus two single-user restrooms with direct shop access.  The mezzanine office (included in the GBA) consists of a single room situated directly above and is accessed via an interior wooden staircase.  The remainder of the mezzanine is enclosed storage (excluded from the GBA) with its own wooden stairwell access along the rear / east wall of the shop.  The main shop has (2) roll-up doors with access to (4) interior service bays with above-ground hoists.  An additional roll-up door accesses a demised shop area in the SWC of the building.  A paint booth </w:t>
      </w:r>
      <w:r>
        <w:rPr>
          <w:rFonts w:cs="Arial"/>
          <w:szCs w:val="22"/>
        </w:rPr>
        <w:lastRenderedPageBreak/>
        <w:t xml:space="preserve">(27’ x 16’) is noted in the SEC, but is considered removable personal property.   </w:t>
      </w:r>
    </w:p>
    <w:p w14:paraId="54C5C9CB" w14:textId="77777777" w:rsidR="00361B5E" w:rsidRDefault="00361B5E" w:rsidP="00361B5E">
      <w:pPr>
        <w:ind w:left="2880" w:hanging="2880"/>
        <w:rPr>
          <w:rFonts w:cs="Arial"/>
          <w:szCs w:val="22"/>
        </w:rPr>
      </w:pPr>
    </w:p>
    <w:p w14:paraId="42DB4650" w14:textId="77777777" w:rsidR="00361B5E" w:rsidRDefault="00361B5E" w:rsidP="00361B5E">
      <w:pPr>
        <w:ind w:left="2880" w:hanging="2880"/>
        <w:rPr>
          <w:rFonts w:cs="Arial"/>
          <w:color w:val="000000" w:themeColor="text1"/>
          <w:szCs w:val="22"/>
        </w:rPr>
      </w:pPr>
      <w:r w:rsidRPr="009B6E44">
        <w:rPr>
          <w:rFonts w:cs="Arial"/>
          <w:b/>
          <w:color w:val="1E4959"/>
          <w:szCs w:val="22"/>
        </w:rPr>
        <w:t>Exterior Finishes:</w:t>
      </w:r>
      <w:r w:rsidRPr="009B6E44">
        <w:rPr>
          <w:rFonts w:cs="Arial"/>
          <w:b/>
          <w:color w:val="1E4959"/>
          <w:szCs w:val="22"/>
        </w:rPr>
        <w:tab/>
      </w:r>
      <w:r>
        <w:rPr>
          <w:rFonts w:cs="Arial"/>
          <w:szCs w:val="22"/>
        </w:rPr>
        <w:t xml:space="preserve">Painted, CMU exterior walls with a wood-frame, flat roof system supported by </w:t>
      </w:r>
      <w:proofErr w:type="spellStart"/>
      <w:r>
        <w:rPr>
          <w:rFonts w:cs="Arial"/>
          <w:szCs w:val="22"/>
        </w:rPr>
        <w:t>glu</w:t>
      </w:r>
      <w:proofErr w:type="spellEnd"/>
      <w:r>
        <w:rPr>
          <w:rFonts w:cs="Arial"/>
          <w:szCs w:val="22"/>
        </w:rPr>
        <w:t>-lam beams.  The roof consists of composition built-up cover over insulation.</w:t>
      </w:r>
      <w:r w:rsidRPr="009B6E44">
        <w:rPr>
          <w:rFonts w:cs="Arial"/>
          <w:szCs w:val="22"/>
        </w:rPr>
        <w:t xml:space="preserve"> </w:t>
      </w:r>
      <w:r>
        <w:rPr>
          <w:rFonts w:cs="Arial"/>
          <w:szCs w:val="22"/>
        </w:rPr>
        <w:t xml:space="preserve"> Gutters and downspouts. The foundation is r</w:t>
      </w:r>
      <w:r w:rsidRPr="00DF65C6">
        <w:rPr>
          <w:rFonts w:cs="Arial"/>
          <w:szCs w:val="22"/>
        </w:rPr>
        <w:t>einforced concrete</w:t>
      </w:r>
      <w:r>
        <w:rPr>
          <w:rFonts w:cs="Arial"/>
          <w:szCs w:val="22"/>
        </w:rPr>
        <w:t xml:space="preserve"> with floor drains</w:t>
      </w:r>
      <w:r w:rsidRPr="00DF65C6">
        <w:rPr>
          <w:rFonts w:cs="Arial"/>
          <w:szCs w:val="22"/>
        </w:rPr>
        <w:t>.</w:t>
      </w:r>
      <w:r>
        <w:rPr>
          <w:rFonts w:cs="Arial"/>
          <w:szCs w:val="22"/>
        </w:rPr>
        <w:t xml:space="preserve">  </w:t>
      </w:r>
      <w:r>
        <w:rPr>
          <w:rFonts w:cs="Arial"/>
          <w:color w:val="000000" w:themeColor="text1"/>
          <w:szCs w:val="22"/>
        </w:rPr>
        <w:t>Windows are vinyl frame, double pane, in-place units which line only the two levels of office in the NWC.</w:t>
      </w:r>
      <w:r w:rsidRPr="000E6A58">
        <w:rPr>
          <w:rFonts w:cs="Arial"/>
          <w:color w:val="000000" w:themeColor="text1"/>
          <w:szCs w:val="22"/>
        </w:rPr>
        <w:t xml:space="preserve"> </w:t>
      </w:r>
      <w:r w:rsidRPr="00AC06DC">
        <w:rPr>
          <w:rFonts w:cs="Arial"/>
          <w:color w:val="000000" w:themeColor="text1"/>
          <w:szCs w:val="22"/>
        </w:rPr>
        <w:t>Aluminum frame glass door</w:t>
      </w:r>
      <w:r>
        <w:rPr>
          <w:rFonts w:cs="Arial"/>
          <w:color w:val="000000" w:themeColor="text1"/>
          <w:szCs w:val="22"/>
        </w:rPr>
        <w:t xml:space="preserve"> for the main </w:t>
      </w:r>
      <w:r w:rsidRPr="00AC06DC">
        <w:rPr>
          <w:rFonts w:cs="Arial"/>
          <w:color w:val="000000" w:themeColor="text1"/>
          <w:szCs w:val="22"/>
        </w:rPr>
        <w:t xml:space="preserve">office and </w:t>
      </w:r>
      <w:r>
        <w:rPr>
          <w:rFonts w:cs="Arial"/>
          <w:color w:val="000000" w:themeColor="text1"/>
          <w:szCs w:val="22"/>
        </w:rPr>
        <w:t xml:space="preserve">metal </w:t>
      </w:r>
      <w:r w:rsidRPr="00AC06DC">
        <w:rPr>
          <w:rFonts w:cs="Arial"/>
          <w:color w:val="000000" w:themeColor="text1"/>
          <w:szCs w:val="22"/>
        </w:rPr>
        <w:t xml:space="preserve">sectional </w:t>
      </w:r>
      <w:r>
        <w:rPr>
          <w:rFonts w:cs="Arial"/>
          <w:color w:val="000000" w:themeColor="text1"/>
          <w:szCs w:val="22"/>
        </w:rPr>
        <w:t>roll-up doors accessing the shop areas</w:t>
      </w:r>
      <w:r w:rsidRPr="00AC06DC">
        <w:rPr>
          <w:rFonts w:cs="Arial"/>
          <w:color w:val="000000" w:themeColor="text1"/>
          <w:szCs w:val="22"/>
        </w:rPr>
        <w:t>.</w:t>
      </w:r>
      <w:r>
        <w:rPr>
          <w:rFonts w:cs="Arial"/>
          <w:color w:val="000000" w:themeColor="text1"/>
          <w:szCs w:val="22"/>
        </w:rPr>
        <w:t xml:space="preserve">  Finally, the subject improvements also include two wood-frame / asphalt shingle covered storage canopies which are open on three sides.</w:t>
      </w:r>
    </w:p>
    <w:p w14:paraId="71255588" w14:textId="77777777" w:rsidR="00361B5E" w:rsidRDefault="00361B5E" w:rsidP="00361B5E">
      <w:pPr>
        <w:ind w:left="2880" w:hanging="2880"/>
        <w:rPr>
          <w:rFonts w:cs="Arial"/>
          <w:szCs w:val="22"/>
        </w:rPr>
      </w:pPr>
    </w:p>
    <w:p w14:paraId="404F46E1" w14:textId="77777777" w:rsidR="00361B5E" w:rsidRDefault="00361B5E" w:rsidP="00361B5E">
      <w:pPr>
        <w:ind w:left="2880" w:hanging="2880"/>
        <w:rPr>
          <w:rFonts w:cs="Arial"/>
          <w:szCs w:val="22"/>
        </w:rPr>
      </w:pPr>
      <w:r w:rsidRPr="00AC06DC">
        <w:rPr>
          <w:rFonts w:cs="Arial"/>
          <w:b/>
          <w:color w:val="1E4959"/>
          <w:szCs w:val="22"/>
        </w:rPr>
        <w:t>Interior Finishes:</w:t>
      </w:r>
      <w:r w:rsidRPr="00AC06DC">
        <w:rPr>
          <w:rFonts w:cs="Arial"/>
          <w:szCs w:val="22"/>
        </w:rPr>
        <w:tab/>
      </w:r>
      <w:r>
        <w:rPr>
          <w:rFonts w:cs="Arial"/>
          <w:szCs w:val="22"/>
        </w:rPr>
        <w:t xml:space="preserve">The shop is largely unfinished, though includes electric heating units. Shop floors are polished concrete.  The shop ceilings are not insulated.  Office walls </w:t>
      </w:r>
      <w:r w:rsidRPr="00AC06DC">
        <w:rPr>
          <w:rFonts w:cs="Arial"/>
          <w:szCs w:val="22"/>
        </w:rPr>
        <w:t>and ceiling</w:t>
      </w:r>
      <w:r>
        <w:rPr>
          <w:rFonts w:cs="Arial"/>
          <w:szCs w:val="22"/>
        </w:rPr>
        <w:t>s</w:t>
      </w:r>
      <w:r w:rsidRPr="00AC06DC">
        <w:rPr>
          <w:rFonts w:cs="Arial"/>
          <w:szCs w:val="22"/>
        </w:rPr>
        <w:t xml:space="preserve"> </w:t>
      </w:r>
      <w:r>
        <w:rPr>
          <w:rFonts w:cs="Arial"/>
          <w:szCs w:val="22"/>
        </w:rPr>
        <w:t xml:space="preserve">(7.5’ height) </w:t>
      </w:r>
      <w:r w:rsidRPr="00AC06DC">
        <w:rPr>
          <w:rFonts w:cs="Arial"/>
          <w:szCs w:val="22"/>
        </w:rPr>
        <w:t xml:space="preserve">are taped, textured and painted gypsum board.  </w:t>
      </w:r>
      <w:r>
        <w:rPr>
          <w:rFonts w:cs="Arial"/>
          <w:szCs w:val="22"/>
        </w:rPr>
        <w:t>Flooring in the office and restroom areas is sheet vinyl.  Doors and trim are hollow core with wood trim. Lighting the office and shop areas consists of box fluorescent fixtures.  The offices are heated by electric cadet units, plus window mounted AC units. Each restroom includes a toilet, sink and vanity, with one restroom having a fiberglass shower stall. Electrical service a</w:t>
      </w:r>
      <w:r w:rsidRPr="00B03FB2">
        <w:rPr>
          <w:rFonts w:cs="Arial"/>
          <w:szCs w:val="22"/>
        </w:rPr>
        <w:t xml:space="preserve">ppears adequate for the </w:t>
      </w:r>
      <w:r>
        <w:rPr>
          <w:rFonts w:cs="Arial"/>
          <w:szCs w:val="22"/>
        </w:rPr>
        <w:t>existing</w:t>
      </w:r>
      <w:r w:rsidRPr="00B03FB2">
        <w:rPr>
          <w:rFonts w:cs="Arial"/>
          <w:szCs w:val="22"/>
        </w:rPr>
        <w:t xml:space="preserve"> use.</w:t>
      </w:r>
    </w:p>
    <w:p w14:paraId="3C5F04F9" w14:textId="77777777" w:rsidR="00361B5E" w:rsidRPr="00DF65C6" w:rsidRDefault="00361B5E" w:rsidP="00361B5E">
      <w:pPr>
        <w:jc w:val="left"/>
        <w:rPr>
          <w:rFonts w:cs="Arial"/>
          <w:color w:val="000000" w:themeColor="text1"/>
          <w:szCs w:val="22"/>
        </w:rPr>
      </w:pPr>
    </w:p>
    <w:p w14:paraId="244E9921" w14:textId="77777777" w:rsidR="00361B5E" w:rsidRPr="009B6E44" w:rsidRDefault="00361B5E" w:rsidP="00361B5E">
      <w:pPr>
        <w:tabs>
          <w:tab w:val="left" w:pos="2880"/>
        </w:tabs>
        <w:jc w:val="left"/>
        <w:rPr>
          <w:rFonts w:cs="Arial"/>
          <w:szCs w:val="22"/>
        </w:rPr>
      </w:pPr>
      <w:r w:rsidRPr="00DF65C6">
        <w:rPr>
          <w:rFonts w:cs="Arial"/>
          <w:b/>
          <w:color w:val="1E4959"/>
          <w:szCs w:val="22"/>
        </w:rPr>
        <w:t>Fire Sprinklers:</w:t>
      </w:r>
      <w:r w:rsidRPr="00DF65C6">
        <w:rPr>
          <w:rFonts w:cs="Arial"/>
          <w:szCs w:val="22"/>
        </w:rPr>
        <w:tab/>
      </w:r>
      <w:r>
        <w:rPr>
          <w:rFonts w:cs="Arial"/>
          <w:szCs w:val="22"/>
        </w:rPr>
        <w:t>None.</w:t>
      </w:r>
    </w:p>
    <w:p w14:paraId="76554434" w14:textId="77777777" w:rsidR="00361B5E" w:rsidRPr="009B6E44" w:rsidRDefault="00361B5E" w:rsidP="00361B5E">
      <w:pPr>
        <w:tabs>
          <w:tab w:val="left" w:pos="2880"/>
        </w:tabs>
        <w:jc w:val="left"/>
        <w:rPr>
          <w:rFonts w:cs="Arial"/>
          <w:color w:val="000000" w:themeColor="text1"/>
          <w:szCs w:val="22"/>
        </w:rPr>
      </w:pPr>
    </w:p>
    <w:p w14:paraId="40266817" w14:textId="77777777" w:rsidR="00361B5E" w:rsidRPr="00F05482" w:rsidRDefault="00361B5E" w:rsidP="00361B5E">
      <w:pPr>
        <w:tabs>
          <w:tab w:val="left" w:pos="2880"/>
        </w:tabs>
        <w:ind w:left="2880" w:hanging="2880"/>
        <w:rPr>
          <w:rFonts w:cs="Arial"/>
          <w:szCs w:val="22"/>
        </w:rPr>
      </w:pPr>
      <w:r w:rsidRPr="009B6E44">
        <w:rPr>
          <w:rFonts w:cs="Arial"/>
          <w:b/>
          <w:color w:val="1E4959"/>
          <w:szCs w:val="22"/>
        </w:rPr>
        <w:t>Building Height:</w:t>
      </w:r>
      <w:r w:rsidRPr="009B6E44">
        <w:rPr>
          <w:rFonts w:cs="Arial"/>
          <w:b/>
          <w:color w:val="1E4959"/>
          <w:szCs w:val="22"/>
        </w:rPr>
        <w:tab/>
      </w:r>
      <w:r w:rsidRPr="00361B5E">
        <w:rPr>
          <w:rFonts w:cs="Arial"/>
          <w:szCs w:val="22"/>
          <w:highlight w:val="yellow"/>
        </w:rPr>
        <w:t>16 Feet</w:t>
      </w:r>
    </w:p>
    <w:p w14:paraId="1C741519" w14:textId="77777777" w:rsidR="00361B5E" w:rsidRPr="009B6E44" w:rsidRDefault="00361B5E" w:rsidP="00361B5E">
      <w:pPr>
        <w:tabs>
          <w:tab w:val="left" w:pos="2880"/>
        </w:tabs>
        <w:jc w:val="left"/>
        <w:rPr>
          <w:rFonts w:cs="Arial"/>
          <w:szCs w:val="22"/>
        </w:rPr>
      </w:pPr>
    </w:p>
    <w:p w14:paraId="22604932" w14:textId="4BBB4336" w:rsidR="00361B5E" w:rsidRDefault="00361B5E" w:rsidP="00361B5E">
      <w:pPr>
        <w:tabs>
          <w:tab w:val="left" w:pos="2880"/>
        </w:tabs>
        <w:jc w:val="left"/>
        <w:rPr>
          <w:rFonts w:cs="Arial"/>
          <w:szCs w:val="22"/>
        </w:rPr>
      </w:pPr>
      <w:r w:rsidRPr="00DF65C6">
        <w:rPr>
          <w:rFonts w:cs="Arial"/>
          <w:b/>
          <w:color w:val="1E4959"/>
          <w:szCs w:val="22"/>
        </w:rPr>
        <w:t>Clear Height:</w:t>
      </w:r>
      <w:r w:rsidRPr="00DF65C6">
        <w:rPr>
          <w:rFonts w:cs="Arial"/>
          <w:b/>
          <w:color w:val="1E4959"/>
          <w:szCs w:val="22"/>
        </w:rPr>
        <w:tab/>
      </w:r>
      <w:r w:rsidRPr="00C73A73">
        <w:rPr>
          <w:rFonts w:cs="Arial"/>
          <w:szCs w:val="22"/>
          <w:highlight w:val="yellow"/>
        </w:rPr>
        <w:t>13 to 15 Feet</w:t>
      </w:r>
    </w:p>
    <w:p w14:paraId="6A0E4143" w14:textId="77777777" w:rsidR="00361B5E" w:rsidRPr="009B6E44" w:rsidRDefault="00361B5E" w:rsidP="00361B5E">
      <w:pPr>
        <w:tabs>
          <w:tab w:val="left" w:pos="2880"/>
        </w:tabs>
        <w:jc w:val="left"/>
        <w:rPr>
          <w:rFonts w:cs="Arial"/>
          <w:szCs w:val="22"/>
        </w:rPr>
      </w:pPr>
    </w:p>
    <w:p w14:paraId="39027303" w14:textId="77777777" w:rsidR="00361B5E" w:rsidRDefault="00361B5E" w:rsidP="00361B5E">
      <w:pPr>
        <w:ind w:left="2880" w:hanging="2880"/>
        <w:rPr>
          <w:rFonts w:cs="Arial"/>
          <w:szCs w:val="22"/>
        </w:rPr>
      </w:pPr>
      <w:r w:rsidRPr="009B6E44">
        <w:rPr>
          <w:rFonts w:cs="Arial"/>
          <w:b/>
          <w:color w:val="1E4959"/>
          <w:szCs w:val="22"/>
        </w:rPr>
        <w:t>Special Equipment:</w:t>
      </w:r>
      <w:r w:rsidRPr="009B6E44">
        <w:rPr>
          <w:rFonts w:cs="Arial"/>
          <w:b/>
          <w:color w:val="1E4959"/>
          <w:szCs w:val="22"/>
        </w:rPr>
        <w:tab/>
      </w:r>
      <w:r w:rsidRPr="006767FA">
        <w:rPr>
          <w:rFonts w:cs="Arial"/>
          <w:szCs w:val="22"/>
        </w:rPr>
        <w:t xml:space="preserve">The property has specialized equipment specific to the auto service industry including </w:t>
      </w:r>
      <w:r>
        <w:rPr>
          <w:rFonts w:cs="Arial"/>
          <w:szCs w:val="22"/>
        </w:rPr>
        <w:t>vehicle hoists</w:t>
      </w:r>
      <w:r w:rsidRPr="006767FA">
        <w:rPr>
          <w:rFonts w:cs="Arial"/>
          <w:szCs w:val="22"/>
        </w:rPr>
        <w:t xml:space="preserve"> that can be removed with minor effort.  </w:t>
      </w:r>
      <w:r>
        <w:rPr>
          <w:rFonts w:cs="Arial"/>
          <w:szCs w:val="22"/>
        </w:rPr>
        <w:t xml:space="preserve">Other items include a paint booth with ventilation system. </w:t>
      </w:r>
      <w:r w:rsidRPr="006767FA">
        <w:rPr>
          <w:rFonts w:cs="Arial"/>
          <w:szCs w:val="22"/>
        </w:rPr>
        <w:t>The items are considered personal property and are not valued in this appraisal.</w:t>
      </w:r>
      <w:r>
        <w:rPr>
          <w:rFonts w:cs="Arial"/>
          <w:szCs w:val="22"/>
        </w:rPr>
        <w:t xml:space="preserve"> </w:t>
      </w:r>
    </w:p>
    <w:p w14:paraId="2E0301F3" w14:textId="77777777" w:rsidR="00361B5E" w:rsidRDefault="00361B5E" w:rsidP="00361B5E">
      <w:pPr>
        <w:ind w:left="2880" w:hanging="2880"/>
        <w:rPr>
          <w:rFonts w:cs="Arial"/>
          <w:szCs w:val="22"/>
        </w:rPr>
      </w:pPr>
    </w:p>
    <w:p w14:paraId="446E822C" w14:textId="77777777" w:rsidR="00361B5E" w:rsidRPr="008031BC" w:rsidRDefault="00361B5E" w:rsidP="00361B5E">
      <w:pPr>
        <w:ind w:left="2880" w:hanging="2880"/>
        <w:rPr>
          <w:rFonts w:cs="Arial"/>
          <w:szCs w:val="22"/>
        </w:rPr>
      </w:pPr>
      <w:r>
        <w:rPr>
          <w:rFonts w:cs="Arial"/>
          <w:szCs w:val="22"/>
        </w:rPr>
        <w:tab/>
      </w:r>
      <w:r w:rsidRPr="00361B5E">
        <w:rPr>
          <w:rFonts w:cs="Arial"/>
          <w:szCs w:val="22"/>
          <w:highlight w:val="yellow"/>
        </w:rPr>
        <w:t>Note that during the course of our inspection, an above-ground, used oil storage tank was noted under the storage canopy along the north side of the building (see subject photos). The general assumptions in this report assume no issues related to this tank, though as a prudent course of lending, a Phase I environmental report is recommended prior to any lending decision.</w:t>
      </w:r>
    </w:p>
    <w:p w14:paraId="5E84A2FB" w14:textId="77777777" w:rsidR="00361B5E" w:rsidRDefault="00361B5E" w:rsidP="00361B5E">
      <w:pPr>
        <w:jc w:val="left"/>
        <w:rPr>
          <w:rFonts w:cs="Arial"/>
          <w:szCs w:val="22"/>
        </w:rPr>
      </w:pPr>
    </w:p>
    <w:p w14:paraId="216D5E96" w14:textId="77777777" w:rsidR="00361B5E" w:rsidRPr="00F166AD" w:rsidRDefault="00361B5E" w:rsidP="00361B5E">
      <w:pPr>
        <w:jc w:val="left"/>
        <w:rPr>
          <w:rFonts w:cs="Arial"/>
          <w:b/>
          <w:color w:val="1E4959"/>
          <w:szCs w:val="22"/>
        </w:rPr>
      </w:pPr>
      <w:r w:rsidRPr="00F166AD">
        <w:rPr>
          <w:rFonts w:cs="Arial"/>
          <w:b/>
          <w:color w:val="1E4959"/>
          <w:szCs w:val="22"/>
        </w:rPr>
        <w:t xml:space="preserve">Truck Doors / </w:t>
      </w:r>
    </w:p>
    <w:p w14:paraId="7BD26D71" w14:textId="77777777" w:rsidR="00361B5E" w:rsidRDefault="00361B5E" w:rsidP="00361B5E">
      <w:pPr>
        <w:tabs>
          <w:tab w:val="left" w:pos="2880"/>
        </w:tabs>
        <w:jc w:val="left"/>
        <w:rPr>
          <w:rFonts w:cs="Arial"/>
          <w:szCs w:val="22"/>
        </w:rPr>
      </w:pPr>
      <w:r w:rsidRPr="00F166AD">
        <w:rPr>
          <w:rFonts w:cs="Arial"/>
          <w:b/>
          <w:color w:val="1E4959"/>
          <w:szCs w:val="22"/>
        </w:rPr>
        <w:t xml:space="preserve">   Loading:</w:t>
      </w:r>
      <w:r w:rsidRPr="00F166AD">
        <w:rPr>
          <w:rFonts w:cs="Arial"/>
          <w:b/>
          <w:color w:val="1E4959"/>
          <w:szCs w:val="22"/>
        </w:rPr>
        <w:tab/>
      </w:r>
      <w:r w:rsidRPr="00361B5E">
        <w:rPr>
          <w:rFonts w:cs="Arial"/>
          <w:szCs w:val="22"/>
          <w:highlight w:val="yellow"/>
        </w:rPr>
        <w:t>West</w:t>
      </w:r>
      <w:r w:rsidRPr="00F166AD">
        <w:rPr>
          <w:rFonts w:cs="Arial"/>
          <w:szCs w:val="22"/>
        </w:rPr>
        <w:t xml:space="preserve"> Elevation:</w:t>
      </w:r>
      <w:r>
        <w:rPr>
          <w:rFonts w:cs="Arial"/>
          <w:szCs w:val="22"/>
        </w:rPr>
        <w:tab/>
      </w:r>
      <w:r w:rsidRPr="00F166AD">
        <w:rPr>
          <w:rFonts w:cs="Arial"/>
          <w:szCs w:val="22"/>
        </w:rPr>
        <w:tab/>
        <w:t>(</w:t>
      </w:r>
      <w:r>
        <w:rPr>
          <w:rFonts w:cs="Arial"/>
          <w:szCs w:val="22"/>
        </w:rPr>
        <w:t>2</w:t>
      </w:r>
      <w:r w:rsidRPr="00F166AD">
        <w:rPr>
          <w:rFonts w:cs="Arial"/>
          <w:szCs w:val="22"/>
        </w:rPr>
        <w:t xml:space="preserve">) </w:t>
      </w:r>
      <w:r>
        <w:rPr>
          <w:rFonts w:cs="Arial"/>
          <w:szCs w:val="22"/>
        </w:rPr>
        <w:t>10</w:t>
      </w:r>
      <w:r w:rsidRPr="00F166AD">
        <w:rPr>
          <w:rFonts w:cs="Arial"/>
          <w:szCs w:val="22"/>
        </w:rPr>
        <w:t xml:space="preserve">’w x </w:t>
      </w:r>
      <w:r>
        <w:rPr>
          <w:rFonts w:cs="Arial"/>
          <w:szCs w:val="22"/>
        </w:rPr>
        <w:t>12</w:t>
      </w:r>
      <w:r w:rsidRPr="00F166AD">
        <w:rPr>
          <w:rFonts w:cs="Arial"/>
          <w:szCs w:val="22"/>
        </w:rPr>
        <w:t xml:space="preserve">’h </w:t>
      </w:r>
      <w:r>
        <w:rPr>
          <w:rFonts w:cs="Arial"/>
          <w:szCs w:val="22"/>
        </w:rPr>
        <w:t>grade high</w:t>
      </w:r>
      <w:r w:rsidRPr="00F166AD">
        <w:rPr>
          <w:rFonts w:cs="Arial"/>
          <w:szCs w:val="22"/>
        </w:rPr>
        <w:t xml:space="preserve"> door</w:t>
      </w:r>
      <w:r>
        <w:rPr>
          <w:rFonts w:cs="Arial"/>
          <w:szCs w:val="22"/>
        </w:rPr>
        <w:t>s</w:t>
      </w:r>
      <w:r w:rsidRPr="00F166AD">
        <w:rPr>
          <w:rFonts w:cs="Arial"/>
          <w:szCs w:val="22"/>
        </w:rPr>
        <w:t>.</w:t>
      </w:r>
    </w:p>
    <w:p w14:paraId="52BD76CB" w14:textId="77777777" w:rsidR="00361B5E" w:rsidRDefault="00361B5E" w:rsidP="00361B5E">
      <w:pPr>
        <w:tabs>
          <w:tab w:val="left" w:pos="2880"/>
        </w:tabs>
        <w:jc w:val="left"/>
        <w:rPr>
          <w:rFonts w:cs="Arial"/>
          <w:szCs w:val="22"/>
        </w:rPr>
      </w:pPr>
      <w:r>
        <w:rPr>
          <w:rFonts w:cs="Arial"/>
          <w:szCs w:val="22"/>
        </w:rPr>
        <w:tab/>
      </w:r>
      <w:r>
        <w:rPr>
          <w:rFonts w:cs="Arial"/>
          <w:szCs w:val="22"/>
        </w:rPr>
        <w:tab/>
      </w:r>
      <w:r>
        <w:rPr>
          <w:rFonts w:cs="Arial"/>
          <w:szCs w:val="22"/>
        </w:rPr>
        <w:tab/>
      </w:r>
      <w:r>
        <w:rPr>
          <w:rFonts w:cs="Arial"/>
          <w:szCs w:val="22"/>
        </w:rPr>
        <w:tab/>
        <w:t>(1) 10’w x 14’h grade high door.</w:t>
      </w:r>
    </w:p>
    <w:p w14:paraId="49833591" w14:textId="77777777" w:rsidR="00361B5E" w:rsidRPr="000754FA" w:rsidRDefault="00361B5E" w:rsidP="00361B5E">
      <w:pPr>
        <w:jc w:val="left"/>
        <w:rPr>
          <w:rFonts w:cs="Arial"/>
          <w:szCs w:val="22"/>
        </w:rPr>
      </w:pPr>
    </w:p>
    <w:p w14:paraId="49AAE420" w14:textId="77777777" w:rsidR="00361B5E" w:rsidRPr="009B6E44" w:rsidRDefault="00361B5E" w:rsidP="00361B5E">
      <w:pPr>
        <w:jc w:val="left"/>
        <w:rPr>
          <w:rFonts w:cs="Arial"/>
          <w:b/>
          <w:color w:val="1E4959"/>
          <w:szCs w:val="22"/>
        </w:rPr>
      </w:pPr>
      <w:r w:rsidRPr="009B6E44">
        <w:rPr>
          <w:rFonts w:cs="Arial"/>
          <w:b/>
          <w:color w:val="1E4959"/>
          <w:szCs w:val="22"/>
        </w:rPr>
        <w:t>Site Improvements</w:t>
      </w:r>
    </w:p>
    <w:p w14:paraId="3BFE8168" w14:textId="77777777" w:rsidR="00361B5E" w:rsidRDefault="00361B5E" w:rsidP="00361B5E">
      <w:pPr>
        <w:ind w:left="2880" w:hanging="2760"/>
        <w:rPr>
          <w:rFonts w:cs="Arial"/>
          <w:szCs w:val="22"/>
        </w:rPr>
      </w:pPr>
      <w:r w:rsidRPr="009B6E44">
        <w:rPr>
          <w:rFonts w:cs="Arial"/>
          <w:b/>
          <w:color w:val="1E4959"/>
          <w:szCs w:val="22"/>
        </w:rPr>
        <w:lastRenderedPageBreak/>
        <w:t>and Landscaping:</w:t>
      </w:r>
      <w:r w:rsidRPr="009B6E44">
        <w:rPr>
          <w:rFonts w:cs="Arial"/>
          <w:szCs w:val="22"/>
        </w:rPr>
        <w:tab/>
        <w:t>Site improvements include asphalt paving</w:t>
      </w:r>
      <w:r>
        <w:rPr>
          <w:rFonts w:cs="Arial"/>
          <w:szCs w:val="22"/>
        </w:rPr>
        <w:t xml:space="preserve"> with curbs for the parking area and vehicle storage. No formal landscaping, though the street boundary has a strip which trees and bushes.  Chain-link fencing (6’ high) extends from the building around the front perimeter of the property with gated entries at each curb-cut.  </w:t>
      </w:r>
    </w:p>
    <w:p w14:paraId="2DB74E32" w14:textId="77777777" w:rsidR="00361B5E" w:rsidRDefault="00361B5E" w:rsidP="00361B5E">
      <w:pPr>
        <w:ind w:left="2880" w:hanging="2760"/>
        <w:rPr>
          <w:rFonts w:cs="Arial"/>
          <w:szCs w:val="22"/>
        </w:rPr>
      </w:pPr>
    </w:p>
    <w:p w14:paraId="6C3F9EB7" w14:textId="77777777" w:rsidR="00361B5E" w:rsidRPr="009B6E44" w:rsidRDefault="00361B5E" w:rsidP="00361B5E">
      <w:pPr>
        <w:jc w:val="left"/>
        <w:rPr>
          <w:rFonts w:cs="Arial"/>
          <w:b/>
          <w:color w:val="1E4959"/>
          <w:szCs w:val="22"/>
        </w:rPr>
      </w:pPr>
      <w:r w:rsidRPr="009B6E44">
        <w:rPr>
          <w:rFonts w:cs="Arial"/>
          <w:b/>
          <w:color w:val="1E4959"/>
          <w:szCs w:val="22"/>
        </w:rPr>
        <w:t>Interior and</w:t>
      </w:r>
    </w:p>
    <w:p w14:paraId="5FB8C86A" w14:textId="77777777" w:rsidR="00361B5E" w:rsidRDefault="00361B5E" w:rsidP="00361B5E">
      <w:pPr>
        <w:ind w:left="2880" w:hanging="2765"/>
        <w:rPr>
          <w:rFonts w:cs="Arial"/>
          <w:szCs w:val="22"/>
        </w:rPr>
      </w:pPr>
      <w:r w:rsidRPr="009B6E44">
        <w:rPr>
          <w:rFonts w:cs="Arial"/>
          <w:b/>
          <w:color w:val="1E4959"/>
          <w:szCs w:val="22"/>
        </w:rPr>
        <w:t>Exterior Condition:</w:t>
      </w:r>
      <w:r w:rsidRPr="009B6E44">
        <w:rPr>
          <w:rFonts w:cs="Arial"/>
          <w:szCs w:val="22"/>
        </w:rPr>
        <w:tab/>
        <w:t>The building’s exterior walls, roof cover and siding appeared</w:t>
      </w:r>
      <w:r>
        <w:rPr>
          <w:rFonts w:cs="Arial"/>
          <w:szCs w:val="22"/>
        </w:rPr>
        <w:t xml:space="preserve"> maintained at only a basic level, with no major improvements to the property having been made in the recent past.  Overall, the building is considered in below average condition and in need of general clean-up. However, no deduction is made for deferred maintenance, as the subject’s existing condition is typical of auto service and repair properties of similar vintage, though condition adjustments relative to the comparables are considered on a general basis.</w:t>
      </w:r>
    </w:p>
    <w:p w14:paraId="4EED871D" w14:textId="77777777" w:rsidR="00361B5E" w:rsidRDefault="00361B5E" w:rsidP="00361B5E">
      <w:pPr>
        <w:ind w:left="2880" w:hanging="2880"/>
        <w:jc w:val="left"/>
        <w:rPr>
          <w:rFonts w:cs="Arial"/>
          <w:color w:val="000000" w:themeColor="text1"/>
          <w:szCs w:val="22"/>
        </w:rPr>
      </w:pPr>
    </w:p>
    <w:p w14:paraId="696887E8" w14:textId="35BC6919" w:rsidR="00361B5E" w:rsidRPr="00A46E01" w:rsidRDefault="00361B5E" w:rsidP="00361B5E">
      <w:pPr>
        <w:ind w:left="2880" w:hanging="2880"/>
        <w:jc w:val="left"/>
        <w:rPr>
          <w:rFonts w:cs="Arial"/>
          <w:szCs w:val="22"/>
        </w:rPr>
      </w:pPr>
      <w:r w:rsidRPr="00A46E01">
        <w:rPr>
          <w:rFonts w:cs="Arial"/>
          <w:b/>
          <w:color w:val="1E4959"/>
          <w:szCs w:val="22"/>
        </w:rPr>
        <w:t>Year Built</w:t>
      </w:r>
      <w:r>
        <w:rPr>
          <w:rFonts w:cs="Arial"/>
          <w:b/>
          <w:color w:val="1E4959"/>
          <w:szCs w:val="22"/>
        </w:rPr>
        <w:t xml:space="preserve"> (Remodeled)</w:t>
      </w:r>
      <w:r w:rsidRPr="00A46E01">
        <w:rPr>
          <w:rFonts w:cs="Arial"/>
          <w:b/>
          <w:color w:val="1E4959"/>
          <w:szCs w:val="22"/>
        </w:rPr>
        <w:t>:</w:t>
      </w:r>
      <w:r>
        <w:rPr>
          <w:rFonts w:cs="Arial"/>
          <w:szCs w:val="22"/>
        </w:rPr>
        <w:tab/>
      </w:r>
      <w:r w:rsidR="00D662B6">
        <w:rPr>
          <w:rFonts w:cs="Arial"/>
          <w:szCs w:val="22"/>
        </w:rPr>
        <w:t>${</w:t>
      </w:r>
      <w:proofErr w:type="spellStart"/>
      <w:r w:rsidR="00D662B6">
        <w:rPr>
          <w:rFonts w:cs="Arial"/>
          <w:szCs w:val="22"/>
        </w:rPr>
        <w:t>yearbuilt</w:t>
      </w:r>
      <w:proofErr w:type="spellEnd"/>
      <w:r w:rsidR="00D662B6">
        <w:rPr>
          <w:rFonts w:cs="Arial"/>
          <w:szCs w:val="22"/>
        </w:rPr>
        <w:t>}</w:t>
      </w:r>
      <w:r>
        <w:rPr>
          <w:rFonts w:cs="Arial"/>
          <w:szCs w:val="22"/>
        </w:rPr>
        <w:t>.</w:t>
      </w:r>
    </w:p>
    <w:p w14:paraId="0C54F906" w14:textId="77777777" w:rsidR="00361B5E" w:rsidRPr="009B6E44" w:rsidRDefault="00361B5E" w:rsidP="00361B5E">
      <w:pPr>
        <w:ind w:left="2880" w:hanging="2880"/>
        <w:jc w:val="left"/>
        <w:rPr>
          <w:rFonts w:cs="Arial"/>
          <w:color w:val="000000" w:themeColor="text1"/>
          <w:szCs w:val="22"/>
        </w:rPr>
      </w:pPr>
    </w:p>
    <w:p w14:paraId="32E2176C" w14:textId="77777777" w:rsidR="00361B5E" w:rsidRPr="009B6E44" w:rsidRDefault="00361B5E" w:rsidP="00361B5E">
      <w:pPr>
        <w:tabs>
          <w:tab w:val="left" w:pos="2880"/>
        </w:tabs>
        <w:ind w:left="2880" w:hanging="2880"/>
        <w:rPr>
          <w:rFonts w:cs="Arial"/>
          <w:szCs w:val="22"/>
        </w:rPr>
      </w:pPr>
      <w:r w:rsidRPr="00291E0D">
        <w:rPr>
          <w:rFonts w:cs="Arial"/>
          <w:b/>
          <w:color w:val="1E4959"/>
          <w:szCs w:val="22"/>
        </w:rPr>
        <w:t>Actual / Effective Age:</w:t>
      </w:r>
      <w:r w:rsidRPr="00291E0D">
        <w:rPr>
          <w:rFonts w:cs="Arial"/>
          <w:szCs w:val="22"/>
        </w:rPr>
        <w:tab/>
      </w:r>
      <w:r w:rsidRPr="00361B5E">
        <w:rPr>
          <w:rFonts w:cs="Arial"/>
          <w:szCs w:val="22"/>
          <w:highlight w:val="yellow"/>
        </w:rPr>
        <w:t>41 years / 20 years.</w:t>
      </w:r>
    </w:p>
    <w:p w14:paraId="26A96593" w14:textId="77777777" w:rsidR="00361B5E" w:rsidRPr="009B6E44" w:rsidRDefault="00361B5E" w:rsidP="00361B5E">
      <w:pPr>
        <w:tabs>
          <w:tab w:val="left" w:pos="2880"/>
        </w:tabs>
        <w:spacing w:before="60"/>
        <w:rPr>
          <w:rFonts w:cs="Arial"/>
          <w:b/>
          <w:szCs w:val="22"/>
        </w:rPr>
      </w:pPr>
    </w:p>
    <w:p w14:paraId="4BAA7BFD" w14:textId="77777777" w:rsidR="00361B5E" w:rsidRPr="00E950F0" w:rsidRDefault="00361B5E" w:rsidP="00361B5E">
      <w:pPr>
        <w:tabs>
          <w:tab w:val="left" w:pos="2880"/>
        </w:tabs>
        <w:ind w:left="2880" w:hanging="2880"/>
        <w:rPr>
          <w:rFonts w:cs="Arial"/>
          <w:szCs w:val="22"/>
        </w:rPr>
      </w:pPr>
      <w:r w:rsidRPr="00291E0D">
        <w:rPr>
          <w:rFonts w:cs="Arial"/>
          <w:b/>
          <w:color w:val="1E4959"/>
          <w:szCs w:val="22"/>
        </w:rPr>
        <w:t>Economic Life:</w:t>
      </w:r>
      <w:r w:rsidRPr="00291E0D">
        <w:rPr>
          <w:rFonts w:cs="Arial"/>
          <w:b/>
          <w:color w:val="1E4959"/>
          <w:szCs w:val="22"/>
        </w:rPr>
        <w:tab/>
      </w:r>
      <w:r w:rsidRPr="00361B5E">
        <w:rPr>
          <w:rFonts w:cs="Arial"/>
          <w:color w:val="000000" w:themeColor="text1"/>
          <w:szCs w:val="22"/>
          <w:highlight w:val="yellow"/>
        </w:rPr>
        <w:t>45 years / 25 years</w:t>
      </w:r>
      <w:r w:rsidRPr="00E950F0">
        <w:rPr>
          <w:rFonts w:cs="Arial"/>
          <w:color w:val="000000" w:themeColor="text1"/>
          <w:szCs w:val="22"/>
        </w:rPr>
        <w:t xml:space="preserve"> remaining assuming prudent, continued regular maintenance.</w:t>
      </w:r>
    </w:p>
    <w:p w14:paraId="66636C9A" w14:textId="77777777" w:rsidR="00361B5E" w:rsidRPr="00E950F0" w:rsidRDefault="00361B5E" w:rsidP="00361B5E">
      <w:pPr>
        <w:ind w:left="2880" w:hanging="2880"/>
        <w:jc w:val="left"/>
        <w:rPr>
          <w:rFonts w:cs="Arial"/>
          <w:color w:val="000000" w:themeColor="text1"/>
          <w:szCs w:val="22"/>
        </w:rPr>
      </w:pPr>
    </w:p>
    <w:p w14:paraId="0F4A4C08" w14:textId="1FE56A87" w:rsidR="00361B5E" w:rsidRPr="00E537C5" w:rsidRDefault="00361B5E" w:rsidP="00361B5E">
      <w:pPr>
        <w:tabs>
          <w:tab w:val="left" w:pos="2880"/>
        </w:tabs>
        <w:jc w:val="left"/>
        <w:rPr>
          <w:rFonts w:cs="Arial"/>
          <w:iCs/>
          <w:szCs w:val="22"/>
        </w:rPr>
      </w:pPr>
      <w:r w:rsidRPr="00E950F0">
        <w:rPr>
          <w:rFonts w:cs="Arial"/>
          <w:b/>
          <w:color w:val="1E4959"/>
          <w:szCs w:val="22"/>
        </w:rPr>
        <w:t>Site Coverage Ratio:</w:t>
      </w:r>
      <w:r>
        <w:rPr>
          <w:rFonts w:cs="Arial"/>
          <w:szCs w:val="22"/>
        </w:rPr>
        <w:tab/>
      </w:r>
      <w:r w:rsidR="00A1207E">
        <w:rPr>
          <w:rFonts w:cs="Arial"/>
          <w:szCs w:val="22"/>
        </w:rPr>
        <w:t>${</w:t>
      </w:r>
      <w:proofErr w:type="spellStart"/>
      <w:r w:rsidR="00A1207E" w:rsidRPr="00A1207E">
        <w:rPr>
          <w:rFonts w:cs="Arial"/>
          <w:szCs w:val="22"/>
        </w:rPr>
        <w:t>siteprim</w:t>
      </w:r>
      <w:proofErr w:type="spellEnd"/>
      <w:r w:rsidR="00A1207E">
        <w:rPr>
          <w:rFonts w:cs="Arial"/>
          <w:szCs w:val="22"/>
        </w:rPr>
        <w:t>}</w:t>
      </w:r>
      <w:r w:rsidRPr="00E950F0">
        <w:rPr>
          <w:rFonts w:cs="Arial"/>
          <w:szCs w:val="22"/>
        </w:rPr>
        <w:t xml:space="preserve"> </w:t>
      </w:r>
      <w:r w:rsidRPr="00A1207E">
        <w:rPr>
          <w:rFonts w:cs="Arial"/>
          <w:szCs w:val="22"/>
        </w:rPr>
        <w:t>(</w:t>
      </w:r>
      <w:r w:rsidR="00A1207E" w:rsidRPr="00A1207E">
        <w:rPr>
          <w:rFonts w:cs="Arial"/>
          <w:szCs w:val="22"/>
        </w:rPr>
        <w:t>${footprint}</w:t>
      </w:r>
      <w:r w:rsidRPr="00A1207E">
        <w:rPr>
          <w:rFonts w:cs="Arial"/>
          <w:szCs w:val="22"/>
        </w:rPr>
        <w:t xml:space="preserve"> </w:t>
      </w:r>
      <w:r w:rsidRPr="00361B5E">
        <w:rPr>
          <w:rFonts w:cs="Arial"/>
          <w:szCs w:val="22"/>
        </w:rPr>
        <w:t>SF</w:t>
      </w:r>
      <w:r w:rsidRPr="00E950F0">
        <w:rPr>
          <w:rFonts w:cs="Arial"/>
          <w:szCs w:val="22"/>
        </w:rPr>
        <w:t xml:space="preserve"> Footprint </w:t>
      </w:r>
      <w:r w:rsidRPr="00E950F0">
        <w:rPr>
          <w:rFonts w:cs="Arial"/>
          <w:szCs w:val="22"/>
        </w:rPr>
        <w:sym w:font="Courier New" w:char="00F7"/>
      </w:r>
      <w:r w:rsidRPr="00E950F0">
        <w:rPr>
          <w:rFonts w:cs="Arial"/>
          <w:szCs w:val="22"/>
        </w:rPr>
        <w:t xml:space="preserve"> </w:t>
      </w:r>
      <w:r w:rsidR="00A1207E">
        <w:rPr>
          <w:rFonts w:cs="Arial"/>
          <w:szCs w:val="22"/>
        </w:rPr>
        <w:t>${</w:t>
      </w:r>
      <w:proofErr w:type="spellStart"/>
      <w:r w:rsidR="00A1207E" w:rsidRPr="00A1207E">
        <w:rPr>
          <w:rFonts w:cs="Arial"/>
          <w:szCs w:val="22"/>
        </w:rPr>
        <w:t>primsf</w:t>
      </w:r>
      <w:proofErr w:type="spellEnd"/>
      <w:r w:rsidR="00A1207E">
        <w:rPr>
          <w:rFonts w:cs="Arial"/>
          <w:szCs w:val="22"/>
        </w:rPr>
        <w:t>}</w:t>
      </w:r>
      <w:r>
        <w:rPr>
          <w:rFonts w:cs="Arial"/>
          <w:szCs w:val="22"/>
        </w:rPr>
        <w:t xml:space="preserve"> </w:t>
      </w:r>
      <w:r w:rsidRPr="00E950F0">
        <w:rPr>
          <w:rFonts w:cs="Arial"/>
          <w:szCs w:val="22"/>
        </w:rPr>
        <w:t>SF Land Area)</w:t>
      </w:r>
    </w:p>
    <w:p w14:paraId="30537A97" w14:textId="77777777" w:rsidR="00361B5E" w:rsidRPr="00E950F0" w:rsidRDefault="00361B5E" w:rsidP="00361B5E">
      <w:pPr>
        <w:tabs>
          <w:tab w:val="left" w:pos="2880"/>
        </w:tabs>
        <w:ind w:left="2880" w:hanging="2880"/>
        <w:rPr>
          <w:rFonts w:cs="Arial"/>
          <w:b/>
          <w:szCs w:val="22"/>
        </w:rPr>
      </w:pPr>
    </w:p>
    <w:p w14:paraId="0D92C8BA" w14:textId="03B4A407" w:rsidR="00361B5E" w:rsidRPr="00B368C6" w:rsidRDefault="00361B5E" w:rsidP="00361B5E">
      <w:pPr>
        <w:tabs>
          <w:tab w:val="left" w:pos="2880"/>
        </w:tabs>
        <w:ind w:left="2880" w:hanging="2880"/>
        <w:rPr>
          <w:rFonts w:cs="Arial"/>
          <w:szCs w:val="22"/>
        </w:rPr>
      </w:pPr>
      <w:r w:rsidRPr="00E950F0">
        <w:rPr>
          <w:rFonts w:cs="Arial"/>
          <w:b/>
          <w:color w:val="1E4959"/>
          <w:szCs w:val="22"/>
        </w:rPr>
        <w:t>Land-to-Bldg. Ratio:</w:t>
      </w:r>
      <w:r>
        <w:rPr>
          <w:rFonts w:cs="Arial"/>
          <w:szCs w:val="22"/>
        </w:rPr>
        <w:tab/>
      </w:r>
      <w:r w:rsidR="00A1207E">
        <w:rPr>
          <w:rFonts w:cs="Arial"/>
          <w:szCs w:val="22"/>
        </w:rPr>
        <w:t>${</w:t>
      </w:r>
      <w:proofErr w:type="spellStart"/>
      <w:r w:rsidR="00A1207E" w:rsidRPr="00A1207E">
        <w:rPr>
          <w:rFonts w:cs="Arial"/>
          <w:szCs w:val="22"/>
        </w:rPr>
        <w:t>landprim</w:t>
      </w:r>
      <w:proofErr w:type="spellEnd"/>
      <w:r w:rsidR="00A1207E">
        <w:rPr>
          <w:rFonts w:cs="Arial"/>
          <w:szCs w:val="22"/>
        </w:rPr>
        <w:t>}</w:t>
      </w:r>
      <w:r w:rsidRPr="00E950F0">
        <w:rPr>
          <w:rFonts w:cs="Arial"/>
          <w:szCs w:val="22"/>
        </w:rPr>
        <w:t xml:space="preserve"> to 1 </w:t>
      </w:r>
      <w:r w:rsidRPr="00E950F0">
        <w:rPr>
          <w:rFonts w:cs="Arial"/>
          <w:iCs/>
          <w:szCs w:val="22"/>
        </w:rPr>
        <w:t>(</w:t>
      </w:r>
      <w:r w:rsidR="00A1207E">
        <w:rPr>
          <w:rFonts w:cs="Arial"/>
          <w:iCs/>
          <w:szCs w:val="22"/>
        </w:rPr>
        <w:t>${</w:t>
      </w:r>
      <w:proofErr w:type="spellStart"/>
      <w:r w:rsidR="00A1207E" w:rsidRPr="00A1207E">
        <w:rPr>
          <w:rFonts w:cs="Arial"/>
          <w:szCs w:val="22"/>
        </w:rPr>
        <w:t>primsf</w:t>
      </w:r>
      <w:proofErr w:type="spellEnd"/>
      <w:r w:rsidR="00A1207E">
        <w:rPr>
          <w:rFonts w:cs="Arial"/>
          <w:szCs w:val="22"/>
        </w:rPr>
        <w:t>}</w:t>
      </w:r>
      <w:r w:rsidRPr="00E950F0">
        <w:rPr>
          <w:rFonts w:cs="Arial"/>
          <w:szCs w:val="22"/>
        </w:rPr>
        <w:t xml:space="preserve"> S</w:t>
      </w:r>
      <w:r w:rsidRPr="00B368C6">
        <w:rPr>
          <w:rFonts w:cs="Arial"/>
          <w:szCs w:val="22"/>
        </w:rPr>
        <w:t xml:space="preserve">F </w:t>
      </w:r>
      <w:r>
        <w:rPr>
          <w:rFonts w:cs="Arial"/>
          <w:szCs w:val="22"/>
        </w:rPr>
        <w:t>Land</w:t>
      </w:r>
      <w:r w:rsidRPr="00B368C6">
        <w:rPr>
          <w:rFonts w:cs="Arial"/>
          <w:szCs w:val="22"/>
        </w:rPr>
        <w:t xml:space="preserve"> Area  </w:t>
      </w:r>
      <w:r w:rsidRPr="00B368C6">
        <w:rPr>
          <w:rFonts w:cs="Arial"/>
          <w:szCs w:val="22"/>
        </w:rPr>
        <w:sym w:font="Courier New" w:char="00F7"/>
      </w:r>
      <w:r w:rsidRPr="00B368C6">
        <w:rPr>
          <w:rFonts w:cs="Arial"/>
          <w:szCs w:val="22"/>
        </w:rPr>
        <w:t xml:space="preserve"> </w:t>
      </w:r>
      <w:r w:rsidR="00A1207E">
        <w:rPr>
          <w:rFonts w:cs="Arial"/>
          <w:szCs w:val="22"/>
        </w:rPr>
        <w:t>${</w:t>
      </w:r>
      <w:proofErr w:type="spellStart"/>
      <w:r w:rsidR="00A1207E">
        <w:rPr>
          <w:rFonts w:cs="Arial"/>
          <w:szCs w:val="22"/>
        </w:rPr>
        <w:t>gba</w:t>
      </w:r>
      <w:proofErr w:type="spellEnd"/>
      <w:r w:rsidR="00A1207E">
        <w:rPr>
          <w:rFonts w:cs="Arial"/>
          <w:szCs w:val="22"/>
        </w:rPr>
        <w:t>}</w:t>
      </w:r>
      <w:r w:rsidRPr="009B6E44">
        <w:rPr>
          <w:rFonts w:cs="Arial"/>
          <w:szCs w:val="22"/>
        </w:rPr>
        <w:t xml:space="preserve"> </w:t>
      </w:r>
      <w:r w:rsidRPr="00B368C6">
        <w:rPr>
          <w:rFonts w:cs="Arial"/>
          <w:szCs w:val="22"/>
        </w:rPr>
        <w:t>SF GBA)</w:t>
      </w:r>
    </w:p>
    <w:p w14:paraId="532B4130" w14:textId="77777777" w:rsidR="00361B5E" w:rsidRPr="009B6E44" w:rsidRDefault="00361B5E" w:rsidP="00361B5E">
      <w:pPr>
        <w:tabs>
          <w:tab w:val="left" w:pos="2880"/>
        </w:tabs>
        <w:jc w:val="left"/>
        <w:rPr>
          <w:rFonts w:cs="Arial"/>
          <w:szCs w:val="22"/>
        </w:rPr>
      </w:pPr>
    </w:p>
    <w:p w14:paraId="3D70C26D" w14:textId="5AE5D9FB" w:rsidR="00361B5E" w:rsidRPr="009B6E44" w:rsidRDefault="00361B5E" w:rsidP="00361B5E">
      <w:pPr>
        <w:ind w:left="2880" w:hanging="2880"/>
        <w:rPr>
          <w:rFonts w:cs="Arial"/>
          <w:szCs w:val="22"/>
        </w:rPr>
      </w:pPr>
      <w:r w:rsidRPr="009B6E44">
        <w:rPr>
          <w:rFonts w:cs="Arial"/>
          <w:b/>
          <w:color w:val="1E4959"/>
          <w:szCs w:val="22"/>
        </w:rPr>
        <w:t>Parking:</w:t>
      </w:r>
      <w:r w:rsidRPr="009B6E44">
        <w:rPr>
          <w:rFonts w:cs="Arial"/>
          <w:szCs w:val="22"/>
        </w:rPr>
        <w:tab/>
        <w:t xml:space="preserve">The </w:t>
      </w:r>
      <w:r>
        <w:rPr>
          <w:rFonts w:cs="Arial"/>
          <w:szCs w:val="22"/>
        </w:rPr>
        <w:t>parking lot includes space for approximately</w:t>
      </w:r>
      <w:r w:rsidRPr="009B6E44">
        <w:rPr>
          <w:rFonts w:cs="Arial"/>
          <w:szCs w:val="22"/>
        </w:rPr>
        <w:t xml:space="preserve"> </w:t>
      </w:r>
      <w:r w:rsidR="00A1207E">
        <w:rPr>
          <w:rFonts w:cs="Arial"/>
          <w:szCs w:val="22"/>
        </w:rPr>
        <w:t>${</w:t>
      </w:r>
      <w:proofErr w:type="spellStart"/>
      <w:r w:rsidR="00A1207E" w:rsidRPr="00A1207E">
        <w:rPr>
          <w:rFonts w:cs="Arial"/>
          <w:szCs w:val="22"/>
        </w:rPr>
        <w:t>pspaces</w:t>
      </w:r>
      <w:proofErr w:type="spellEnd"/>
      <w:r w:rsidR="00A1207E">
        <w:rPr>
          <w:rFonts w:cs="Arial"/>
          <w:szCs w:val="22"/>
        </w:rPr>
        <w:t>}</w:t>
      </w:r>
      <w:r>
        <w:rPr>
          <w:rFonts w:cs="Arial"/>
          <w:szCs w:val="22"/>
        </w:rPr>
        <w:t xml:space="preserve"> </w:t>
      </w:r>
      <w:r w:rsidRPr="009B6E44">
        <w:rPr>
          <w:rFonts w:cs="Arial"/>
          <w:szCs w:val="22"/>
        </w:rPr>
        <w:t>parking s</w:t>
      </w:r>
      <w:r>
        <w:rPr>
          <w:rFonts w:cs="Arial"/>
          <w:szCs w:val="22"/>
        </w:rPr>
        <w:t xml:space="preserve">talls which </w:t>
      </w:r>
      <w:r w:rsidRPr="009B6E44">
        <w:rPr>
          <w:rFonts w:cs="Arial"/>
          <w:szCs w:val="22"/>
        </w:rPr>
        <w:t>equat</w:t>
      </w:r>
      <w:r>
        <w:rPr>
          <w:rFonts w:cs="Arial"/>
          <w:szCs w:val="22"/>
        </w:rPr>
        <w:t>es</w:t>
      </w:r>
      <w:r w:rsidRPr="009B6E44">
        <w:rPr>
          <w:rFonts w:cs="Arial"/>
          <w:szCs w:val="22"/>
        </w:rPr>
        <w:t xml:space="preserve"> to a</w:t>
      </w:r>
      <w:r>
        <w:rPr>
          <w:rFonts w:cs="Arial"/>
          <w:szCs w:val="22"/>
        </w:rPr>
        <w:t xml:space="preserve"> parking ratio of </w:t>
      </w:r>
      <w:r w:rsidR="00A1207E">
        <w:rPr>
          <w:rFonts w:cs="Arial"/>
          <w:szCs w:val="22"/>
        </w:rPr>
        <w:t>${</w:t>
      </w:r>
      <w:proofErr w:type="spellStart"/>
      <w:r w:rsidR="00A1207E" w:rsidRPr="00A1207E">
        <w:rPr>
          <w:rFonts w:cs="Arial"/>
          <w:szCs w:val="22"/>
        </w:rPr>
        <w:t>pratio</w:t>
      </w:r>
      <w:proofErr w:type="spellEnd"/>
      <w:r w:rsidR="00A1207E">
        <w:rPr>
          <w:rFonts w:cs="Arial"/>
          <w:szCs w:val="22"/>
        </w:rPr>
        <w:t>}</w:t>
      </w:r>
      <w:r>
        <w:rPr>
          <w:rFonts w:cs="Arial"/>
          <w:szCs w:val="22"/>
        </w:rPr>
        <w:t xml:space="preserve"> GLA</w:t>
      </w:r>
      <w:r w:rsidRPr="009B6E44">
        <w:rPr>
          <w:rFonts w:cs="Arial"/>
          <w:szCs w:val="22"/>
        </w:rPr>
        <w:t>.</w:t>
      </w:r>
      <w:r>
        <w:rPr>
          <w:rFonts w:cs="Arial"/>
          <w:szCs w:val="22"/>
        </w:rPr>
        <w:t xml:space="preserve"> </w:t>
      </w:r>
      <w:r w:rsidRPr="009B6E44">
        <w:rPr>
          <w:rFonts w:cs="Arial"/>
          <w:szCs w:val="22"/>
        </w:rPr>
        <w:t xml:space="preserve"> </w:t>
      </w:r>
      <w:r>
        <w:rPr>
          <w:rFonts w:cs="Arial"/>
          <w:szCs w:val="22"/>
        </w:rPr>
        <w:t>This is considered in the middle of the range for suburban auto repair properties in the market area (1.0 to 3.0 spaces per 1,000 SF GLA).</w:t>
      </w:r>
      <w:r w:rsidRPr="009B6E44">
        <w:rPr>
          <w:rFonts w:cs="Arial"/>
          <w:szCs w:val="22"/>
        </w:rPr>
        <w:t xml:space="preserve">  </w:t>
      </w:r>
    </w:p>
    <w:p w14:paraId="29DFB055" w14:textId="77777777" w:rsidR="00361B5E" w:rsidRPr="009B6E44" w:rsidRDefault="00361B5E" w:rsidP="00361B5E">
      <w:pPr>
        <w:jc w:val="left"/>
        <w:rPr>
          <w:rFonts w:cs="Arial"/>
          <w:szCs w:val="22"/>
        </w:rPr>
      </w:pPr>
    </w:p>
    <w:p w14:paraId="057C7377" w14:textId="651220FE" w:rsidR="00361B5E" w:rsidRDefault="00361B5E" w:rsidP="00361B5E">
      <w:pPr>
        <w:ind w:left="2880" w:hanging="2880"/>
        <w:rPr>
          <w:rFonts w:cs="Arial"/>
          <w:szCs w:val="22"/>
        </w:rPr>
      </w:pPr>
      <w:r w:rsidRPr="009B6E44">
        <w:rPr>
          <w:rFonts w:cs="Arial"/>
          <w:b/>
          <w:color w:val="1E4959"/>
          <w:szCs w:val="22"/>
        </w:rPr>
        <w:t>Utility:</w:t>
      </w:r>
      <w:r w:rsidRPr="009B6E44">
        <w:rPr>
          <w:rFonts w:cs="Arial"/>
          <w:szCs w:val="22"/>
        </w:rPr>
        <w:tab/>
      </w:r>
      <w:r w:rsidRPr="00092EBA">
        <w:rPr>
          <w:rFonts w:cs="Arial"/>
          <w:szCs w:val="22"/>
        </w:rPr>
        <w:t xml:space="preserve">The subject </w:t>
      </w:r>
      <w:r>
        <w:rPr>
          <w:rFonts w:cs="Arial"/>
          <w:szCs w:val="22"/>
        </w:rPr>
        <w:t xml:space="preserve">auto service &amp; repair </w:t>
      </w:r>
      <w:r w:rsidRPr="00092EBA">
        <w:rPr>
          <w:rFonts w:cs="Arial"/>
          <w:szCs w:val="22"/>
        </w:rPr>
        <w:t>facility represents a</w:t>
      </w:r>
      <w:r>
        <w:rPr>
          <w:rFonts w:cs="Arial"/>
          <w:szCs w:val="22"/>
        </w:rPr>
        <w:t>n average</w:t>
      </w:r>
      <w:r w:rsidRPr="00092EBA">
        <w:rPr>
          <w:rFonts w:cs="Arial"/>
          <w:szCs w:val="22"/>
        </w:rPr>
        <w:t xml:space="preserve"> quality </w:t>
      </w:r>
      <w:r>
        <w:rPr>
          <w:rFonts w:cs="Arial"/>
          <w:szCs w:val="22"/>
        </w:rPr>
        <w:t>in below average condition, but does have</w:t>
      </w:r>
      <w:r w:rsidRPr="00092EBA">
        <w:rPr>
          <w:rFonts w:cs="Arial"/>
          <w:szCs w:val="22"/>
        </w:rPr>
        <w:t xml:space="preserve"> </w:t>
      </w:r>
      <w:r>
        <w:rPr>
          <w:rFonts w:cs="Arial"/>
          <w:szCs w:val="22"/>
        </w:rPr>
        <w:t xml:space="preserve">average </w:t>
      </w:r>
      <w:r w:rsidRPr="00092EBA">
        <w:rPr>
          <w:rFonts w:cs="Arial"/>
          <w:szCs w:val="22"/>
        </w:rPr>
        <w:t xml:space="preserve">appeal </w:t>
      </w:r>
      <w:r>
        <w:rPr>
          <w:rFonts w:cs="Arial"/>
          <w:szCs w:val="22"/>
        </w:rPr>
        <w:t>auto service and repair</w:t>
      </w:r>
      <w:r w:rsidRPr="00092EBA">
        <w:rPr>
          <w:rFonts w:cs="Arial"/>
          <w:szCs w:val="22"/>
        </w:rPr>
        <w:t xml:space="preserve"> building designed for single </w:t>
      </w:r>
      <w:r>
        <w:rPr>
          <w:rFonts w:cs="Arial"/>
          <w:szCs w:val="22"/>
        </w:rPr>
        <w:t>user</w:t>
      </w:r>
      <w:r w:rsidRPr="00092EBA">
        <w:rPr>
          <w:rFonts w:cs="Arial"/>
          <w:szCs w:val="22"/>
        </w:rPr>
        <w:t xml:space="preserve"> occupancy.  The total office build-out of </w:t>
      </w:r>
      <w:r w:rsidR="00E724C5">
        <w:rPr>
          <w:rFonts w:cs="Arial"/>
          <w:szCs w:val="22"/>
        </w:rPr>
        <w:t>${</w:t>
      </w:r>
      <w:proofErr w:type="spellStart"/>
      <w:r w:rsidR="00E724C5">
        <w:rPr>
          <w:rFonts w:cs="Arial"/>
          <w:szCs w:val="22"/>
        </w:rPr>
        <w:t>offpct</w:t>
      </w:r>
      <w:proofErr w:type="spellEnd"/>
      <w:r w:rsidR="00E724C5">
        <w:rPr>
          <w:rFonts w:cs="Arial"/>
          <w:szCs w:val="22"/>
        </w:rPr>
        <w:t>}</w:t>
      </w:r>
      <w:r w:rsidRPr="00092EBA">
        <w:rPr>
          <w:rFonts w:cs="Arial"/>
          <w:szCs w:val="22"/>
        </w:rPr>
        <w:t xml:space="preserve"> </w:t>
      </w:r>
      <w:r>
        <w:rPr>
          <w:rFonts w:cs="Arial"/>
          <w:szCs w:val="22"/>
        </w:rPr>
        <w:t>falls near the middle of the range in the market for this property type. Overall, the property has a</w:t>
      </w:r>
      <w:r w:rsidRPr="00405261">
        <w:rPr>
          <w:rFonts w:cs="Arial"/>
          <w:szCs w:val="22"/>
        </w:rPr>
        <w:t>verage utility with a fun</w:t>
      </w:r>
      <w:r>
        <w:rPr>
          <w:rFonts w:cs="Arial"/>
          <w:szCs w:val="22"/>
        </w:rPr>
        <w:t>ctional design for single-</w:t>
      </w:r>
      <w:r w:rsidRPr="00405261">
        <w:rPr>
          <w:rFonts w:cs="Arial"/>
          <w:szCs w:val="22"/>
        </w:rPr>
        <w:t xml:space="preserve">user, </w:t>
      </w:r>
      <w:r>
        <w:rPr>
          <w:rFonts w:cs="Arial"/>
          <w:szCs w:val="22"/>
        </w:rPr>
        <w:t>auto service and repair</w:t>
      </w:r>
      <w:r w:rsidRPr="00405261">
        <w:rPr>
          <w:rFonts w:cs="Arial"/>
          <w:szCs w:val="22"/>
        </w:rPr>
        <w:t xml:space="preserve"> occupancy.</w:t>
      </w:r>
    </w:p>
    <w:p w14:paraId="48698F9D" w14:textId="1D41365A" w:rsidR="006028C1" w:rsidRDefault="006028C1" w:rsidP="006028C1">
      <w:pPr>
        <w:tabs>
          <w:tab w:val="left" w:pos="2880"/>
        </w:tabs>
        <w:ind w:left="2880" w:hanging="2880"/>
        <w:rPr>
          <w:rFonts w:cs="Arial"/>
          <w:bCs/>
          <w:szCs w:val="22"/>
        </w:rPr>
      </w:pPr>
    </w:p>
    <w:p w14:paraId="69CECB19" w14:textId="3D5264F6" w:rsidR="00361B5E" w:rsidRDefault="00361B5E" w:rsidP="006028C1">
      <w:pPr>
        <w:tabs>
          <w:tab w:val="left" w:pos="2880"/>
        </w:tabs>
        <w:ind w:left="2880" w:hanging="2880"/>
        <w:rPr>
          <w:rFonts w:cs="Arial"/>
          <w:bCs/>
          <w:szCs w:val="22"/>
        </w:rPr>
      </w:pPr>
    </w:p>
    <w:p w14:paraId="1CF7F3E8" w14:textId="6F54CA25" w:rsidR="00361B5E" w:rsidRDefault="00361B5E" w:rsidP="006028C1">
      <w:pPr>
        <w:tabs>
          <w:tab w:val="left" w:pos="2880"/>
        </w:tabs>
        <w:ind w:left="2880" w:hanging="2880"/>
        <w:rPr>
          <w:rFonts w:cs="Arial"/>
          <w:bCs/>
          <w:szCs w:val="22"/>
        </w:rPr>
      </w:pPr>
    </w:p>
    <w:p w14:paraId="4A9FA742" w14:textId="77777777" w:rsidR="006028C1" w:rsidRDefault="006028C1" w:rsidP="006028C1">
      <w:pPr>
        <w:tabs>
          <w:tab w:val="left" w:pos="2880"/>
        </w:tabs>
        <w:ind w:left="2880" w:hanging="2880"/>
        <w:rPr>
          <w:rFonts w:cs="Arial"/>
          <w:szCs w:val="22"/>
        </w:rPr>
        <w:sectPr w:rsidR="006028C1" w:rsidSect="00185C85">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670AFFF2" w14:textId="77777777" w:rsidR="00A5618F" w:rsidRDefault="00A5618F" w:rsidP="00A5618F">
      <w:pPr>
        <w:tabs>
          <w:tab w:val="left" w:pos="2880"/>
        </w:tabs>
        <w:ind w:left="2880" w:hanging="2880"/>
        <w:rPr>
          <w:rFonts w:cs="Arial"/>
          <w:szCs w:val="22"/>
        </w:rPr>
        <w:sectPr w:rsidR="00A5618F"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A5618F" w:rsidRPr="000754FA" w14:paraId="0E81EEC9" w14:textId="77777777" w:rsidTr="004A11EB">
        <w:trPr>
          <w:jc w:val="center"/>
        </w:trPr>
        <w:tc>
          <w:tcPr>
            <w:tcW w:w="9360" w:type="dxa"/>
            <w:tcBorders>
              <w:top w:val="nil"/>
              <w:left w:val="nil"/>
              <w:bottom w:val="single" w:sz="24" w:space="0" w:color="3FB44F"/>
              <w:right w:val="nil"/>
            </w:tcBorders>
            <w:shd w:val="clear" w:color="auto" w:fill="1E4959"/>
          </w:tcPr>
          <w:p w14:paraId="2C09C972" w14:textId="77777777" w:rsidR="00A5618F" w:rsidRPr="000754FA" w:rsidRDefault="00A5618F" w:rsidP="004A11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A5618F" w:rsidRPr="000754FA" w14:paraId="3A9C1EE4"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29B25CBA" w14:textId="77777777" w:rsidR="00A5618F" w:rsidRPr="000754FA" w:rsidRDefault="00A5618F" w:rsidP="004A11EB">
            <w:pPr>
              <w:tabs>
                <w:tab w:val="left" w:pos="3960"/>
              </w:tabs>
              <w:spacing w:before="120" w:line="20" w:lineRule="atLeast"/>
              <w:jc w:val="center"/>
              <w:rPr>
                <w:rFonts w:cs="Arial"/>
                <w:b/>
                <w:smallCaps/>
                <w:color w:val="FFFFFF" w:themeColor="background1"/>
                <w:sz w:val="28"/>
                <w:szCs w:val="22"/>
              </w:rPr>
            </w:pPr>
          </w:p>
        </w:tc>
      </w:tr>
      <w:tr w:rsidR="00A5618F" w:rsidRPr="000754FA" w14:paraId="1E7574D4" w14:textId="77777777" w:rsidTr="004A11EB">
        <w:trPr>
          <w:trHeight w:hRule="exact" w:val="11808"/>
          <w:jc w:val="center"/>
        </w:trPr>
        <w:tc>
          <w:tcPr>
            <w:tcW w:w="9360" w:type="dxa"/>
            <w:tcBorders>
              <w:top w:val="nil"/>
              <w:left w:val="nil"/>
              <w:bottom w:val="nil"/>
              <w:right w:val="nil"/>
            </w:tcBorders>
            <w:shd w:val="clear" w:color="auto" w:fill="auto"/>
            <w:vAlign w:val="center"/>
          </w:tcPr>
          <w:p w14:paraId="1259EA12" w14:textId="77777777" w:rsidR="00A5618F" w:rsidRPr="000754FA" w:rsidRDefault="00A5618F"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0FBD03" wp14:editId="45D2E751">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5EB40" w14:textId="77777777" w:rsidR="00E87F03" w:rsidRDefault="00E87F03">
      <w:r>
        <w:separator/>
      </w:r>
    </w:p>
  </w:endnote>
  <w:endnote w:type="continuationSeparator" w:id="0">
    <w:p w14:paraId="62A8B1E2" w14:textId="77777777" w:rsidR="00E87F03" w:rsidRDefault="00E8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18A3E041"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6B4A30">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D662B6">
      <w:rPr>
        <w:rFonts w:cs="Segoe UI"/>
        <w:bCs/>
        <w:iCs/>
        <w:kern w:val="0"/>
        <w:sz w:val="20"/>
        <w:szCs w:val="18"/>
      </w:rPr>
      <w:t>${</w:t>
    </w:r>
    <w:proofErr w:type="spellStart"/>
    <w:r w:rsidRPr="00D662B6">
      <w:rPr>
        <w:rFonts w:cs="Segoe UI"/>
        <w:bCs/>
        <w:iCs/>
        <w:kern w:val="0"/>
        <w:sz w:val="20"/>
        <w:szCs w:val="18"/>
      </w:rPr>
      <w:t>reportname</w:t>
    </w:r>
    <w:proofErr w:type="spellEnd"/>
    <w:r w:rsidRPr="00D662B6">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1FCB0" w14:textId="77777777" w:rsidR="00E87F03" w:rsidRDefault="00E87F03">
      <w:r>
        <w:separator/>
      </w:r>
    </w:p>
  </w:footnote>
  <w:footnote w:type="continuationSeparator" w:id="0">
    <w:p w14:paraId="2096A3E5" w14:textId="77777777" w:rsidR="00E87F03" w:rsidRDefault="00E87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F01ADE" w:rsidRDefault="006028C1" w:rsidP="006028C1">
          <w:pPr>
            <w:pStyle w:val="ValbridgeHeader"/>
            <w:spacing w:before="120" w:line="240" w:lineRule="auto"/>
            <w:rPr>
              <w:rFonts w:asciiTheme="minorHAnsi" w:hAnsiTheme="minorHAnsi"/>
              <w:noProof/>
              <w:color w:val="auto"/>
              <w:sz w:val="20"/>
            </w:rPr>
          </w:pPr>
          <w:r w:rsidRPr="00D662B6">
            <w:rPr>
              <w:rFonts w:asciiTheme="minorHAnsi" w:hAnsiTheme="minorHAnsi"/>
              <w:caps/>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15DB"/>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0F4A"/>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4A30"/>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07E"/>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A73"/>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2B6"/>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4C5"/>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87F0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041"/>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2.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C5D0A2-5E92-49B3-A984-BC04FDD1F2BB}">
  <ds:schemaRefs>
    <ds:schemaRef ds:uri="http://schemas.openxmlformats.org/officeDocument/2006/bibliography"/>
  </ds:schemaRefs>
</ds:datastoreItem>
</file>

<file path=customXml/itemProps4.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6072</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5</cp:revision>
  <cp:lastPrinted>2019-01-21T18:26:00Z</cp:lastPrinted>
  <dcterms:created xsi:type="dcterms:W3CDTF">2020-05-12T14:38:00Z</dcterms:created>
  <dcterms:modified xsi:type="dcterms:W3CDTF">2020-06-13T20:57:00Z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