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F41453">
        <w:rPr>
          <w:rFonts w:cs="Arial"/>
          <w:color w:val="000000"/>
          <w:szCs w:val="22"/>
        </w:rPr>
        <w:t>${property_name}</w:t>
      </w:r>
    </w:p>
    <w:p w14:paraId="48698F9D" w14:textId="77777777" w:rsidR="006028C1" w:rsidRPr="006028C1" w:rsidRDefault="006028C1" w:rsidP="006028C1">
      <w:pPr>
        <w:tabs>
          <w:tab w:val="left" w:pos="2880"/>
        </w:tabs>
        <w:ind w:left="2880" w:hanging="2880"/>
        <w:rPr>
          <w:rFonts w:cs="Arial"/>
          <w:bCs/>
          <w:szCs w:val="22"/>
        </w:rPr>
      </w:pPr>
    </w:p>
    <w:p w14:paraId="624568DB" w14:textId="70FF513F" w:rsidR="009F7157" w:rsidRDefault="009F7157" w:rsidP="009F7157">
      <w:pPr>
        <w:tabs>
          <w:tab w:val="left" w:pos="0"/>
          <w:tab w:val="left" w:pos="259"/>
          <w:tab w:val="left" w:pos="2880"/>
        </w:tabs>
        <w:ind w:left="2880" w:hanging="2880"/>
        <w:rPr>
          <w:rFonts w:cs="Arial"/>
          <w:b/>
          <w:szCs w:val="22"/>
        </w:rPr>
      </w:pPr>
      <w:r w:rsidRPr="000754FA">
        <w:rPr>
          <w:rFonts w:cs="Arial"/>
          <w:b/>
          <w:color w:val="1E4959"/>
          <w:szCs w:val="22"/>
        </w:rPr>
        <w:t>General Description:</w:t>
      </w:r>
      <w:r w:rsidRPr="000754FA">
        <w:rPr>
          <w:rFonts w:cs="Arial"/>
          <w:b/>
          <w:szCs w:val="22"/>
        </w:rPr>
        <w:tab/>
      </w:r>
      <w:r>
        <w:t>S</w:t>
      </w:r>
      <w:r w:rsidRPr="00975C9A">
        <w:t>ingle-tenant,</w:t>
      </w:r>
      <w:r>
        <w:t xml:space="preserve"> two-story, </w:t>
      </w:r>
      <w:r w:rsidR="00F41453">
        <w:t>${</w:t>
      </w:r>
      <w:r w:rsidR="00F41453" w:rsidRPr="00F41453">
        <w:t>bclass</w:t>
      </w:r>
      <w:r w:rsidR="00F41453">
        <w:t xml:space="preserve">} </w:t>
      </w:r>
      <w:r w:rsidRPr="00CF4D11">
        <w:t xml:space="preserve">office building; built in </w:t>
      </w:r>
      <w:r w:rsidR="00F41453">
        <w:t>${</w:t>
      </w:r>
      <w:r w:rsidR="00F41453" w:rsidRPr="00F41453">
        <w:t>yearb</w:t>
      </w:r>
      <w:r w:rsidR="00F41453">
        <w:t>uilt}</w:t>
      </w:r>
      <w:r w:rsidRPr="00CF4D11">
        <w:t xml:space="preserve"> with </w:t>
      </w:r>
      <w:r w:rsidRPr="009F7157">
        <w:rPr>
          <w:highlight w:val="yellow"/>
        </w:rPr>
        <w:t>wood-frame / Hardi plank siding</w:t>
      </w:r>
      <w:r w:rsidRPr="00CF4D11">
        <w:t xml:space="preserve"> construction with </w:t>
      </w:r>
      <w:r>
        <w:t>stone</w:t>
      </w:r>
      <w:r w:rsidRPr="00CF4D11">
        <w:t xml:space="preserve"> veneer accents. </w:t>
      </w:r>
      <w:r w:rsidRPr="009F7157">
        <w:rPr>
          <w:highlight w:val="yellow"/>
        </w:rPr>
        <w:t>Average quality / good</w:t>
      </w:r>
      <w:r>
        <w:t xml:space="preserve"> </w:t>
      </w:r>
      <w:r w:rsidRPr="00CF4D11">
        <w:t xml:space="preserve">condition. </w:t>
      </w:r>
      <w:r w:rsidRPr="009F7157">
        <w:rPr>
          <w:highlight w:val="yellow"/>
        </w:rPr>
        <w:t>Non-elevator served</w:t>
      </w:r>
      <w:r>
        <w:t xml:space="preserve">.  </w:t>
      </w:r>
    </w:p>
    <w:p w14:paraId="1BD48E99" w14:textId="77777777" w:rsidR="009F7157" w:rsidRPr="000754FA" w:rsidRDefault="009F7157" w:rsidP="009F7157">
      <w:pPr>
        <w:tabs>
          <w:tab w:val="left" w:pos="0"/>
          <w:tab w:val="left" w:pos="259"/>
          <w:tab w:val="left" w:pos="2880"/>
        </w:tabs>
        <w:ind w:left="2880" w:hanging="2880"/>
        <w:rPr>
          <w:rFonts w:cs="Arial"/>
          <w:b/>
          <w:szCs w:val="22"/>
        </w:rPr>
      </w:pPr>
    </w:p>
    <w:p w14:paraId="446F52C8" w14:textId="77777777" w:rsidR="009F7157" w:rsidRPr="009B6E44" w:rsidRDefault="009F7157" w:rsidP="009F7157">
      <w:pPr>
        <w:widowControl w:val="0"/>
        <w:tabs>
          <w:tab w:val="left" w:pos="2880"/>
        </w:tabs>
        <w:ind w:left="2880" w:hanging="2880"/>
        <w:rPr>
          <w:rFonts w:cs="Arial"/>
          <w:b/>
          <w:szCs w:val="22"/>
        </w:rPr>
      </w:pPr>
      <w:r w:rsidRPr="009B6E44">
        <w:rPr>
          <w:rFonts w:cs="Arial"/>
          <w:b/>
          <w:color w:val="1E4959"/>
          <w:szCs w:val="22"/>
        </w:rPr>
        <w:t>Building Area:</w:t>
      </w:r>
    </w:p>
    <w:tbl>
      <w:tblPr>
        <w:tblW w:w="6480" w:type="dxa"/>
        <w:tblInd w:w="2880" w:type="dxa"/>
        <w:shd w:val="clear" w:color="auto" w:fill="FFFFFF"/>
        <w:tblLayout w:type="fixed"/>
        <w:tblLook w:val="0000" w:firstRow="0" w:lastRow="0" w:firstColumn="0" w:lastColumn="0" w:noHBand="0" w:noVBand="0"/>
      </w:tblPr>
      <w:tblGrid>
        <w:gridCol w:w="3330"/>
        <w:gridCol w:w="1575"/>
        <w:gridCol w:w="1575"/>
      </w:tblGrid>
      <w:tr w:rsidR="009F7157" w:rsidRPr="005A2D28" w14:paraId="1BC70BF5" w14:textId="77777777" w:rsidTr="001A4B48">
        <w:tc>
          <w:tcPr>
            <w:tcW w:w="3330" w:type="dxa"/>
            <w:shd w:val="clear" w:color="auto" w:fill="1E4959"/>
          </w:tcPr>
          <w:p w14:paraId="7DC79C44" w14:textId="77777777" w:rsidR="009F7157" w:rsidRPr="009B6E44" w:rsidRDefault="009F7157" w:rsidP="001A4B48">
            <w:pPr>
              <w:tabs>
                <w:tab w:val="left" w:pos="0"/>
                <w:tab w:val="left" w:pos="259"/>
                <w:tab w:val="left" w:pos="3600"/>
                <w:tab w:val="right" w:pos="7879"/>
              </w:tabs>
              <w:rPr>
                <w:rFonts w:cs="Arial"/>
                <w:b/>
                <w:smallCaps/>
                <w:color w:val="FFFFFF" w:themeColor="background1"/>
                <w:szCs w:val="22"/>
              </w:rPr>
            </w:pPr>
          </w:p>
        </w:tc>
        <w:tc>
          <w:tcPr>
            <w:tcW w:w="1575" w:type="dxa"/>
            <w:shd w:val="clear" w:color="auto" w:fill="1E4959"/>
          </w:tcPr>
          <w:p w14:paraId="6DC2E632" w14:textId="77777777" w:rsidR="009F7157" w:rsidRPr="005A2D28" w:rsidRDefault="009F7157" w:rsidP="001A4B48">
            <w:pPr>
              <w:tabs>
                <w:tab w:val="left" w:pos="0"/>
                <w:tab w:val="left" w:pos="259"/>
                <w:tab w:val="left" w:pos="3600"/>
                <w:tab w:val="right" w:pos="7879"/>
              </w:tabs>
              <w:jc w:val="center"/>
              <w:rPr>
                <w:rFonts w:cs="Arial"/>
                <w:b/>
                <w:smallCaps/>
                <w:color w:val="FFFFFF" w:themeColor="background1"/>
                <w:szCs w:val="22"/>
              </w:rPr>
            </w:pPr>
            <w:r w:rsidRPr="00A3168D">
              <w:rPr>
                <w:rFonts w:cs="Arial"/>
                <w:b/>
                <w:smallCaps/>
                <w:color w:val="FFFFFF" w:themeColor="background1"/>
                <w:szCs w:val="22"/>
              </w:rPr>
              <w:t>Gross</w:t>
            </w:r>
          </w:p>
          <w:p w14:paraId="6905F1FD" w14:textId="77777777" w:rsidR="009F7157" w:rsidRPr="005A2D28" w:rsidRDefault="009F7157" w:rsidP="001A4B48">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Building</w:t>
            </w:r>
          </w:p>
        </w:tc>
        <w:tc>
          <w:tcPr>
            <w:tcW w:w="1575" w:type="dxa"/>
            <w:shd w:val="clear" w:color="auto" w:fill="1E4959"/>
          </w:tcPr>
          <w:p w14:paraId="2421716C" w14:textId="77777777" w:rsidR="009F7157" w:rsidRPr="005A2D28" w:rsidRDefault="009F7157" w:rsidP="001A4B48">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Net</w:t>
            </w:r>
          </w:p>
          <w:p w14:paraId="3208EF09" w14:textId="77777777" w:rsidR="009F7157" w:rsidRPr="005A2D28" w:rsidRDefault="009F7157" w:rsidP="001A4B48">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Rentable</w:t>
            </w:r>
          </w:p>
        </w:tc>
      </w:tr>
      <w:tr w:rsidR="009F7157" w:rsidRPr="009B6E44" w14:paraId="57C72E56" w14:textId="77777777" w:rsidTr="001A4B48">
        <w:tc>
          <w:tcPr>
            <w:tcW w:w="3330" w:type="dxa"/>
            <w:tcBorders>
              <w:bottom w:val="single" w:sz="24" w:space="0" w:color="3FB44F"/>
            </w:tcBorders>
            <w:shd w:val="clear" w:color="auto" w:fill="1E4959"/>
          </w:tcPr>
          <w:p w14:paraId="3E2267C2" w14:textId="77777777" w:rsidR="009F7157" w:rsidRPr="005A2D28" w:rsidRDefault="009F7157" w:rsidP="001A4B48">
            <w:pPr>
              <w:tabs>
                <w:tab w:val="left" w:pos="0"/>
                <w:tab w:val="left" w:pos="259"/>
                <w:tab w:val="left" w:pos="3600"/>
                <w:tab w:val="right" w:pos="7879"/>
              </w:tabs>
              <w:spacing w:after="60" w:line="20" w:lineRule="atLeast"/>
              <w:jc w:val="left"/>
              <w:rPr>
                <w:rFonts w:cs="Arial"/>
                <w:b/>
                <w:smallCaps/>
                <w:color w:val="FFFFFF" w:themeColor="background1"/>
                <w:szCs w:val="22"/>
              </w:rPr>
            </w:pPr>
            <w:r w:rsidRPr="005A2D28">
              <w:rPr>
                <w:rFonts w:cs="Arial"/>
                <w:b/>
                <w:smallCaps/>
                <w:color w:val="FFFFFF" w:themeColor="background1"/>
                <w:szCs w:val="22"/>
              </w:rPr>
              <w:t>Building Component</w:t>
            </w:r>
          </w:p>
        </w:tc>
        <w:tc>
          <w:tcPr>
            <w:tcW w:w="1575" w:type="dxa"/>
            <w:tcBorders>
              <w:bottom w:val="single" w:sz="24" w:space="0" w:color="3FB44F"/>
            </w:tcBorders>
            <w:shd w:val="clear" w:color="auto" w:fill="1E4959"/>
          </w:tcPr>
          <w:p w14:paraId="48F34854" w14:textId="77777777" w:rsidR="009F7157" w:rsidRPr="005A2D28" w:rsidRDefault="009F7157" w:rsidP="001A4B48">
            <w:pPr>
              <w:tabs>
                <w:tab w:val="left" w:pos="0"/>
                <w:tab w:val="left" w:pos="259"/>
                <w:tab w:val="left" w:pos="3600"/>
                <w:tab w:val="right" w:pos="7879"/>
              </w:tabs>
              <w:spacing w:after="60" w:line="20" w:lineRule="atLeast"/>
              <w:jc w:val="center"/>
              <w:rPr>
                <w:rFonts w:cs="Arial"/>
                <w:b/>
                <w:smallCaps/>
                <w:color w:val="FFFFFF" w:themeColor="background1"/>
                <w:szCs w:val="22"/>
              </w:rPr>
            </w:pPr>
            <w:r w:rsidRPr="005A2D28">
              <w:rPr>
                <w:rFonts w:cs="Arial"/>
                <w:b/>
                <w:smallCaps/>
                <w:color w:val="FFFFFF" w:themeColor="background1"/>
                <w:szCs w:val="22"/>
              </w:rPr>
              <w:t>Area (SF)</w:t>
            </w:r>
          </w:p>
        </w:tc>
        <w:tc>
          <w:tcPr>
            <w:tcW w:w="1575" w:type="dxa"/>
            <w:tcBorders>
              <w:bottom w:val="single" w:sz="24" w:space="0" w:color="3FB44F"/>
            </w:tcBorders>
            <w:shd w:val="clear" w:color="auto" w:fill="1E4959"/>
          </w:tcPr>
          <w:p w14:paraId="382AA9F7" w14:textId="77777777" w:rsidR="009F7157" w:rsidRPr="005A2D28" w:rsidRDefault="009F7157" w:rsidP="001A4B48">
            <w:pPr>
              <w:tabs>
                <w:tab w:val="left" w:pos="0"/>
                <w:tab w:val="left" w:pos="259"/>
                <w:tab w:val="left" w:pos="3600"/>
                <w:tab w:val="right" w:pos="7879"/>
              </w:tabs>
              <w:spacing w:after="60" w:line="20" w:lineRule="atLeast"/>
              <w:jc w:val="center"/>
              <w:rPr>
                <w:rFonts w:cs="Arial"/>
                <w:b/>
                <w:smallCaps/>
                <w:color w:val="FFFFFF" w:themeColor="background1"/>
                <w:szCs w:val="22"/>
              </w:rPr>
            </w:pPr>
            <w:r w:rsidRPr="005A2D28">
              <w:rPr>
                <w:rFonts w:cs="Arial"/>
                <w:b/>
                <w:smallCaps/>
                <w:color w:val="FFFFFF" w:themeColor="background1"/>
                <w:szCs w:val="22"/>
              </w:rPr>
              <w:t>Area (SF)</w:t>
            </w:r>
          </w:p>
        </w:tc>
      </w:tr>
      <w:tr w:rsidR="009F7157" w:rsidRPr="009B6E44" w14:paraId="43674044" w14:textId="77777777" w:rsidTr="001A4B48">
        <w:trPr>
          <w:trHeight w:val="453"/>
        </w:trPr>
        <w:tc>
          <w:tcPr>
            <w:tcW w:w="3330" w:type="dxa"/>
            <w:tcBorders>
              <w:top w:val="single" w:sz="24" w:space="0" w:color="3FB44F"/>
            </w:tcBorders>
            <w:shd w:val="clear" w:color="auto" w:fill="FFFFFF"/>
            <w:vAlign w:val="bottom"/>
          </w:tcPr>
          <w:p w14:paraId="0F498FA2" w14:textId="77777777" w:rsidR="009F7157" w:rsidRPr="009B6E44" w:rsidRDefault="009F7157" w:rsidP="001A4B48">
            <w:pPr>
              <w:tabs>
                <w:tab w:val="left" w:pos="0"/>
                <w:tab w:val="left" w:pos="259"/>
                <w:tab w:val="left" w:pos="1512"/>
                <w:tab w:val="left" w:pos="3600"/>
                <w:tab w:val="right" w:pos="7879"/>
              </w:tabs>
              <w:spacing w:line="320" w:lineRule="exact"/>
              <w:rPr>
                <w:rFonts w:cs="Arial"/>
                <w:szCs w:val="22"/>
              </w:rPr>
            </w:pPr>
            <w:r>
              <w:rPr>
                <w:rFonts w:cs="Arial"/>
                <w:szCs w:val="22"/>
              </w:rPr>
              <w:t>Main Level</w:t>
            </w:r>
          </w:p>
        </w:tc>
        <w:tc>
          <w:tcPr>
            <w:tcW w:w="1575" w:type="dxa"/>
            <w:tcBorders>
              <w:top w:val="single" w:sz="24" w:space="0" w:color="3FB44F"/>
              <w:left w:val="single" w:sz="6" w:space="0" w:color="auto"/>
              <w:right w:val="single" w:sz="6" w:space="0" w:color="auto"/>
            </w:tcBorders>
            <w:shd w:val="clear" w:color="auto" w:fill="FFFFFF"/>
            <w:vAlign w:val="bottom"/>
          </w:tcPr>
          <w:p w14:paraId="1417ED08" w14:textId="6B6B9F02" w:rsidR="009F7157" w:rsidRPr="009F7157" w:rsidRDefault="00F41453" w:rsidP="001A4B48">
            <w:pPr>
              <w:tabs>
                <w:tab w:val="left" w:pos="0"/>
                <w:tab w:val="left" w:pos="259"/>
                <w:tab w:val="left" w:pos="1512"/>
                <w:tab w:val="left" w:pos="3600"/>
                <w:tab w:val="right" w:pos="7879"/>
              </w:tabs>
              <w:spacing w:line="320" w:lineRule="exact"/>
              <w:jc w:val="center"/>
              <w:rPr>
                <w:rFonts w:cs="Arial"/>
                <w:szCs w:val="22"/>
                <w:highlight w:val="magenta"/>
              </w:rPr>
            </w:pPr>
            <w:r w:rsidRPr="00857653">
              <w:rPr>
                <w:rFonts w:cs="Arial"/>
                <w:szCs w:val="22"/>
              </w:rPr>
              <w:t>${footprint}</w:t>
            </w:r>
          </w:p>
        </w:tc>
        <w:tc>
          <w:tcPr>
            <w:tcW w:w="1575" w:type="dxa"/>
            <w:tcBorders>
              <w:top w:val="single" w:sz="24" w:space="0" w:color="3FB44F"/>
              <w:left w:val="single" w:sz="6" w:space="0" w:color="auto"/>
            </w:tcBorders>
            <w:shd w:val="clear" w:color="auto" w:fill="FFFFFF"/>
            <w:vAlign w:val="bottom"/>
          </w:tcPr>
          <w:p w14:paraId="74ED01B4" w14:textId="76DB5D5C" w:rsidR="009F7157" w:rsidRPr="009F7157" w:rsidRDefault="00F41453" w:rsidP="001A4B48">
            <w:pPr>
              <w:tabs>
                <w:tab w:val="left" w:pos="0"/>
                <w:tab w:val="left" w:pos="259"/>
                <w:tab w:val="left" w:pos="1512"/>
                <w:tab w:val="left" w:pos="3600"/>
                <w:tab w:val="right" w:pos="7879"/>
              </w:tabs>
              <w:spacing w:line="320" w:lineRule="exact"/>
              <w:jc w:val="center"/>
              <w:rPr>
                <w:rFonts w:cs="Arial"/>
                <w:szCs w:val="22"/>
                <w:highlight w:val="magenta"/>
              </w:rPr>
            </w:pPr>
            <w:r w:rsidRPr="00EA13D1">
              <w:rPr>
                <w:rFonts w:cs="Arial"/>
                <w:szCs w:val="22"/>
              </w:rPr>
              <w:t>${f1nra}</w:t>
            </w:r>
          </w:p>
        </w:tc>
      </w:tr>
      <w:tr w:rsidR="009F7157" w:rsidRPr="009B6E44" w14:paraId="669AC508" w14:textId="77777777" w:rsidTr="008423A6">
        <w:trPr>
          <w:trHeight w:val="450"/>
        </w:trPr>
        <w:tc>
          <w:tcPr>
            <w:tcW w:w="3330" w:type="dxa"/>
            <w:tcBorders>
              <w:bottom w:val="dotted" w:sz="4" w:space="0" w:color="auto"/>
            </w:tcBorders>
            <w:shd w:val="clear" w:color="auto" w:fill="FFFFFF"/>
            <w:vAlign w:val="bottom"/>
          </w:tcPr>
          <w:p w14:paraId="6B193D81" w14:textId="59739B37" w:rsidR="009F7157" w:rsidRPr="009B6E44" w:rsidRDefault="009F7157" w:rsidP="001A4B48">
            <w:pPr>
              <w:tabs>
                <w:tab w:val="left" w:pos="0"/>
                <w:tab w:val="left" w:pos="259"/>
                <w:tab w:val="left" w:pos="1512"/>
                <w:tab w:val="left" w:pos="3600"/>
                <w:tab w:val="right" w:pos="7879"/>
              </w:tabs>
              <w:spacing w:line="320" w:lineRule="exact"/>
              <w:rPr>
                <w:rFonts w:cs="Arial"/>
                <w:szCs w:val="22"/>
              </w:rPr>
            </w:pPr>
            <w:r>
              <w:rPr>
                <w:rFonts w:cs="Arial"/>
                <w:szCs w:val="22"/>
              </w:rPr>
              <w:t>Upper Level</w:t>
            </w:r>
          </w:p>
        </w:tc>
        <w:tc>
          <w:tcPr>
            <w:tcW w:w="1575" w:type="dxa"/>
            <w:tcBorders>
              <w:left w:val="single" w:sz="6" w:space="0" w:color="auto"/>
              <w:bottom w:val="dotted" w:sz="4" w:space="0" w:color="auto"/>
              <w:right w:val="single" w:sz="6" w:space="0" w:color="auto"/>
            </w:tcBorders>
            <w:shd w:val="clear" w:color="auto" w:fill="FFFFFF"/>
            <w:vAlign w:val="bottom"/>
          </w:tcPr>
          <w:p w14:paraId="42595EAC" w14:textId="00387FB2" w:rsidR="009F7157" w:rsidRPr="009F7157" w:rsidRDefault="00F41453" w:rsidP="001A4B48">
            <w:pPr>
              <w:tabs>
                <w:tab w:val="left" w:pos="0"/>
                <w:tab w:val="left" w:pos="259"/>
                <w:tab w:val="left" w:pos="1512"/>
                <w:tab w:val="left" w:pos="3600"/>
                <w:tab w:val="right" w:pos="7879"/>
              </w:tabs>
              <w:spacing w:line="320" w:lineRule="exact"/>
              <w:jc w:val="center"/>
              <w:rPr>
                <w:rFonts w:cs="Arial"/>
                <w:szCs w:val="22"/>
                <w:highlight w:val="magenta"/>
              </w:rPr>
            </w:pPr>
            <w:r w:rsidRPr="00857653">
              <w:rPr>
                <w:rFonts w:cs="Arial"/>
                <w:szCs w:val="22"/>
              </w:rPr>
              <w:t>${floor2}</w:t>
            </w:r>
          </w:p>
        </w:tc>
        <w:tc>
          <w:tcPr>
            <w:tcW w:w="1575" w:type="dxa"/>
            <w:tcBorders>
              <w:left w:val="single" w:sz="6" w:space="0" w:color="auto"/>
              <w:bottom w:val="dotted" w:sz="4" w:space="0" w:color="auto"/>
            </w:tcBorders>
            <w:shd w:val="clear" w:color="auto" w:fill="FFFFFF"/>
            <w:vAlign w:val="bottom"/>
          </w:tcPr>
          <w:p w14:paraId="7991BA08" w14:textId="5D94650F" w:rsidR="009F7157" w:rsidRPr="009F7157" w:rsidRDefault="00F41453" w:rsidP="001A4B48">
            <w:pPr>
              <w:tabs>
                <w:tab w:val="left" w:pos="0"/>
                <w:tab w:val="left" w:pos="259"/>
                <w:tab w:val="left" w:pos="3600"/>
                <w:tab w:val="right" w:pos="7879"/>
              </w:tabs>
              <w:spacing w:line="320" w:lineRule="exact"/>
              <w:jc w:val="center"/>
              <w:rPr>
                <w:rFonts w:cs="Arial"/>
                <w:szCs w:val="22"/>
                <w:highlight w:val="magenta"/>
              </w:rPr>
            </w:pPr>
            <w:r w:rsidRPr="00EA13D1">
              <w:rPr>
                <w:rFonts w:cs="Arial"/>
                <w:szCs w:val="22"/>
              </w:rPr>
              <w:t>${floor2nra}</w:t>
            </w:r>
          </w:p>
        </w:tc>
      </w:tr>
      <w:tr w:rsidR="008423A6" w:rsidRPr="009B6E44" w14:paraId="0AD72AA5" w14:textId="77777777" w:rsidTr="008423A6">
        <w:trPr>
          <w:trHeight w:val="450"/>
        </w:trPr>
        <w:tc>
          <w:tcPr>
            <w:tcW w:w="3330" w:type="dxa"/>
            <w:tcBorders>
              <w:top w:val="dotted" w:sz="4" w:space="0" w:color="auto"/>
              <w:bottom w:val="single" w:sz="6" w:space="0" w:color="auto"/>
            </w:tcBorders>
            <w:shd w:val="clear" w:color="auto" w:fill="FFFFFF"/>
            <w:vAlign w:val="bottom"/>
          </w:tcPr>
          <w:p w14:paraId="0C2A4B9C" w14:textId="79FA9667" w:rsidR="008423A6" w:rsidRDefault="008423A6" w:rsidP="001A4B48">
            <w:pPr>
              <w:tabs>
                <w:tab w:val="left" w:pos="0"/>
                <w:tab w:val="left" w:pos="259"/>
                <w:tab w:val="left" w:pos="1512"/>
                <w:tab w:val="left" w:pos="3600"/>
                <w:tab w:val="right" w:pos="7879"/>
              </w:tabs>
              <w:spacing w:line="320" w:lineRule="exact"/>
              <w:rPr>
                <w:rFonts w:cs="Arial"/>
                <w:szCs w:val="22"/>
              </w:rPr>
            </w:pPr>
            <w:r>
              <w:rPr>
                <w:rFonts w:cs="Arial"/>
                <w:szCs w:val="22"/>
              </w:rPr>
              <w:t>Finished Basement</w:t>
            </w:r>
          </w:p>
        </w:tc>
        <w:tc>
          <w:tcPr>
            <w:tcW w:w="1575" w:type="dxa"/>
            <w:tcBorders>
              <w:top w:val="dotted" w:sz="4" w:space="0" w:color="auto"/>
              <w:left w:val="single" w:sz="6" w:space="0" w:color="auto"/>
              <w:bottom w:val="single" w:sz="6" w:space="0" w:color="auto"/>
              <w:right w:val="single" w:sz="6" w:space="0" w:color="auto"/>
            </w:tcBorders>
            <w:shd w:val="clear" w:color="auto" w:fill="FFFFFF"/>
            <w:vAlign w:val="bottom"/>
          </w:tcPr>
          <w:p w14:paraId="4DA362F5" w14:textId="04634B59" w:rsidR="008423A6" w:rsidRPr="00857653" w:rsidRDefault="008423A6" w:rsidP="001A4B48">
            <w:pPr>
              <w:tabs>
                <w:tab w:val="left" w:pos="0"/>
                <w:tab w:val="left" w:pos="259"/>
                <w:tab w:val="left" w:pos="1512"/>
                <w:tab w:val="left" w:pos="3600"/>
                <w:tab w:val="right" w:pos="7879"/>
              </w:tabs>
              <w:spacing w:line="320" w:lineRule="exact"/>
              <w:jc w:val="center"/>
              <w:rPr>
                <w:rFonts w:cs="Arial"/>
                <w:szCs w:val="22"/>
              </w:rPr>
            </w:pPr>
            <w:r>
              <w:rPr>
                <w:rFonts w:cs="Arial"/>
                <w:szCs w:val="22"/>
              </w:rPr>
              <w:t>${</w:t>
            </w:r>
            <w:r w:rsidRPr="008423A6">
              <w:rPr>
                <w:rFonts w:cs="Arial"/>
                <w:szCs w:val="22"/>
              </w:rPr>
              <w:t>basegba</w:t>
            </w:r>
            <w:r>
              <w:rPr>
                <w:rFonts w:cs="Arial"/>
                <w:szCs w:val="22"/>
              </w:rPr>
              <w:t>}</w:t>
            </w:r>
          </w:p>
        </w:tc>
        <w:tc>
          <w:tcPr>
            <w:tcW w:w="1575" w:type="dxa"/>
            <w:tcBorders>
              <w:top w:val="dotted" w:sz="4" w:space="0" w:color="auto"/>
              <w:left w:val="single" w:sz="6" w:space="0" w:color="auto"/>
              <w:bottom w:val="single" w:sz="6" w:space="0" w:color="auto"/>
            </w:tcBorders>
            <w:shd w:val="clear" w:color="auto" w:fill="FFFFFF"/>
            <w:vAlign w:val="bottom"/>
          </w:tcPr>
          <w:p w14:paraId="10182F31" w14:textId="761407D4" w:rsidR="008423A6" w:rsidRPr="00EA13D1" w:rsidRDefault="008423A6" w:rsidP="001A4B48">
            <w:pPr>
              <w:tabs>
                <w:tab w:val="left" w:pos="0"/>
                <w:tab w:val="left" w:pos="259"/>
                <w:tab w:val="left" w:pos="3600"/>
                <w:tab w:val="right" w:pos="7879"/>
              </w:tabs>
              <w:spacing w:line="320" w:lineRule="exact"/>
              <w:jc w:val="center"/>
              <w:rPr>
                <w:rFonts w:cs="Arial"/>
                <w:szCs w:val="22"/>
              </w:rPr>
            </w:pPr>
            <w:r>
              <w:rPr>
                <w:rFonts w:cs="Arial"/>
                <w:szCs w:val="22"/>
              </w:rPr>
              <w:t>${</w:t>
            </w:r>
            <w:r w:rsidRPr="008423A6">
              <w:rPr>
                <w:rFonts w:cs="Arial"/>
                <w:szCs w:val="22"/>
              </w:rPr>
              <w:t>base</w:t>
            </w:r>
            <w:r>
              <w:rPr>
                <w:rFonts w:cs="Arial"/>
                <w:szCs w:val="22"/>
              </w:rPr>
              <w:t>nra}</w:t>
            </w:r>
          </w:p>
        </w:tc>
      </w:tr>
      <w:tr w:rsidR="009F7157" w:rsidRPr="009B6E44" w14:paraId="7B754797" w14:textId="77777777" w:rsidTr="001A4B48">
        <w:trPr>
          <w:trHeight w:val="426"/>
        </w:trPr>
        <w:tc>
          <w:tcPr>
            <w:tcW w:w="3330" w:type="dxa"/>
            <w:tcBorders>
              <w:top w:val="single" w:sz="6" w:space="0" w:color="auto"/>
              <w:bottom w:val="double" w:sz="4" w:space="0" w:color="auto"/>
            </w:tcBorders>
            <w:shd w:val="clear" w:color="auto" w:fill="FFFFFF"/>
            <w:vAlign w:val="bottom"/>
          </w:tcPr>
          <w:p w14:paraId="5A85B51F" w14:textId="77777777" w:rsidR="009F7157" w:rsidRPr="009B6E44" w:rsidRDefault="009F7157" w:rsidP="001A4B48">
            <w:pPr>
              <w:tabs>
                <w:tab w:val="left" w:pos="0"/>
                <w:tab w:val="left" w:pos="259"/>
                <w:tab w:val="left" w:pos="3600"/>
                <w:tab w:val="right" w:pos="7879"/>
              </w:tabs>
              <w:spacing w:line="320" w:lineRule="exact"/>
              <w:rPr>
                <w:rFonts w:cs="Arial"/>
                <w:b/>
                <w:bCs/>
                <w:szCs w:val="22"/>
              </w:rPr>
            </w:pPr>
            <w:r w:rsidRPr="009B6E44">
              <w:rPr>
                <w:rFonts w:cs="Arial"/>
                <w:b/>
                <w:bCs/>
                <w:szCs w:val="22"/>
              </w:rPr>
              <w:t>TOTAL GBA / NRA:</w:t>
            </w:r>
          </w:p>
        </w:tc>
        <w:tc>
          <w:tcPr>
            <w:tcW w:w="1575" w:type="dxa"/>
            <w:tcBorders>
              <w:top w:val="single" w:sz="6" w:space="0" w:color="auto"/>
              <w:left w:val="single" w:sz="6" w:space="0" w:color="auto"/>
              <w:bottom w:val="double" w:sz="4" w:space="0" w:color="auto"/>
              <w:right w:val="single" w:sz="6" w:space="0" w:color="auto"/>
            </w:tcBorders>
            <w:shd w:val="clear" w:color="auto" w:fill="FFFFFF"/>
            <w:vAlign w:val="bottom"/>
          </w:tcPr>
          <w:p w14:paraId="568251B5" w14:textId="241A4799" w:rsidR="009F7157" w:rsidRPr="009F7157" w:rsidRDefault="00F41453" w:rsidP="001A4B48">
            <w:pPr>
              <w:tabs>
                <w:tab w:val="left" w:pos="0"/>
                <w:tab w:val="left" w:pos="259"/>
                <w:tab w:val="left" w:pos="3600"/>
                <w:tab w:val="right" w:pos="7879"/>
              </w:tabs>
              <w:spacing w:line="320" w:lineRule="exact"/>
              <w:jc w:val="center"/>
              <w:rPr>
                <w:rFonts w:cs="Arial"/>
                <w:b/>
                <w:szCs w:val="22"/>
                <w:highlight w:val="magenta"/>
              </w:rPr>
            </w:pPr>
            <w:r w:rsidRPr="00EA13D1">
              <w:rPr>
                <w:rFonts w:cs="Arial"/>
                <w:b/>
                <w:szCs w:val="22"/>
              </w:rPr>
              <w:t>${gba}</w:t>
            </w:r>
          </w:p>
        </w:tc>
        <w:tc>
          <w:tcPr>
            <w:tcW w:w="1575" w:type="dxa"/>
            <w:tcBorders>
              <w:top w:val="single" w:sz="6" w:space="0" w:color="auto"/>
              <w:left w:val="nil"/>
              <w:bottom w:val="double" w:sz="4" w:space="0" w:color="auto"/>
            </w:tcBorders>
            <w:shd w:val="clear" w:color="auto" w:fill="FFFFFF"/>
            <w:vAlign w:val="bottom"/>
          </w:tcPr>
          <w:p w14:paraId="608578B9" w14:textId="29DB6384" w:rsidR="009F7157" w:rsidRPr="009F7157" w:rsidRDefault="00F41453" w:rsidP="001A4B48">
            <w:pPr>
              <w:tabs>
                <w:tab w:val="left" w:pos="0"/>
                <w:tab w:val="left" w:pos="259"/>
                <w:tab w:val="left" w:pos="3600"/>
                <w:tab w:val="right" w:pos="7879"/>
              </w:tabs>
              <w:spacing w:line="320" w:lineRule="exact"/>
              <w:jc w:val="center"/>
              <w:rPr>
                <w:rFonts w:cs="Arial"/>
                <w:b/>
                <w:szCs w:val="22"/>
                <w:highlight w:val="magenta"/>
              </w:rPr>
            </w:pPr>
            <w:r w:rsidRPr="00EA13D1">
              <w:rPr>
                <w:rFonts w:cs="Arial"/>
                <w:b/>
                <w:szCs w:val="22"/>
              </w:rPr>
              <w:t>${nra}</w:t>
            </w:r>
          </w:p>
        </w:tc>
      </w:tr>
    </w:tbl>
    <w:p w14:paraId="5D486BC2" w14:textId="77777777" w:rsidR="009F7157" w:rsidRDefault="009F7157" w:rsidP="009F7157">
      <w:pPr>
        <w:widowControl w:val="0"/>
        <w:tabs>
          <w:tab w:val="left" w:pos="2880"/>
        </w:tabs>
        <w:ind w:left="2880" w:hanging="2880"/>
        <w:rPr>
          <w:rFonts w:cs="Arial"/>
          <w:szCs w:val="22"/>
        </w:rPr>
      </w:pPr>
    </w:p>
    <w:p w14:paraId="3E5ACDB7" w14:textId="48C2484C" w:rsidR="009F7157" w:rsidRDefault="009F7157" w:rsidP="009F7157">
      <w:pPr>
        <w:widowControl w:val="0"/>
        <w:tabs>
          <w:tab w:val="left" w:pos="2880"/>
        </w:tabs>
        <w:ind w:left="2880" w:hanging="2880"/>
        <w:rPr>
          <w:rFonts w:cs="Arial"/>
          <w:bCs/>
          <w:szCs w:val="22"/>
        </w:rPr>
      </w:pPr>
      <w:r w:rsidRPr="009B6E44">
        <w:rPr>
          <w:rFonts w:cs="Arial"/>
          <w:szCs w:val="22"/>
        </w:rPr>
        <w:tab/>
      </w:r>
      <w:r w:rsidRPr="00337D85">
        <w:rPr>
          <w:rFonts w:cs="Segoe UI"/>
          <w:bCs/>
          <w:kern w:val="24"/>
          <w:szCs w:val="21"/>
        </w:rPr>
        <w:t>T</w:t>
      </w:r>
      <w:r w:rsidRPr="00337D85">
        <w:rPr>
          <w:rFonts w:cs="Segoe UI"/>
          <w:kern w:val="24"/>
          <w:szCs w:val="21"/>
        </w:rPr>
        <w:t>he building area calculations are based on county records, with verification based on our physical inspection</w:t>
      </w:r>
      <w:r>
        <w:rPr>
          <w:rFonts w:cs="Segoe UI"/>
          <w:kern w:val="24"/>
          <w:szCs w:val="21"/>
        </w:rPr>
        <w:t xml:space="preserve"> and measurement</w:t>
      </w:r>
      <w:r w:rsidRPr="00337D85">
        <w:rPr>
          <w:rFonts w:cs="Segoe UI"/>
          <w:kern w:val="24"/>
          <w:szCs w:val="21"/>
        </w:rPr>
        <w:t xml:space="preserve">. </w:t>
      </w:r>
      <w:r>
        <w:rPr>
          <w:rFonts w:cs="Segoe UI"/>
          <w:kern w:val="24"/>
          <w:szCs w:val="21"/>
        </w:rPr>
        <w:t xml:space="preserve">Site, </w:t>
      </w:r>
      <w:r w:rsidRPr="00EF145D">
        <w:rPr>
          <w:rFonts w:cs="Segoe UI"/>
          <w:kern w:val="24"/>
          <w:szCs w:val="21"/>
        </w:rPr>
        <w:t>floor, and elevation plans are presented on following pages.</w:t>
      </w:r>
      <w:r>
        <w:rPr>
          <w:rFonts w:cs="Segoe UI"/>
          <w:kern w:val="24"/>
          <w:szCs w:val="21"/>
        </w:rPr>
        <w:t xml:space="preserve">  As the subject is a single-tenant property, the gross building area (GBA) and net rentable area (NRA) are equivalent</w:t>
      </w:r>
      <w:r w:rsidRPr="001F4C51">
        <w:rPr>
          <w:rFonts w:cs="Arial"/>
          <w:bCs/>
          <w:szCs w:val="22"/>
        </w:rPr>
        <w:t>.</w:t>
      </w:r>
      <w:r>
        <w:rPr>
          <w:rFonts w:cs="Arial"/>
          <w:bCs/>
          <w:szCs w:val="22"/>
        </w:rPr>
        <w:t xml:space="preserve"> </w:t>
      </w:r>
    </w:p>
    <w:p w14:paraId="461782AC" w14:textId="77777777" w:rsidR="009F7157" w:rsidRPr="000754FA" w:rsidRDefault="009F7157" w:rsidP="009F7157">
      <w:pPr>
        <w:jc w:val="left"/>
        <w:rPr>
          <w:rFonts w:cs="Arial"/>
          <w:szCs w:val="22"/>
        </w:rPr>
      </w:pPr>
    </w:p>
    <w:p w14:paraId="0EFCCEA3" w14:textId="77777777" w:rsidR="009F7157" w:rsidRPr="00B553FF" w:rsidRDefault="009F7157" w:rsidP="009F7157">
      <w:pPr>
        <w:ind w:left="2880" w:hanging="2880"/>
      </w:pPr>
      <w:r w:rsidRPr="00747679">
        <w:rPr>
          <w:rFonts w:cs="Arial"/>
          <w:b/>
          <w:color w:val="1E4959"/>
          <w:szCs w:val="22"/>
        </w:rPr>
        <w:t>Site Layout:</w:t>
      </w:r>
      <w:r w:rsidRPr="00747679">
        <w:rPr>
          <w:rFonts w:cs="Arial"/>
          <w:b/>
          <w:color w:val="1E4959"/>
          <w:szCs w:val="22"/>
        </w:rPr>
        <w:tab/>
      </w:r>
      <w:r w:rsidRPr="00747679">
        <w:t xml:space="preserve">The site is rectangular with the L-shaped improvements positioned in the NEC with the interior elbow </w:t>
      </w:r>
      <w:r w:rsidRPr="00B553FF">
        <w:t xml:space="preserve">facing southwest. An asphalt parking lot occupies the remaining area to the south and west of the office building with a metal-fenced trash enclosure on the north end of the site that is attached to the west building elevation. </w:t>
      </w:r>
    </w:p>
    <w:p w14:paraId="13900801" w14:textId="77777777" w:rsidR="009F7157" w:rsidRPr="00B553FF" w:rsidRDefault="009F7157" w:rsidP="009F7157">
      <w:pPr>
        <w:jc w:val="left"/>
        <w:rPr>
          <w:rFonts w:cs="Arial"/>
          <w:szCs w:val="22"/>
        </w:rPr>
      </w:pPr>
    </w:p>
    <w:p w14:paraId="178FB81A" w14:textId="77777777" w:rsidR="009F7157" w:rsidRDefault="009F7157" w:rsidP="009F7157">
      <w:pPr>
        <w:ind w:left="2880" w:hanging="2880"/>
      </w:pPr>
      <w:r w:rsidRPr="00B553FF">
        <w:rPr>
          <w:rFonts w:cs="Arial"/>
          <w:b/>
          <w:color w:val="1E4959"/>
          <w:szCs w:val="22"/>
        </w:rPr>
        <w:t>Interior Layout:</w:t>
      </w:r>
      <w:r w:rsidRPr="00B553FF">
        <w:rPr>
          <w:rFonts w:cs="Arial"/>
          <w:b/>
          <w:color w:val="1E4959"/>
          <w:szCs w:val="22"/>
        </w:rPr>
        <w:tab/>
      </w:r>
      <w:bookmarkStart w:id="1" w:name="_Hlk36719191"/>
      <w:r w:rsidRPr="009E3D16">
        <w:rPr>
          <w:color w:val="1E4959"/>
          <w:u w:val="single"/>
        </w:rPr>
        <w:t>Main Level</w:t>
      </w:r>
      <w:bookmarkEnd w:id="1"/>
      <w:r w:rsidRPr="009E3D16">
        <w:rPr>
          <w:color w:val="1E4959"/>
        </w:rPr>
        <w:t>:</w:t>
      </w:r>
      <w:r w:rsidRPr="00B553FF">
        <w:t xml:space="preserve"> The main entry includes a small entry vestibule which leads to a common area and reception</w:t>
      </w:r>
      <w:r>
        <w:t xml:space="preserve"> desk with a conference room just off of the reception area. There are (3) private offices south of the reception area. An additional private office, break room with kitchenette, and a single-user restroom are located along the northeast wall adjacent to the conference room. An open administrative space lays on the western portion in between the reception and a stairwell providing intra-floor access on the west wall.</w:t>
      </w:r>
    </w:p>
    <w:p w14:paraId="7F967796" w14:textId="77777777" w:rsidR="009F7157" w:rsidRDefault="009F7157" w:rsidP="009F7157">
      <w:pPr>
        <w:ind w:left="2880" w:hanging="2880"/>
      </w:pPr>
    </w:p>
    <w:p w14:paraId="4A76B3E5" w14:textId="77777777" w:rsidR="009F7157" w:rsidRDefault="009F7157" w:rsidP="009F7157">
      <w:pPr>
        <w:ind w:left="2880" w:hanging="2880"/>
      </w:pPr>
      <w:r>
        <w:tab/>
      </w:r>
      <w:r w:rsidRPr="009E3D16">
        <w:rPr>
          <w:color w:val="1E4959"/>
          <w:u w:val="single"/>
        </w:rPr>
        <w:t>Upper Level</w:t>
      </w:r>
      <w:r w:rsidRPr="009E3D16">
        <w:rPr>
          <w:color w:val="1E4959"/>
        </w:rPr>
        <w:t xml:space="preserve">: </w:t>
      </w:r>
      <w:r>
        <w:t>The upper level includes one private office, a single-user restroom, storage and mechanical / furnace closets, and a small hallway. The remainder the upper level consist of open administrative space.</w:t>
      </w:r>
    </w:p>
    <w:p w14:paraId="46E04284" w14:textId="77777777" w:rsidR="009F7157" w:rsidRPr="009B6E44" w:rsidRDefault="009F7157" w:rsidP="009F7157">
      <w:pPr>
        <w:ind w:left="2880" w:hanging="2880"/>
        <w:jc w:val="left"/>
        <w:rPr>
          <w:rFonts w:cs="Arial"/>
          <w:color w:val="000000" w:themeColor="text1"/>
          <w:szCs w:val="22"/>
        </w:rPr>
      </w:pPr>
    </w:p>
    <w:p w14:paraId="24649221" w14:textId="77777777" w:rsidR="009F7157" w:rsidRDefault="009F7157" w:rsidP="009F7157">
      <w:pPr>
        <w:ind w:left="2880" w:hanging="2880"/>
      </w:pPr>
      <w:r w:rsidRPr="001A78AD">
        <w:rPr>
          <w:rFonts w:cs="Arial"/>
          <w:b/>
          <w:color w:val="1E4959"/>
          <w:szCs w:val="22"/>
        </w:rPr>
        <w:lastRenderedPageBreak/>
        <w:t>Exterior Finishes:</w:t>
      </w:r>
      <w:r w:rsidRPr="009B6E44">
        <w:rPr>
          <w:rFonts w:cs="Arial"/>
          <w:szCs w:val="22"/>
        </w:rPr>
        <w:tab/>
      </w:r>
      <w:r>
        <w:t>Wood-frame with Hardi-plank exterior, plus stone wainscot accent</w:t>
      </w:r>
      <w:r w:rsidRPr="0037165D">
        <w:t xml:space="preserve"> construction.</w:t>
      </w:r>
      <w:r>
        <w:t xml:space="preserve"> </w:t>
      </w:r>
      <w:bookmarkStart w:id="2" w:name="_Hlk20049083"/>
      <w:r>
        <w:t xml:space="preserve">The foundation is a concrete slab. </w:t>
      </w:r>
      <w:bookmarkEnd w:id="2"/>
      <w:r w:rsidRPr="0037165D">
        <w:t xml:space="preserve">There are </w:t>
      </w:r>
      <w:r>
        <w:t>double</w:t>
      </w:r>
      <w:r w:rsidRPr="0037165D">
        <w:t xml:space="preserve"> pane, vinyl frame windows along the building exterior</w:t>
      </w:r>
      <w:r>
        <w:t>. Two e</w:t>
      </w:r>
      <w:r w:rsidRPr="0037165D">
        <w:t xml:space="preserve">ntry doors are </w:t>
      </w:r>
      <w:r>
        <w:t>custom metal panel with glass cutlets and secured code-lock handles</w:t>
      </w:r>
      <w:r w:rsidRPr="0037165D">
        <w:t xml:space="preserve">. The </w:t>
      </w:r>
      <w:r>
        <w:t xml:space="preserve">lower level </w:t>
      </w:r>
      <w:r w:rsidRPr="0037165D">
        <w:t xml:space="preserve">roof </w:t>
      </w:r>
      <w:r>
        <w:t xml:space="preserve">portion </w:t>
      </w:r>
      <w:r w:rsidRPr="0037165D">
        <w:t xml:space="preserve">of the building </w:t>
      </w:r>
      <w:r>
        <w:t>ha</w:t>
      </w:r>
      <w:r w:rsidRPr="0037165D">
        <w:t xml:space="preserve">s a </w:t>
      </w:r>
      <w:r>
        <w:t>multi-hip</w:t>
      </w:r>
      <w:r w:rsidRPr="0037165D">
        <w:t xml:space="preserve"> design with a</w:t>
      </w:r>
      <w:r>
        <w:t>n</w:t>
      </w:r>
      <w:r w:rsidRPr="0037165D">
        <w:t xml:space="preserve"> </w:t>
      </w:r>
      <w:r>
        <w:t>asphalt shingle roof cover over insulation</w:t>
      </w:r>
      <w:r w:rsidRPr="00122C6C">
        <w:t xml:space="preserve">. </w:t>
      </w:r>
      <w:r w:rsidRPr="009E3D16">
        <w:t>The upper level is flat with as assumed built-up</w:t>
      </w:r>
      <w:r w:rsidRPr="00122C6C">
        <w:t xml:space="preserve"> composition asphalt cover</w:t>
      </w:r>
      <w:r>
        <w:t>.</w:t>
      </w:r>
    </w:p>
    <w:p w14:paraId="4146BD1A" w14:textId="77777777" w:rsidR="009F7157" w:rsidRDefault="009F7157" w:rsidP="009F7157">
      <w:pPr>
        <w:ind w:left="2880" w:hanging="2880"/>
        <w:rPr>
          <w:rFonts w:cs="Arial"/>
          <w:szCs w:val="22"/>
        </w:rPr>
      </w:pPr>
    </w:p>
    <w:p w14:paraId="51D1625D" w14:textId="77777777" w:rsidR="009F7157" w:rsidRDefault="009F7157" w:rsidP="009F7157">
      <w:pPr>
        <w:ind w:left="2880" w:hanging="2880"/>
      </w:pPr>
      <w:r w:rsidRPr="006878DD">
        <w:rPr>
          <w:rFonts w:cs="Arial"/>
          <w:b/>
          <w:color w:val="1E4959"/>
          <w:szCs w:val="22"/>
        </w:rPr>
        <w:t>Interior Finishes:</w:t>
      </w:r>
      <w:r w:rsidRPr="009B6E44">
        <w:rPr>
          <w:rFonts w:cs="Arial"/>
          <w:szCs w:val="22"/>
        </w:rPr>
        <w:tab/>
      </w:r>
      <w:r w:rsidRPr="0037165D">
        <w:t xml:space="preserve">The building </w:t>
      </w:r>
      <w:r>
        <w:t>has</w:t>
      </w:r>
      <w:r w:rsidRPr="0037165D">
        <w:t xml:space="preserve"> </w:t>
      </w:r>
      <w:r>
        <w:t xml:space="preserve">good </w:t>
      </w:r>
      <w:r w:rsidRPr="0037165D">
        <w:t>quality interior finishes</w:t>
      </w:r>
      <w:r>
        <w:t xml:space="preserve"> with 9’6” ceilings.</w:t>
      </w:r>
      <w:r w:rsidRPr="0037165D">
        <w:t xml:space="preserve"> The floor </w:t>
      </w:r>
      <w:r>
        <w:t xml:space="preserve">covering is a combination of commercial carpet squares and stone tiles in the entry / reception desk area, breakroom, and restrooms. </w:t>
      </w:r>
      <w:r w:rsidRPr="0037165D">
        <w:t xml:space="preserve">Interior walls are taped, </w:t>
      </w:r>
      <w:r>
        <w:t>smooth</w:t>
      </w:r>
      <w:r w:rsidRPr="0037165D">
        <w:t xml:space="preserve"> painted drywall</w:t>
      </w:r>
      <w:r>
        <w:t xml:space="preserve"> with sparing amounts of hardwood covering for aesthetic in the entry way and conference room</w:t>
      </w:r>
      <w:r w:rsidRPr="0037165D">
        <w:t xml:space="preserve">. Ceilings </w:t>
      </w:r>
      <w:r>
        <w:t xml:space="preserve">have drop-grid acoustic ceiling tiles, with a hard-cap ceiling in the entry area. Interior doors are wood </w:t>
      </w:r>
      <w:r w:rsidRPr="00B553FF">
        <w:t>inside metal frames and rubber baseboard trim throughout. Lighting consists of flush mounted fluorescent light fixtures in the main office areas with recessed can lighting in the private office and hallway areas on the main level</w:t>
      </w:r>
      <w:r w:rsidRPr="009E3D16">
        <w:t>. HVAC includes a gas fire furnace with roof-mounted cooling unit</w:t>
      </w:r>
      <w:r w:rsidRPr="00B553FF">
        <w:t>. As indicated, there are (2) single-user restrooms; each with a toilet and sink. The breakroom has a sink and dishwasher, with good quality wood cabinetry.</w:t>
      </w:r>
    </w:p>
    <w:p w14:paraId="68B77468" w14:textId="77777777" w:rsidR="009F7157" w:rsidRDefault="009F7157" w:rsidP="009F7157">
      <w:pPr>
        <w:ind w:left="2880" w:hanging="2880"/>
        <w:rPr>
          <w:rFonts w:cs="Arial"/>
          <w:szCs w:val="22"/>
        </w:rPr>
      </w:pPr>
    </w:p>
    <w:p w14:paraId="60F9A5D3" w14:textId="3FAB0E2D" w:rsidR="009F7157" w:rsidRPr="009B6E44" w:rsidRDefault="009F7157" w:rsidP="009F7157">
      <w:pPr>
        <w:ind w:left="2880" w:hanging="2880"/>
        <w:rPr>
          <w:rFonts w:cs="Arial"/>
          <w:szCs w:val="22"/>
        </w:rPr>
      </w:pPr>
      <w:r w:rsidRPr="001A78AD">
        <w:rPr>
          <w:rFonts w:cs="Arial"/>
          <w:b/>
          <w:color w:val="1E4959"/>
          <w:szCs w:val="22"/>
        </w:rPr>
        <w:t>Fire Sprinklers:</w:t>
      </w:r>
      <w:r w:rsidRPr="009B6E44">
        <w:rPr>
          <w:rFonts w:cs="Arial"/>
          <w:szCs w:val="22"/>
        </w:rPr>
        <w:tab/>
      </w:r>
      <w:r>
        <w:rPr>
          <w:rFonts w:cs="Segoe UI"/>
        </w:rPr>
        <w:t>None</w:t>
      </w:r>
    </w:p>
    <w:p w14:paraId="645B8D01" w14:textId="77777777" w:rsidR="009F7157" w:rsidRPr="009B6E44" w:rsidRDefault="009F7157" w:rsidP="009F7157">
      <w:pPr>
        <w:ind w:left="2880" w:hanging="2880"/>
        <w:rPr>
          <w:rFonts w:cs="Arial"/>
          <w:szCs w:val="22"/>
        </w:rPr>
      </w:pPr>
    </w:p>
    <w:p w14:paraId="273D5B26" w14:textId="77777777" w:rsidR="009F7157" w:rsidRPr="009B6E44" w:rsidRDefault="009F7157" w:rsidP="009F7157">
      <w:pPr>
        <w:jc w:val="left"/>
        <w:rPr>
          <w:rFonts w:cs="Arial"/>
          <w:b/>
          <w:color w:val="1E4959"/>
          <w:szCs w:val="22"/>
        </w:rPr>
      </w:pPr>
      <w:r w:rsidRPr="009B6E44">
        <w:rPr>
          <w:rFonts w:cs="Arial"/>
          <w:b/>
          <w:color w:val="1E4959"/>
          <w:szCs w:val="22"/>
        </w:rPr>
        <w:t>Site Improvements</w:t>
      </w:r>
    </w:p>
    <w:p w14:paraId="77DE76FA" w14:textId="77777777" w:rsidR="009F7157" w:rsidRDefault="009F7157" w:rsidP="009F7157">
      <w:pPr>
        <w:ind w:left="2880" w:hanging="2760"/>
      </w:pPr>
      <w:r w:rsidRPr="009B6E44">
        <w:rPr>
          <w:rFonts w:cs="Arial"/>
          <w:b/>
          <w:color w:val="1E4959"/>
          <w:szCs w:val="22"/>
        </w:rPr>
        <w:t>and Landscaping:</w:t>
      </w:r>
      <w:r w:rsidRPr="009B6E44">
        <w:rPr>
          <w:rFonts w:cs="Arial"/>
          <w:szCs w:val="22"/>
        </w:rPr>
        <w:tab/>
      </w:r>
      <w:r>
        <w:t>The building footprint backs to the rear / north property line. The paved asphalt parking lot is situated in the southwest corner of the site. There is average quality landscaping around the perimeter of the building which includes an inground irrigation system.</w:t>
      </w:r>
    </w:p>
    <w:p w14:paraId="2C873B2D" w14:textId="77777777" w:rsidR="009F7157" w:rsidRDefault="009F7157" w:rsidP="009F7157">
      <w:pPr>
        <w:ind w:left="2880" w:hanging="2880"/>
        <w:rPr>
          <w:rFonts w:cs="Arial"/>
          <w:szCs w:val="22"/>
        </w:rPr>
      </w:pPr>
    </w:p>
    <w:p w14:paraId="5AF5E59E" w14:textId="77777777" w:rsidR="009F7157" w:rsidRPr="009B6E44" w:rsidRDefault="009F7157" w:rsidP="009F7157">
      <w:pPr>
        <w:jc w:val="left"/>
        <w:rPr>
          <w:rFonts w:cs="Arial"/>
          <w:b/>
          <w:color w:val="1E4959"/>
          <w:szCs w:val="22"/>
        </w:rPr>
      </w:pPr>
      <w:r w:rsidRPr="009B6E44">
        <w:rPr>
          <w:rFonts w:cs="Arial"/>
          <w:b/>
          <w:color w:val="1E4959"/>
          <w:szCs w:val="22"/>
        </w:rPr>
        <w:t>Interior and</w:t>
      </w:r>
    </w:p>
    <w:p w14:paraId="2676C80D" w14:textId="77777777" w:rsidR="009F7157" w:rsidRDefault="009F7157" w:rsidP="009F7157">
      <w:pPr>
        <w:ind w:left="2880" w:hanging="2765"/>
      </w:pPr>
      <w:r w:rsidRPr="009B6E44">
        <w:rPr>
          <w:rFonts w:cs="Arial"/>
          <w:b/>
          <w:color w:val="1E4959"/>
          <w:szCs w:val="22"/>
        </w:rPr>
        <w:t>Exterior Condition:</w:t>
      </w:r>
      <w:r w:rsidRPr="009B6E44">
        <w:rPr>
          <w:rFonts w:cs="Arial"/>
          <w:szCs w:val="22"/>
        </w:rPr>
        <w:tab/>
      </w:r>
      <w:r w:rsidRPr="00396CA9">
        <w:rPr>
          <w:rFonts w:cs="Segoe UI"/>
        </w:rPr>
        <w:t xml:space="preserve">Overall, the subject is in </w:t>
      </w:r>
      <w:r w:rsidRPr="00484A5F">
        <w:rPr>
          <w:rFonts w:cs="Segoe UI"/>
          <w:highlight w:val="yellow"/>
        </w:rPr>
        <w:t>good, well maintained</w:t>
      </w:r>
      <w:r w:rsidRPr="00396CA9">
        <w:rPr>
          <w:rFonts w:cs="Segoe UI"/>
        </w:rPr>
        <w:t xml:space="preserve"> condition with </w:t>
      </w:r>
      <w:r>
        <w:rPr>
          <w:rFonts w:cs="Segoe UI"/>
        </w:rPr>
        <w:t>no significant</w:t>
      </w:r>
      <w:r w:rsidRPr="00396CA9">
        <w:rPr>
          <w:rFonts w:cs="Segoe UI"/>
        </w:rPr>
        <w:t xml:space="preserve"> deferred maintenance observed</w:t>
      </w:r>
      <w:r>
        <w:t xml:space="preserve">. </w:t>
      </w:r>
    </w:p>
    <w:p w14:paraId="35E5528C" w14:textId="77777777" w:rsidR="009F7157" w:rsidRDefault="009F7157" w:rsidP="009F7157">
      <w:pPr>
        <w:ind w:left="2880" w:hanging="2765"/>
        <w:rPr>
          <w:rFonts w:cs="Arial"/>
          <w:szCs w:val="22"/>
        </w:rPr>
      </w:pPr>
    </w:p>
    <w:p w14:paraId="399C84B3" w14:textId="77777777" w:rsidR="009F7157" w:rsidRPr="009B6E44" w:rsidRDefault="009F7157" w:rsidP="009F7157">
      <w:pPr>
        <w:ind w:left="2880" w:hanging="2765"/>
        <w:rPr>
          <w:rFonts w:cs="Arial"/>
          <w:szCs w:val="22"/>
        </w:rPr>
      </w:pPr>
      <w:r>
        <w:rPr>
          <w:rFonts w:cs="Arial"/>
          <w:szCs w:val="22"/>
        </w:rPr>
        <w:tab/>
      </w:r>
      <w:r w:rsidRPr="00484A5F">
        <w:rPr>
          <w:highlight w:val="yellow"/>
        </w:rPr>
        <w:t>According to information provided by the owner, after purchasing the property they spent $492,049 ($154.73 per SF GBA) on fully renovating the interior and exterior of the subject in 2017.  Email correspondence documenting this estimate from the owner is contained in the Addenda of this report.</w:t>
      </w:r>
    </w:p>
    <w:p w14:paraId="449B9793" w14:textId="77777777" w:rsidR="009F7157" w:rsidRPr="00A46E01" w:rsidRDefault="009F7157" w:rsidP="009F7157">
      <w:pPr>
        <w:jc w:val="left"/>
        <w:rPr>
          <w:rFonts w:cs="Arial"/>
          <w:szCs w:val="22"/>
        </w:rPr>
      </w:pPr>
    </w:p>
    <w:p w14:paraId="2012C65C" w14:textId="312822B5" w:rsidR="009F7157" w:rsidRPr="00A46E01" w:rsidRDefault="009F7157" w:rsidP="009F7157">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00F41453">
        <w:rPr>
          <w:rFonts w:cs="Arial"/>
          <w:szCs w:val="22"/>
        </w:rPr>
        <w:t>${yearbuilt}</w:t>
      </w:r>
    </w:p>
    <w:p w14:paraId="0B5076BD" w14:textId="77777777" w:rsidR="009F7157" w:rsidRPr="009B6E44" w:rsidRDefault="009F7157" w:rsidP="009F7157">
      <w:pPr>
        <w:ind w:left="2880" w:hanging="2880"/>
        <w:jc w:val="left"/>
        <w:rPr>
          <w:rFonts w:cs="Arial"/>
          <w:color w:val="000000" w:themeColor="text1"/>
          <w:szCs w:val="22"/>
        </w:rPr>
      </w:pPr>
    </w:p>
    <w:p w14:paraId="28E7F6CB" w14:textId="3294C4D6" w:rsidR="009F7157" w:rsidRPr="009B6E44" w:rsidRDefault="009F7157" w:rsidP="009F7157">
      <w:pPr>
        <w:tabs>
          <w:tab w:val="left" w:pos="2880"/>
        </w:tabs>
        <w:ind w:left="2880" w:hanging="2880"/>
        <w:rPr>
          <w:rFonts w:cs="Arial"/>
          <w:szCs w:val="22"/>
        </w:rPr>
      </w:pPr>
      <w:r w:rsidRPr="009B6E44">
        <w:rPr>
          <w:rFonts w:cs="Arial"/>
          <w:b/>
          <w:color w:val="1E4959"/>
          <w:szCs w:val="22"/>
        </w:rPr>
        <w:t>Actual / Effective Age:</w:t>
      </w:r>
      <w:r w:rsidRPr="009B6E44">
        <w:rPr>
          <w:rFonts w:cs="Arial"/>
          <w:szCs w:val="22"/>
        </w:rPr>
        <w:tab/>
      </w:r>
      <w:r>
        <w:t xml:space="preserve">The existing subject was constructed in </w:t>
      </w:r>
      <w:r w:rsidR="00F41453">
        <w:t>${yearb}</w:t>
      </w:r>
      <w:r>
        <w:t xml:space="preserve"> (</w:t>
      </w:r>
      <w:r w:rsidRPr="00484A5F">
        <w:rPr>
          <w:highlight w:val="yellow"/>
        </w:rPr>
        <w:t>35 years</w:t>
      </w:r>
      <w:r>
        <w:t xml:space="preserve">) and was renovated in </w:t>
      </w:r>
      <w:r w:rsidRPr="00484A5F">
        <w:rPr>
          <w:highlight w:val="yellow"/>
        </w:rPr>
        <w:t>2017</w:t>
      </w:r>
      <w:r>
        <w:t>. The overall effective age</w:t>
      </w:r>
      <w:r w:rsidRPr="001F7D09">
        <w:t xml:space="preserve"> </w:t>
      </w:r>
      <w:r>
        <w:t xml:space="preserve">is </w:t>
      </w:r>
      <w:r w:rsidRPr="001F7D09">
        <w:t xml:space="preserve">estimated at </w:t>
      </w:r>
      <w:r w:rsidRPr="00484A5F">
        <w:rPr>
          <w:highlight w:val="yellow"/>
        </w:rPr>
        <w:t>10 years</w:t>
      </w:r>
      <w:r w:rsidRPr="009B6E44">
        <w:rPr>
          <w:rFonts w:cs="Arial"/>
          <w:szCs w:val="22"/>
        </w:rPr>
        <w:t>.</w:t>
      </w:r>
    </w:p>
    <w:p w14:paraId="65F3A42F" w14:textId="77777777" w:rsidR="009F7157" w:rsidRPr="009B6E44" w:rsidRDefault="009F7157" w:rsidP="009F7157">
      <w:pPr>
        <w:tabs>
          <w:tab w:val="left" w:pos="2880"/>
        </w:tabs>
        <w:rPr>
          <w:rFonts w:cs="Arial"/>
          <w:b/>
          <w:szCs w:val="22"/>
        </w:rPr>
      </w:pPr>
    </w:p>
    <w:p w14:paraId="4EEE8221" w14:textId="77777777" w:rsidR="009F7157" w:rsidRPr="009B6E44" w:rsidRDefault="009F7157" w:rsidP="009F7157">
      <w:pPr>
        <w:tabs>
          <w:tab w:val="left" w:pos="2880"/>
        </w:tabs>
        <w:ind w:left="2880" w:hanging="2880"/>
        <w:rPr>
          <w:rFonts w:cs="Arial"/>
          <w:szCs w:val="22"/>
        </w:rPr>
      </w:pPr>
      <w:r w:rsidRPr="002E0523">
        <w:rPr>
          <w:rFonts w:cs="Arial"/>
          <w:b/>
          <w:color w:val="1E4959"/>
          <w:szCs w:val="22"/>
        </w:rPr>
        <w:t>Economic Life:</w:t>
      </w:r>
      <w:r w:rsidRPr="009B6E44">
        <w:rPr>
          <w:rFonts w:cs="Arial"/>
          <w:b/>
          <w:color w:val="1E4959"/>
          <w:szCs w:val="22"/>
        </w:rPr>
        <w:tab/>
      </w:r>
      <w:r>
        <w:t>50</w:t>
      </w:r>
      <w:r w:rsidRPr="004E6815">
        <w:t xml:space="preserve"> years (</w:t>
      </w:r>
      <w:r w:rsidRPr="004E6815">
        <w:rPr>
          <w:rFonts w:cs="Arial"/>
        </w:rPr>
        <w:t>±</w:t>
      </w:r>
      <w:r>
        <w:rPr>
          <w:rFonts w:cs="Arial"/>
        </w:rPr>
        <w:t>40</w:t>
      </w:r>
      <w:r w:rsidRPr="004E6815">
        <w:t xml:space="preserve"> years remaining, assuming prudent regular maintenance).</w:t>
      </w:r>
    </w:p>
    <w:p w14:paraId="2F030AC6" w14:textId="77777777" w:rsidR="009F7157" w:rsidRPr="009B6E44" w:rsidRDefault="009F7157" w:rsidP="009F7157">
      <w:pPr>
        <w:ind w:left="2880" w:hanging="2880"/>
        <w:jc w:val="left"/>
        <w:rPr>
          <w:rFonts w:cs="Arial"/>
          <w:color w:val="000000" w:themeColor="text1"/>
          <w:szCs w:val="22"/>
        </w:rPr>
      </w:pPr>
    </w:p>
    <w:p w14:paraId="22C11F27" w14:textId="4F3C310A" w:rsidR="009F7157" w:rsidRPr="009B6E44" w:rsidRDefault="009F7157" w:rsidP="009F7157">
      <w:pPr>
        <w:tabs>
          <w:tab w:val="left" w:pos="2880"/>
        </w:tabs>
        <w:jc w:val="left"/>
        <w:rPr>
          <w:rFonts w:cs="Arial"/>
          <w:i/>
          <w:szCs w:val="22"/>
        </w:rPr>
      </w:pPr>
      <w:r w:rsidRPr="009B6E44">
        <w:rPr>
          <w:rFonts w:cs="Arial"/>
          <w:b/>
          <w:color w:val="1E4959"/>
          <w:szCs w:val="22"/>
        </w:rPr>
        <w:lastRenderedPageBreak/>
        <w:t>Site Coverage Ratio:</w:t>
      </w:r>
      <w:r w:rsidRPr="009B6E44">
        <w:rPr>
          <w:rFonts w:cs="Arial"/>
          <w:szCs w:val="22"/>
        </w:rPr>
        <w:tab/>
      </w:r>
      <w:r w:rsidR="00F41453">
        <w:rPr>
          <w:rFonts w:cs="Segoe UI"/>
        </w:rPr>
        <w:t>${</w:t>
      </w:r>
      <w:r w:rsidR="009C3FEE" w:rsidRPr="009C3FEE">
        <w:rPr>
          <w:rFonts w:cs="Segoe UI"/>
        </w:rPr>
        <w:t>siteprim</w:t>
      </w:r>
      <w:r w:rsidR="00F41453">
        <w:rPr>
          <w:rFonts w:cs="Segoe UI"/>
        </w:rPr>
        <w:t>}</w:t>
      </w:r>
      <w:r w:rsidR="00F41453" w:rsidRPr="00810BFD">
        <w:rPr>
          <w:rFonts w:cs="Segoe UI"/>
        </w:rPr>
        <w:t xml:space="preserve"> (</w:t>
      </w:r>
      <w:r w:rsidR="00F41453">
        <w:rPr>
          <w:rFonts w:cs="Segoe UI"/>
        </w:rPr>
        <w:t>${</w:t>
      </w:r>
      <w:r w:rsidR="00F41453" w:rsidRPr="000E66A5">
        <w:rPr>
          <w:rFonts w:cs="Segoe UI"/>
        </w:rPr>
        <w:t>footprint</w:t>
      </w:r>
      <w:r w:rsidR="00F41453">
        <w:rPr>
          <w:rFonts w:cs="Segoe UI"/>
        </w:rPr>
        <w:t>} SF</w:t>
      </w:r>
      <w:r w:rsidR="00F41453" w:rsidRPr="00312861">
        <w:rPr>
          <w:rFonts w:cs="Segoe UI"/>
        </w:rPr>
        <w:t xml:space="preserve"> </w:t>
      </w:r>
      <w:r w:rsidR="00F41453" w:rsidRPr="00810BFD">
        <w:rPr>
          <w:rFonts w:cs="Segoe UI"/>
        </w:rPr>
        <w:t>Footprint</w:t>
      </w:r>
      <w:r w:rsidR="00F41453">
        <w:rPr>
          <w:rFonts w:cs="Segoe UI"/>
        </w:rPr>
        <w:t xml:space="preserve"> </w:t>
      </w:r>
      <w:r w:rsidR="00F41453" w:rsidRPr="00810BFD">
        <w:rPr>
          <w:rFonts w:cs="Segoe UI"/>
        </w:rPr>
        <w:sym w:font="Courier New" w:char="00F7"/>
      </w:r>
      <w:r w:rsidR="00F41453">
        <w:rPr>
          <w:rFonts w:cs="Segoe UI"/>
        </w:rPr>
        <w:t xml:space="preserve"> ${</w:t>
      </w:r>
      <w:r w:rsidR="009C3FEE" w:rsidRPr="009C3FEE">
        <w:rPr>
          <w:rFonts w:cs="Segoe UI"/>
        </w:rPr>
        <w:t>primsf</w:t>
      </w:r>
      <w:r w:rsidR="00F41453">
        <w:rPr>
          <w:rFonts w:cs="Segoe UI"/>
        </w:rPr>
        <w:t>}</w:t>
      </w:r>
      <w:r w:rsidR="00F41453" w:rsidRPr="00810BFD">
        <w:rPr>
          <w:rFonts w:cs="Segoe UI"/>
        </w:rPr>
        <w:t xml:space="preserve"> SF</w:t>
      </w:r>
      <w:r w:rsidR="00F41453">
        <w:rPr>
          <w:rFonts w:cs="Segoe UI"/>
        </w:rPr>
        <w:t xml:space="preserve"> Land</w:t>
      </w:r>
      <w:r w:rsidR="00F41453" w:rsidRPr="00810BFD">
        <w:rPr>
          <w:rFonts w:cs="Segoe UI"/>
        </w:rPr>
        <w:t xml:space="preserve"> Area)</w:t>
      </w:r>
    </w:p>
    <w:p w14:paraId="65D4F11C" w14:textId="77777777" w:rsidR="009F7157" w:rsidRPr="009B6E44" w:rsidRDefault="009F7157" w:rsidP="009F7157">
      <w:pPr>
        <w:tabs>
          <w:tab w:val="left" w:pos="2880"/>
        </w:tabs>
        <w:jc w:val="left"/>
        <w:rPr>
          <w:rFonts w:cs="Arial"/>
          <w:szCs w:val="22"/>
        </w:rPr>
      </w:pPr>
    </w:p>
    <w:p w14:paraId="3532A620" w14:textId="7EDFB141" w:rsidR="009F7157" w:rsidRPr="009B6E44" w:rsidRDefault="009F7157" w:rsidP="009F7157">
      <w:pPr>
        <w:tabs>
          <w:tab w:val="left" w:pos="2880"/>
        </w:tabs>
        <w:jc w:val="left"/>
        <w:rPr>
          <w:rFonts w:cs="Arial"/>
          <w:szCs w:val="22"/>
        </w:rPr>
      </w:pPr>
      <w:r w:rsidRPr="009B6E44">
        <w:rPr>
          <w:rFonts w:cs="Arial"/>
          <w:b/>
          <w:color w:val="1E4959"/>
          <w:szCs w:val="22"/>
        </w:rPr>
        <w:t>Land-to-Bldg. Ratio:</w:t>
      </w:r>
      <w:r w:rsidRPr="009B6E44">
        <w:rPr>
          <w:rFonts w:cs="Arial"/>
          <w:szCs w:val="22"/>
        </w:rPr>
        <w:tab/>
      </w:r>
      <w:r w:rsidR="00F41453" w:rsidRPr="000E66A5">
        <w:rPr>
          <w:rFonts w:cs="Segoe UI"/>
        </w:rPr>
        <w:t>${</w:t>
      </w:r>
      <w:r w:rsidR="009C3FEE" w:rsidRPr="009C3FEE">
        <w:rPr>
          <w:rFonts w:cs="Segoe UI"/>
        </w:rPr>
        <w:t>landprim</w:t>
      </w:r>
      <w:r w:rsidR="00F41453" w:rsidRPr="000E66A5">
        <w:rPr>
          <w:rFonts w:cs="Segoe UI"/>
        </w:rPr>
        <w:t>} to 1</w:t>
      </w:r>
      <w:r w:rsidR="00F41453" w:rsidRPr="00810BFD">
        <w:rPr>
          <w:rFonts w:cs="Segoe UI"/>
        </w:rPr>
        <w:t xml:space="preserve"> (</w:t>
      </w:r>
      <w:r w:rsidR="00F41453">
        <w:rPr>
          <w:rFonts w:cs="Segoe UI"/>
        </w:rPr>
        <w:t>${</w:t>
      </w:r>
      <w:r w:rsidR="009C3FEE" w:rsidRPr="009C3FEE">
        <w:rPr>
          <w:rFonts w:cs="Segoe UI"/>
        </w:rPr>
        <w:t>primsf</w:t>
      </w:r>
      <w:r w:rsidR="00F41453">
        <w:rPr>
          <w:rFonts w:cs="Segoe UI"/>
        </w:rPr>
        <w:t>}</w:t>
      </w:r>
      <w:r w:rsidR="00F41453" w:rsidRPr="00810BFD">
        <w:rPr>
          <w:rFonts w:cs="Segoe UI"/>
        </w:rPr>
        <w:t xml:space="preserve"> </w:t>
      </w:r>
      <w:r w:rsidR="00F41453">
        <w:rPr>
          <w:rFonts w:cs="Segoe UI"/>
        </w:rPr>
        <w:t xml:space="preserve">SF Land Area </w:t>
      </w:r>
      <w:r w:rsidR="00F41453" w:rsidRPr="00810BFD">
        <w:rPr>
          <w:rFonts w:cs="Segoe UI"/>
        </w:rPr>
        <w:sym w:font="Courier New" w:char="00F7"/>
      </w:r>
      <w:r w:rsidR="00F41453">
        <w:rPr>
          <w:rFonts w:cs="Segoe UI"/>
        </w:rPr>
        <w:t xml:space="preserve"> ${gba} SF GBA</w:t>
      </w:r>
      <w:r w:rsidR="00F41453" w:rsidRPr="00810BFD">
        <w:rPr>
          <w:rFonts w:cs="Segoe UI"/>
        </w:rPr>
        <w:t>)</w:t>
      </w:r>
    </w:p>
    <w:p w14:paraId="731BE320" w14:textId="77777777" w:rsidR="009F7157" w:rsidRPr="009B6E44" w:rsidRDefault="009F7157" w:rsidP="009F7157">
      <w:pPr>
        <w:jc w:val="left"/>
        <w:rPr>
          <w:rFonts w:cs="Arial"/>
          <w:szCs w:val="22"/>
        </w:rPr>
      </w:pPr>
    </w:p>
    <w:p w14:paraId="0FE54A19" w14:textId="085AA465" w:rsidR="009F7157" w:rsidRPr="009B6E44" w:rsidRDefault="009F7157" w:rsidP="009F7157">
      <w:pPr>
        <w:ind w:left="2880" w:hanging="2880"/>
        <w:rPr>
          <w:rFonts w:cs="Arial"/>
          <w:szCs w:val="22"/>
        </w:rPr>
      </w:pPr>
      <w:r w:rsidRPr="009B6E44">
        <w:rPr>
          <w:rFonts w:cs="Arial"/>
          <w:b/>
          <w:color w:val="1E4959"/>
          <w:szCs w:val="22"/>
        </w:rPr>
        <w:t>Parking:</w:t>
      </w:r>
      <w:r w:rsidRPr="009B6E44">
        <w:rPr>
          <w:rFonts w:cs="Arial"/>
          <w:szCs w:val="22"/>
        </w:rPr>
        <w:tab/>
      </w:r>
      <w:r w:rsidRPr="00672CDA">
        <w:t xml:space="preserve">The subject has </w:t>
      </w:r>
      <w:r w:rsidR="00F41453">
        <w:t>${</w:t>
      </w:r>
      <w:r w:rsidR="00F41453" w:rsidRPr="000E66A5">
        <w:t>pspaces</w:t>
      </w:r>
      <w:r w:rsidR="00F41453">
        <w:t xml:space="preserve">} </w:t>
      </w:r>
      <w:r>
        <w:t xml:space="preserve">delineated surface </w:t>
      </w:r>
      <w:r w:rsidRPr="00672CDA">
        <w:t>parking spaces</w:t>
      </w:r>
      <w:r>
        <w:t xml:space="preserve"> at the east end of the site. This infers a parking ratio of </w:t>
      </w:r>
      <w:r w:rsidR="00F41453">
        <w:t>${</w:t>
      </w:r>
      <w:r w:rsidR="00F41453" w:rsidRPr="000E66A5">
        <w:t>pratio</w:t>
      </w:r>
      <w:r w:rsidR="00F41453">
        <w:t xml:space="preserve">} </w:t>
      </w:r>
      <w:r w:rsidR="00484A5F">
        <w:t>NR</w:t>
      </w:r>
      <w:r>
        <w:t xml:space="preserve">A. </w:t>
      </w:r>
      <w:r w:rsidRPr="00F47B3E">
        <w:t>Market parking standards for Class C suburban office buildings range from 3.0 to 5.0 spaces per 1,000 square feet of net rentable area. Therefore, the subject is concluded to be slightly under-parked for a typical office use, however, there is off-site parking along SE 6th</w:t>
      </w:r>
      <w:r>
        <w:t xml:space="preserve"> </w:t>
      </w:r>
      <w:r w:rsidRPr="00F47B3E">
        <w:t>Avenue. Furthermore, the subject’s low-end parking ratio is typical for the highly built-up nature of the immediate neighborhood, where parking tends to be scarce for most commercial properties</w:t>
      </w:r>
      <w:r>
        <w:t>.</w:t>
      </w:r>
    </w:p>
    <w:p w14:paraId="6A586424" w14:textId="77777777" w:rsidR="009F7157" w:rsidRPr="009B6E44" w:rsidRDefault="009F7157" w:rsidP="009F7157">
      <w:pPr>
        <w:jc w:val="left"/>
        <w:rPr>
          <w:rFonts w:cs="Arial"/>
          <w:szCs w:val="22"/>
        </w:rPr>
      </w:pPr>
    </w:p>
    <w:p w14:paraId="5C06A8B8" w14:textId="77777777" w:rsidR="009F7157" w:rsidRDefault="009F7157" w:rsidP="009F7157">
      <w:pPr>
        <w:ind w:left="2880" w:hanging="2880"/>
        <w:rPr>
          <w:rFonts w:cs="Arial"/>
          <w:szCs w:val="22"/>
        </w:rPr>
      </w:pPr>
      <w:r w:rsidRPr="009B6E44">
        <w:rPr>
          <w:rFonts w:cs="Arial"/>
          <w:b/>
          <w:color w:val="1E4959"/>
          <w:szCs w:val="22"/>
        </w:rPr>
        <w:t>Utility:</w:t>
      </w:r>
      <w:r w:rsidRPr="009B6E44">
        <w:rPr>
          <w:rFonts w:cs="Arial"/>
          <w:szCs w:val="22"/>
        </w:rPr>
        <w:tab/>
      </w:r>
      <w:r w:rsidRPr="00F47B3E">
        <w:rPr>
          <w:rFonts w:cs="Segoe UI"/>
        </w:rPr>
        <w:t xml:space="preserve">Average-quality, free-standing office building with a functional design for single-tenant occupancy. Overall, the subject is considered highly functional, </w:t>
      </w:r>
      <w:r>
        <w:rPr>
          <w:rFonts w:cs="Segoe UI"/>
        </w:rPr>
        <w:t xml:space="preserve">though </w:t>
      </w:r>
      <w:r w:rsidRPr="00F47B3E">
        <w:rPr>
          <w:rFonts w:cs="Segoe UI"/>
        </w:rPr>
        <w:t>with a</w:t>
      </w:r>
      <w:r>
        <w:rPr>
          <w:rFonts w:cs="Segoe UI"/>
        </w:rPr>
        <w:t xml:space="preserve"> below average </w:t>
      </w:r>
      <w:r w:rsidRPr="00F47B3E">
        <w:rPr>
          <w:rFonts w:cs="Segoe UI"/>
        </w:rPr>
        <w:t>on-site parking ratio</w:t>
      </w:r>
      <w:r w:rsidRPr="00472B22">
        <w:t>.</w:t>
      </w:r>
    </w:p>
    <w:p w14:paraId="70AFDB94" w14:textId="77777777" w:rsidR="006028C1" w:rsidRDefault="006028C1" w:rsidP="006028C1">
      <w:pPr>
        <w:tabs>
          <w:tab w:val="left" w:pos="2880"/>
        </w:tabs>
        <w:ind w:left="2880" w:hanging="2880"/>
        <w:rPr>
          <w:rFonts w:cs="Arial"/>
          <w:szCs w:val="22"/>
        </w:rPr>
      </w:pPr>
    </w:p>
    <w:p w14:paraId="51988D6C" w14:textId="77777777" w:rsidR="009F7157" w:rsidRDefault="009F7157" w:rsidP="006028C1">
      <w:pPr>
        <w:tabs>
          <w:tab w:val="left" w:pos="2880"/>
        </w:tabs>
        <w:ind w:left="2880" w:hanging="2880"/>
        <w:rPr>
          <w:rFonts w:cs="Arial"/>
          <w:szCs w:val="22"/>
        </w:rPr>
      </w:pP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20D84E79" w14:textId="77777777" w:rsidR="00AE2B3D" w:rsidRDefault="00AE2B3D" w:rsidP="00AE2B3D">
      <w:pPr>
        <w:tabs>
          <w:tab w:val="left" w:pos="2880"/>
        </w:tabs>
        <w:ind w:left="2880" w:hanging="2880"/>
        <w:rPr>
          <w:rFonts w:cs="Arial"/>
          <w:szCs w:val="22"/>
        </w:rPr>
        <w:sectPr w:rsidR="00AE2B3D"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E2B3D" w:rsidRPr="000754FA" w14:paraId="35F85765" w14:textId="77777777" w:rsidTr="004A11EB">
        <w:trPr>
          <w:jc w:val="center"/>
        </w:trPr>
        <w:tc>
          <w:tcPr>
            <w:tcW w:w="9360" w:type="dxa"/>
            <w:tcBorders>
              <w:top w:val="nil"/>
              <w:left w:val="nil"/>
              <w:bottom w:val="single" w:sz="24" w:space="0" w:color="3FB44F"/>
              <w:right w:val="nil"/>
            </w:tcBorders>
            <w:shd w:val="clear" w:color="auto" w:fill="1E4959"/>
          </w:tcPr>
          <w:p w14:paraId="254728E3" w14:textId="77777777" w:rsidR="00AE2B3D" w:rsidRPr="000754FA" w:rsidRDefault="00AE2B3D"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E2B3D" w:rsidRPr="000754FA" w14:paraId="3ADA25E0"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133D89BF"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p>
        </w:tc>
      </w:tr>
      <w:tr w:rsidR="00AE2B3D" w:rsidRPr="000754FA" w14:paraId="3B01CBF3" w14:textId="77777777" w:rsidTr="004A11EB">
        <w:trPr>
          <w:trHeight w:hRule="exact" w:val="11808"/>
          <w:jc w:val="center"/>
        </w:trPr>
        <w:tc>
          <w:tcPr>
            <w:tcW w:w="9360" w:type="dxa"/>
            <w:tcBorders>
              <w:top w:val="nil"/>
              <w:left w:val="nil"/>
              <w:bottom w:val="nil"/>
              <w:right w:val="nil"/>
            </w:tcBorders>
            <w:shd w:val="clear" w:color="auto" w:fill="auto"/>
            <w:vAlign w:val="center"/>
          </w:tcPr>
          <w:p w14:paraId="5DEBD2C6"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EF9F0D5" wp14:editId="6599072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DBF79" w14:textId="77777777" w:rsidR="00920217" w:rsidRDefault="00920217">
      <w:r>
        <w:separator/>
      </w:r>
    </w:p>
  </w:endnote>
  <w:endnote w:type="continuationSeparator" w:id="0">
    <w:p w14:paraId="20990C94" w14:textId="77777777" w:rsidR="00920217" w:rsidRDefault="0092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0F70EE46"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9C3FEE">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F41453">
      <w:rPr>
        <w:rFonts w:cs="Segoe UI"/>
        <w:bCs/>
        <w:iCs/>
        <w:kern w:val="0"/>
        <w:sz w:val="20"/>
        <w:szCs w:val="18"/>
      </w:rPr>
      <w:t>${reportname}</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5D7C2" w14:textId="77777777" w:rsidR="00920217" w:rsidRDefault="00920217">
      <w:r>
        <w:separator/>
      </w:r>
    </w:p>
  </w:footnote>
  <w:footnote w:type="continuationSeparator" w:id="0">
    <w:p w14:paraId="7C2B1BCF" w14:textId="77777777" w:rsidR="00920217" w:rsidRDefault="00920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F41453">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44F"/>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BC0"/>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3A6"/>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217"/>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3FEE"/>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B3D"/>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956"/>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5CC"/>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453"/>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8F26E647-8069-4467-91C9-63114EB7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816</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5466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5</cp:revision>
  <cp:lastPrinted>2019-01-21T18:26:00Z</cp:lastPrinted>
  <dcterms:created xsi:type="dcterms:W3CDTF">2020-05-07T13:21:00Z</dcterms:created>
  <dcterms:modified xsi:type="dcterms:W3CDTF">2020-05-11T17:16:00Z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