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48A52502" w14:textId="4463F16B" w:rsidR="004B0566" w:rsidRPr="000754FA" w:rsidRDefault="004B0566" w:rsidP="004B0566">
      <w:pPr>
        <w:pStyle w:val="ChartTitle"/>
      </w:pPr>
      <w:r w:rsidRPr="007379E6">
        <w:t>Market Area Map –</w:t>
      </w:r>
      <w:r w:rsidR="007179DF">
        <w:t>${</w:t>
      </w:r>
      <w:r w:rsidR="007179DF" w:rsidRPr="007179DF">
        <w:t>submarket</w:t>
      </w:r>
      <w:r w:rsidR="007179DF">
        <w:t>}</w:t>
      </w:r>
      <w:r>
        <w:t xml:space="preserve"> SUBMARKET</w:t>
      </w:r>
    </w:p>
    <w:p w14:paraId="0289A355" w14:textId="77777777" w:rsidR="004B0566" w:rsidRPr="000754FA" w:rsidRDefault="004B0566" w:rsidP="004B0566">
      <w:pPr>
        <w:pStyle w:val="ChartTitle"/>
      </w:pPr>
      <w:r w:rsidRPr="000754FA">
        <mc:AlternateContent>
          <mc:Choice Requires="wps">
            <w:drawing>
              <wp:anchor distT="0" distB="0" distL="114300" distR="114300" simplePos="0" relativeHeight="251719680" behindDoc="0" locked="0" layoutInCell="1" allowOverlap="1" wp14:anchorId="7B777ABE" wp14:editId="31ACB3D9">
                <wp:simplePos x="0" y="0"/>
                <wp:positionH relativeFrom="column">
                  <wp:posOffset>4400550</wp:posOffset>
                </wp:positionH>
                <wp:positionV relativeFrom="paragraph">
                  <wp:posOffset>1600835</wp:posOffset>
                </wp:positionV>
                <wp:extent cx="876300" cy="304800"/>
                <wp:effectExtent l="800100" t="762000" r="19050" b="19050"/>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876300" cy="304800"/>
                        </a:xfrm>
                        <a:prstGeom prst="wedgeRoundRectCallout">
                          <a:avLst>
                            <a:gd name="adj1" fmla="val 139318"/>
                            <a:gd name="adj2" fmla="val -296933"/>
                            <a:gd name="adj3" fmla="val 16667"/>
                          </a:avLst>
                        </a:prstGeom>
                        <a:solidFill>
                          <a:srgbClr val="FFFF00"/>
                        </a:solidFill>
                        <a:ln w="25400" cap="flat" cmpd="sng" algn="ctr">
                          <a:solidFill>
                            <a:srgbClr val="4F81BD">
                              <a:shade val="50000"/>
                            </a:srgbClr>
                          </a:solidFill>
                          <a:prstDash val="solid"/>
                        </a:ln>
                        <a:effectLst/>
                      </wps:spPr>
                      <wps:txbx>
                        <w:txbxContent>
                          <w:p w14:paraId="27036778" w14:textId="77777777" w:rsidR="004B0566" w:rsidRPr="004C6595" w:rsidRDefault="004B0566" w:rsidP="004B0566">
                            <w:pPr>
                              <w:jc w:val="center"/>
                              <w:rPr>
                                <w:rFonts w:cs="Arial"/>
                                <w:color w:val="000000" w:themeColor="text1"/>
                              </w:rPr>
                            </w:pPr>
                            <w:r w:rsidRPr="004C6595">
                              <w:rPr>
                                <w:rFonts w:cs="Arial"/>
                                <w:b/>
                                <w:color w:val="000000" w:themeColor="text1"/>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77A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346.5pt;margin-top:126.05pt;width:69pt;height:24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" adj="40893,-53338" fillcolor="yellow" strokecolor="#385d8a" strokeweight="2pt">
                <v:textbox>
                  <w:txbxContent>
                    <w:p w14:paraId="27036778" w14:textId="77777777" w:rsidR="004B0566" w:rsidRPr="004C6595" w:rsidRDefault="004B0566" w:rsidP="004B0566">
                      <w:pPr>
                        <w:jc w:val="center"/>
                        <w:rPr>
                          <w:rFonts w:cs="Arial"/>
                          <w:color w:val="000000" w:themeColor="text1"/>
                        </w:rPr>
                      </w:pPr>
                      <w:r w:rsidRPr="004C6595">
                        <w:rPr>
                          <w:rFonts w:cs="Arial"/>
                          <w:b/>
                          <w:color w:val="000000" w:themeColor="text1"/>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497C6A2B" wp14:editId="4501C166">
            <wp:extent cx="4923700" cy="4194051"/>
            <wp:effectExtent l="76200" t="76200" r="125095" b="130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923700" cy="4194051"/>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754BB30A" w14:textId="77777777" w:rsidR="004B0566" w:rsidRPr="00A1586C" w:rsidRDefault="004B0566" w:rsidP="004B0566">
      <w:pPr>
        <w:keepNext/>
        <w:keepLines/>
        <w:spacing w:before="260"/>
        <w:outlineLvl w:val="1"/>
        <w:rPr>
          <w:rFonts w:cs="Arial"/>
          <w:bCs/>
          <w:color w:val="1E4959"/>
          <w:sz w:val="28"/>
          <w:szCs w:val="22"/>
        </w:rPr>
      </w:pPr>
      <w:r w:rsidRPr="00A1586C">
        <w:rPr>
          <w:rFonts w:cs="Arial"/>
          <w:color w:val="1E4959"/>
          <w:sz w:val="28"/>
          <w:szCs w:val="22"/>
        </w:rPr>
        <w:t>Office Vacancy and Absorption</w:t>
      </w:r>
    </w:p>
    <w:p w14:paraId="74208B8E" w14:textId="28D70592" w:rsidR="004B0566" w:rsidRPr="002E2622" w:rsidRDefault="004B0566" w:rsidP="004B0566">
      <w:pPr>
        <w:rPr>
          <w:rFonts w:cs="Arial"/>
          <w:szCs w:val="22"/>
        </w:rPr>
      </w:pPr>
      <w:bookmarkStart w:id="1" w:name="_Hlk12991921"/>
      <w:bookmarkStart w:id="2" w:name="_Hlk536115813"/>
      <w:bookmarkStart w:id="3" w:name="_Hlk21089228"/>
      <w:r w:rsidRPr="00A1586C">
        <w:rPr>
          <w:rFonts w:cs="Arial"/>
          <w:szCs w:val="22"/>
        </w:rPr>
        <w:t xml:space="preserve">With respect to the subject’s immediate to expanded </w:t>
      </w:r>
      <w:r w:rsidR="007179DF">
        <w:rPr>
          <w:rFonts w:cs="Arial"/>
          <w:szCs w:val="22"/>
          <w:u w:val="single"/>
        </w:rPr>
        <w:t>${</w:t>
      </w:r>
      <w:r w:rsidR="007179DF" w:rsidRPr="007179DF">
        <w:rPr>
          <w:rFonts w:cs="Arial"/>
          <w:szCs w:val="22"/>
          <w:u w:val="single"/>
        </w:rPr>
        <w:t>submarket</w:t>
      </w:r>
      <w:r w:rsidR="007179DF">
        <w:rPr>
          <w:rFonts w:cs="Arial"/>
          <w:szCs w:val="22"/>
          <w:u w:val="single"/>
        </w:rPr>
        <w:t>}</w:t>
      </w:r>
      <w:r w:rsidRPr="00A1586C">
        <w:rPr>
          <w:rFonts w:cs="Arial"/>
          <w:szCs w:val="22"/>
        </w:rPr>
        <w:t xml:space="preserve"> submarket (see map above), </w:t>
      </w:r>
      <w:r w:rsidRPr="00A1586C">
        <w:rPr>
          <w:rFonts w:cs="Arial"/>
          <w:b/>
          <w:szCs w:val="22"/>
        </w:rPr>
        <w:t xml:space="preserve">CoStar </w:t>
      </w:r>
      <w:r w:rsidRPr="00A1586C">
        <w:rPr>
          <w:rFonts w:cs="Arial"/>
          <w:szCs w:val="22"/>
        </w:rPr>
        <w:t xml:space="preserve">estimates a current </w:t>
      </w:r>
      <w:r w:rsidRPr="00A1586C">
        <w:rPr>
          <w:rFonts w:cs="Arial"/>
          <w:b/>
          <w:bCs/>
          <w:szCs w:val="22"/>
        </w:rPr>
        <w:t>office</w:t>
      </w:r>
      <w:r w:rsidRPr="00A1586C">
        <w:rPr>
          <w:rFonts w:cs="Arial"/>
          <w:szCs w:val="22"/>
        </w:rPr>
        <w:t xml:space="preserve"> </w:t>
      </w:r>
      <w:r w:rsidRPr="0028757E">
        <w:rPr>
          <w:rFonts w:cs="Arial"/>
          <w:b/>
          <w:bCs/>
          <w:szCs w:val="22"/>
        </w:rPr>
        <w:t>vacancy</w:t>
      </w:r>
      <w:r w:rsidRPr="00A1586C">
        <w:rPr>
          <w:rFonts w:cs="Arial"/>
          <w:szCs w:val="22"/>
        </w:rPr>
        <w:t xml:space="preserve"> of 5.6% (90,069 SF out of 1,594,776 SF; 184 properties) as of October 20</w:t>
      </w:r>
      <w:r>
        <w:rPr>
          <w:rFonts w:cs="Arial"/>
          <w:szCs w:val="22"/>
        </w:rPr>
        <w:t>20</w:t>
      </w:r>
      <w:r w:rsidRPr="00A1586C">
        <w:rPr>
          <w:rFonts w:cs="Arial"/>
          <w:szCs w:val="22"/>
        </w:rPr>
        <w:t xml:space="preserve">, with positive net absorption of 4,683 SF over the past 12 months. Leasing in these submarkets over the past year has been strong at 66,193 SF, which is generally tempered in volume due to the general low inventory of available space this submarket. Vacancy reached a 10-year high of just over 12% in the Q-3 2010, and since has continued in a downward trend into the current year, which correlates with rising rental rates. No new construction is currently under way an no new deliveries have occurred over the last 12 months. The average asking rental rates in the defined submarket area are at a current rate of $18.27 per SF per year (primarily modified gross) which is slightly above the 5-year average asking rate at $16.77 per SF. </w:t>
      </w:r>
      <w:bookmarkEnd w:id="1"/>
      <w:r w:rsidRPr="00A1586C">
        <w:rPr>
          <w:rFonts w:cs="Arial"/>
          <w:szCs w:val="22"/>
        </w:rPr>
        <w:t xml:space="preserve"> A chart of this market activity is shown on the following page.</w:t>
      </w:r>
      <w:bookmarkEnd w:id="2"/>
    </w:p>
    <w:bookmarkEnd w:id="3"/>
    <w:p w14:paraId="1F96C059" w14:textId="35636CD3" w:rsidR="004B0566" w:rsidRDefault="004B0566" w:rsidP="004B0566">
      <w:pPr>
        <w:rPr>
          <w:rFonts w:cs="Arial"/>
          <w:szCs w:val="22"/>
        </w:rPr>
      </w:pPr>
    </w:p>
    <w:p w14:paraId="4252A043" w14:textId="76DAFA5C" w:rsidR="00D03354" w:rsidRDefault="00D03354" w:rsidP="004B0566">
      <w:pPr>
        <w:rPr>
          <w:rFonts w:cs="Arial"/>
          <w:szCs w:val="22"/>
        </w:rPr>
      </w:pPr>
    </w:p>
    <w:p w14:paraId="49C39B53" w14:textId="77777777" w:rsidR="00D03354" w:rsidRDefault="00D03354" w:rsidP="004B0566">
      <w:pPr>
        <w:rPr>
          <w:rFonts w:cs="Arial"/>
          <w:szCs w:val="22"/>
        </w:rPr>
      </w:pPr>
    </w:p>
    <w:p w14:paraId="6B8BBFCB" w14:textId="6B49C38F" w:rsidR="00E74212" w:rsidRDefault="00E74212" w:rsidP="004B0566">
      <w:pPr>
        <w:rPr>
          <w:rFonts w:cs="Arial"/>
          <w:szCs w:val="22"/>
        </w:rPr>
      </w:pPr>
    </w:p>
    <w:p w14:paraId="4E0A6DC3" w14:textId="77777777" w:rsidR="00E74212" w:rsidRDefault="00E74212" w:rsidP="004B0566">
      <w:pPr>
        <w:rPr>
          <w:rFonts w:cs="Arial"/>
          <w:szCs w:val="22"/>
        </w:rPr>
      </w:pPr>
    </w:p>
    <w:p w14:paraId="0FAB49EF" w14:textId="77777777" w:rsidR="00E74212" w:rsidRDefault="00E74212" w:rsidP="004B0566">
      <w:pPr>
        <w:rPr>
          <w:rFonts w:cs="Arial"/>
          <w:szCs w:val="22"/>
        </w:rPr>
      </w:pPr>
    </w:p>
    <w:p w14:paraId="0E028849" w14:textId="7CFA820B" w:rsidR="00E74212" w:rsidRPr="006761C9" w:rsidRDefault="007179DF" w:rsidP="00E74212">
      <w:pPr>
        <w:jc w:val="center"/>
        <w:rPr>
          <w:rFonts w:cs="Arial"/>
          <w:color w:val="1E4F53"/>
          <w:szCs w:val="22"/>
          <w:u w:val="single"/>
        </w:rPr>
      </w:pPr>
      <w:bookmarkStart w:id="4" w:name="_GoBack"/>
      <w:bookmarkEnd w:id="4"/>
      <w:r w:rsidRPr="007179DF">
        <w:rPr>
          <w:rFonts w:cs="Arial"/>
          <w:color w:val="1E4F53"/>
          <w:szCs w:val="22"/>
          <w:u w:val="single"/>
        </w:rPr>
        <w:lastRenderedPageBreak/>
        <w:t>${</w:t>
      </w:r>
      <w:r w:rsidRPr="007179DF">
        <w:rPr>
          <w:rFonts w:cs="Arial"/>
          <w:color w:val="1E4F53"/>
          <w:szCs w:val="22"/>
          <w:u w:val="single"/>
        </w:rPr>
        <w:t>submarket</w:t>
      </w:r>
      <w:r w:rsidRPr="007179DF">
        <w:rPr>
          <w:rFonts w:cs="Arial"/>
          <w:color w:val="1E4F53"/>
          <w:szCs w:val="22"/>
          <w:u w:val="single"/>
        </w:rPr>
        <w:t>}</w:t>
      </w:r>
      <w:r w:rsidR="00E74212" w:rsidRPr="007179DF">
        <w:rPr>
          <w:rFonts w:cs="Arial"/>
          <w:color w:val="1E4F53"/>
          <w:szCs w:val="22"/>
          <w:u w:val="single"/>
        </w:rPr>
        <w:t xml:space="preserve"> Office Submarket</w:t>
      </w:r>
    </w:p>
    <w:p w14:paraId="20378BFF" w14:textId="77777777" w:rsidR="00E74212" w:rsidRPr="002E2622" w:rsidRDefault="00E74212" w:rsidP="004B0566">
      <w:pPr>
        <w:rPr>
          <w:rFonts w:cs="Arial"/>
          <w:szCs w:val="22"/>
        </w:rPr>
      </w:pPr>
    </w:p>
    <w:p w14:paraId="755DD040" w14:textId="77777777" w:rsidR="004B0566" w:rsidRPr="000754FA" w:rsidRDefault="004B0566" w:rsidP="004B0566">
      <w:pPr>
        <w:spacing w:after="120"/>
        <w:jc w:val="center"/>
        <w:rPr>
          <w:rFonts w:cs="Arial"/>
          <w:szCs w:val="22"/>
        </w:rPr>
      </w:pPr>
      <w:r>
        <w:rPr>
          <w:noProof/>
        </w:rPr>
        <w:drawing>
          <wp:inline distT="0" distB="0" distL="0" distR="0" wp14:anchorId="6F652E5C" wp14:editId="17B06421">
            <wp:extent cx="5419725" cy="28465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5999" cy="2855061"/>
                    </a:xfrm>
                    <a:prstGeom prst="rect">
                      <a:avLst/>
                    </a:prstGeom>
                  </pic:spPr>
                </pic:pic>
              </a:graphicData>
            </a:graphic>
          </wp:inline>
        </w:drawing>
      </w:r>
    </w:p>
    <w:p w14:paraId="2B0B10C0" w14:textId="77777777" w:rsidR="004B0566" w:rsidRPr="000754FA" w:rsidRDefault="004B0566" w:rsidP="004B0566">
      <w:pPr>
        <w:widowControl w:val="0"/>
        <w:jc w:val="center"/>
        <w:rPr>
          <w:rFonts w:cs="Arial"/>
          <w:szCs w:val="22"/>
        </w:rPr>
      </w:pPr>
      <w:r>
        <w:rPr>
          <w:noProof/>
        </w:rPr>
        <w:drawing>
          <wp:inline distT="0" distB="0" distL="0" distR="0" wp14:anchorId="64FDFE42" wp14:editId="7F10139F">
            <wp:extent cx="5600700" cy="22899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937" cy="2297809"/>
                    </a:xfrm>
                    <a:prstGeom prst="rect">
                      <a:avLst/>
                    </a:prstGeom>
                  </pic:spPr>
                </pic:pic>
              </a:graphicData>
            </a:graphic>
          </wp:inline>
        </w:drawing>
      </w:r>
    </w:p>
    <w:p w14:paraId="0BEBD616" w14:textId="77777777" w:rsidR="004B0566" w:rsidRPr="000754FA" w:rsidRDefault="004B0566" w:rsidP="004B0566">
      <w:pPr>
        <w:keepNext/>
        <w:keepLines/>
        <w:outlineLvl w:val="1"/>
        <w:rPr>
          <w:rFonts w:cs="Arial"/>
          <w:bCs/>
          <w:color w:val="1E4959"/>
          <w:sz w:val="28"/>
          <w:szCs w:val="22"/>
        </w:rPr>
      </w:pPr>
      <w:r w:rsidRPr="000754FA">
        <w:rPr>
          <w:rFonts w:cs="Arial"/>
          <w:color w:val="1E4959"/>
          <w:sz w:val="28"/>
          <w:szCs w:val="22"/>
        </w:rPr>
        <w:t>Conclusion</w:t>
      </w:r>
    </w:p>
    <w:p w14:paraId="37D953A5" w14:textId="7DB9AD1B" w:rsidR="001F2654" w:rsidRPr="000754FA" w:rsidRDefault="004B0566" w:rsidP="00243EE6">
      <w:pPr>
        <w:rPr>
          <w:kern w:val="24"/>
          <w:sz w:val="18"/>
          <w:szCs w:val="16"/>
        </w:rPr>
      </w:pPr>
      <w:r w:rsidRPr="00330A8A">
        <w:rPr>
          <w:rFonts w:cs="Arial"/>
          <w:szCs w:val="22"/>
        </w:rPr>
        <w:t xml:space="preserve">Our survey currently indicates that despite an overall submarket vacancy at </w:t>
      </w:r>
      <w:r>
        <w:rPr>
          <w:rFonts w:cs="Arial"/>
          <w:szCs w:val="22"/>
        </w:rPr>
        <w:t>5.6</w:t>
      </w:r>
      <w:r w:rsidRPr="00330A8A">
        <w:rPr>
          <w:rFonts w:cs="Arial"/>
          <w:szCs w:val="22"/>
        </w:rPr>
        <w:t xml:space="preserve">%, there are very few vacancies of single-tenant </w:t>
      </w:r>
      <w:r>
        <w:rPr>
          <w:rFonts w:cs="Arial"/>
          <w:szCs w:val="22"/>
        </w:rPr>
        <w:t>office (owner /user</w:t>
      </w:r>
      <w:r w:rsidRPr="00330A8A">
        <w:rPr>
          <w:rFonts w:cs="Arial"/>
          <w:szCs w:val="22"/>
        </w:rPr>
        <w:t xml:space="preserve"> properties</w:t>
      </w:r>
      <w:r>
        <w:rPr>
          <w:rFonts w:cs="Arial"/>
          <w:szCs w:val="22"/>
        </w:rPr>
        <w:t>)</w:t>
      </w:r>
      <w:r w:rsidRPr="00330A8A">
        <w:rPr>
          <w:rFonts w:cs="Arial"/>
          <w:szCs w:val="22"/>
        </w:rPr>
        <w:t xml:space="preserve"> in the immediate sub-market. </w:t>
      </w:r>
      <w:r>
        <w:rPr>
          <w:rFonts w:cs="Arial"/>
          <w:szCs w:val="22"/>
        </w:rPr>
        <w:t xml:space="preserve">Further with no </w:t>
      </w:r>
      <w:r w:rsidRPr="00330A8A">
        <w:rPr>
          <w:rFonts w:cs="Arial"/>
          <w:szCs w:val="22"/>
        </w:rPr>
        <w:t>new supply hitting the market in 20</w:t>
      </w:r>
      <w:r>
        <w:rPr>
          <w:rFonts w:cs="Arial"/>
          <w:szCs w:val="22"/>
        </w:rPr>
        <w:t>20</w:t>
      </w:r>
      <w:r w:rsidRPr="00330A8A">
        <w:rPr>
          <w:rFonts w:cs="Arial"/>
          <w:szCs w:val="22"/>
        </w:rPr>
        <w:t xml:space="preserve"> and into 202</w:t>
      </w:r>
      <w:r>
        <w:rPr>
          <w:rFonts w:cs="Arial"/>
          <w:szCs w:val="22"/>
        </w:rPr>
        <w:t>1</w:t>
      </w:r>
      <w:r w:rsidRPr="00330A8A">
        <w:rPr>
          <w:rFonts w:cs="Arial"/>
          <w:szCs w:val="22"/>
        </w:rPr>
        <w:t xml:space="preserve">, </w:t>
      </w:r>
      <w:r>
        <w:rPr>
          <w:rFonts w:cs="Arial"/>
          <w:szCs w:val="22"/>
        </w:rPr>
        <w:t xml:space="preserve">office </w:t>
      </w:r>
      <w:r w:rsidRPr="00330A8A">
        <w:rPr>
          <w:rFonts w:cs="Arial"/>
          <w:szCs w:val="22"/>
        </w:rPr>
        <w:t>vacancies are expected to decrease through at least Q-</w:t>
      </w:r>
      <w:r>
        <w:rPr>
          <w:rFonts w:cs="Arial"/>
          <w:szCs w:val="22"/>
        </w:rPr>
        <w:t xml:space="preserve">2 </w:t>
      </w:r>
      <w:r w:rsidRPr="00330A8A">
        <w:rPr>
          <w:rFonts w:cs="Arial"/>
          <w:szCs w:val="22"/>
        </w:rPr>
        <w:t>202</w:t>
      </w:r>
      <w:r>
        <w:rPr>
          <w:rFonts w:cs="Arial"/>
          <w:szCs w:val="22"/>
        </w:rPr>
        <w:t>1</w:t>
      </w:r>
      <w:r w:rsidRPr="00330A8A">
        <w:rPr>
          <w:rFonts w:cs="Arial"/>
          <w:szCs w:val="22"/>
        </w:rPr>
        <w:t xml:space="preserve">. Existing single-tenant and multi-tenant projects with similar locations and convenient access are experiencing increased tenant demand in tandem with the recent extended strong recovery in the local and national economies. At this time, there is some concern about the probability of a national economic slowdown possibly appearing in the next 2 years, a result of the typical business cycle (expansion followed by eventual contraction). Strongly offsetting is the continued relatively tight land availability in the Portland </w:t>
      </w:r>
      <w:r>
        <w:rPr>
          <w:rFonts w:cs="Arial"/>
          <w:szCs w:val="22"/>
        </w:rPr>
        <w:t xml:space="preserve">Metropolitan Area and </w:t>
      </w:r>
      <w:r w:rsidRPr="00330A8A">
        <w:rPr>
          <w:rFonts w:cs="Arial"/>
          <w:szCs w:val="22"/>
        </w:rPr>
        <w:t xml:space="preserve">lack of overbuilding in the </w:t>
      </w:r>
      <w:r>
        <w:rPr>
          <w:rFonts w:cs="Arial"/>
          <w:szCs w:val="22"/>
        </w:rPr>
        <w:t xml:space="preserve">office </w:t>
      </w:r>
      <w:r w:rsidRPr="00330A8A">
        <w:rPr>
          <w:rFonts w:cs="Arial"/>
          <w:szCs w:val="22"/>
        </w:rPr>
        <w:t xml:space="preserve">sector relative to past expansion cycles. As our survey would indicate, there is a sufficient level of demand to support existing and new </w:t>
      </w:r>
      <w:r>
        <w:rPr>
          <w:rFonts w:cs="Arial"/>
          <w:szCs w:val="22"/>
        </w:rPr>
        <w:t xml:space="preserve">office </w:t>
      </w:r>
      <w:r w:rsidRPr="00330A8A">
        <w:rPr>
          <w:rFonts w:cs="Arial"/>
          <w:szCs w:val="22"/>
        </w:rPr>
        <w:t>projects, with</w:t>
      </w:r>
      <w:r>
        <w:rPr>
          <w:rFonts w:cs="Arial"/>
          <w:szCs w:val="22"/>
        </w:rPr>
        <w:t>out</w:t>
      </w:r>
      <w:r w:rsidRPr="00330A8A">
        <w:rPr>
          <w:rFonts w:cs="Arial"/>
          <w:szCs w:val="22"/>
        </w:rPr>
        <w:t xml:space="preserve"> significant speculative multi-tenant</w:t>
      </w:r>
      <w:r>
        <w:rPr>
          <w:rFonts w:cs="Arial"/>
          <w:szCs w:val="22"/>
        </w:rPr>
        <w:t xml:space="preserve"> office </w:t>
      </w:r>
      <w:r w:rsidRPr="00330A8A">
        <w:rPr>
          <w:rFonts w:cs="Arial"/>
          <w:szCs w:val="22"/>
        </w:rPr>
        <w:t>development at the current time. Due to the relatively large increase in average rents over the past few years, there are likely to be a leveling of the market with typical concessions and rent increases more in-line with inflation trends than in the past few years</w:t>
      </w:r>
      <w:r w:rsidRPr="00330A8A">
        <w:t>.</w:t>
      </w:r>
    </w:p>
    <w:sectPr w:rsidR="001F2654" w:rsidRPr="000754FA" w:rsidSect="00BC3608">
      <w:headerReference w:type="default" r:id="rId11"/>
      <w:footerReference w:type="default" r:id="rId1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91C75" w14:textId="77777777" w:rsidR="00C802BB" w:rsidRDefault="00C802BB">
      <w:r>
        <w:separator/>
      </w:r>
    </w:p>
  </w:endnote>
  <w:endnote w:type="continuationSeparator" w:id="0">
    <w:p w14:paraId="0E4D589C" w14:textId="77777777" w:rsidR="00C802BB" w:rsidRDefault="00C8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97A0" w14:textId="01317F51" w:rsidR="00D03354" w:rsidRDefault="00D03354" w:rsidP="00D03354">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7179DF">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7179DF">
      <w:rPr>
        <w:rFonts w:cs="Segoe UI"/>
        <w:bCs/>
        <w:iCs/>
        <w:kern w:val="0"/>
        <w:sz w:val="20"/>
        <w:szCs w:val="18"/>
      </w:rPr>
      <w:t>${</w:t>
    </w:r>
    <w:proofErr w:type="spellStart"/>
    <w:r w:rsidR="007179DF" w:rsidRPr="007179DF">
      <w:rPr>
        <w:rFonts w:cs="Segoe UI"/>
        <w:bCs/>
        <w:iCs/>
        <w:kern w:val="0"/>
        <w:sz w:val="20"/>
        <w:szCs w:val="18"/>
      </w:rPr>
      <w:t>reportname</w:t>
    </w:r>
    <w:proofErr w:type="spellEnd"/>
    <w:r w:rsidR="007179DF">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4B1C4" w14:textId="77777777" w:rsidR="00C802BB" w:rsidRDefault="00C802BB">
      <w:r>
        <w:separator/>
      </w:r>
    </w:p>
  </w:footnote>
  <w:footnote w:type="continuationSeparator" w:id="0">
    <w:p w14:paraId="1CB38967" w14:textId="77777777" w:rsidR="00C802BB" w:rsidRDefault="00C80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4C47B4FD" w:rsidR="00A505B7" w:rsidRPr="00F01ADE" w:rsidRDefault="007179DF"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7179DF">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2B"/>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3EE6"/>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179DF"/>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5245"/>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3608"/>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2BB"/>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354"/>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E17"/>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91915-B0AF-4AAB-9438-81E46D02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2520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2020-01-17T18:37:00Z</dcterms:created>
  <dcterms:modified xsi:type="dcterms:W3CDTF">2020-01-17T18:37:00Z</dcterms:modified>
</cp:coreProperties>
</file>