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61753F">
        <w:trPr>
          <w:trHeight w:hRule="exact" w:val="590"/>
        </w:trPr>
        <w:tc>
          <w:tcPr>
            <w:tcW w:w="936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2AD86158" w14:textId="77777777" w:rsidR="0061753F" w:rsidRPr="00F166AD" w:rsidRDefault="0061753F" w:rsidP="0061753F">
      <w:pPr>
        <w:pStyle w:val="Heading20"/>
        <w:rPr>
          <w:rFonts w:asciiTheme="minorHAnsi" w:hAnsiTheme="minorHAnsi" w:cs="Arial"/>
          <w:b w:val="0"/>
          <w:color w:val="1E4959"/>
          <w:spacing w:val="0"/>
          <w:kern w:val="20"/>
          <w:sz w:val="28"/>
          <w:szCs w:val="22"/>
        </w:rPr>
      </w:pPr>
      <w:r w:rsidRPr="00F166AD">
        <w:rPr>
          <w:rFonts w:asciiTheme="minorHAnsi" w:hAnsiTheme="minorHAnsi" w:cs="Arial"/>
          <w:b w:val="0"/>
          <w:color w:val="1E4959"/>
          <w:spacing w:val="0"/>
          <w:kern w:val="20"/>
          <w:sz w:val="28"/>
          <w:szCs w:val="22"/>
        </w:rPr>
        <w:t>Summary of Value Indications</w:t>
      </w:r>
    </w:p>
    <w:p w14:paraId="4A1B43CF" w14:textId="77777777" w:rsidR="0061753F" w:rsidRPr="00F166AD" w:rsidRDefault="0061753F" w:rsidP="0061753F">
      <w:pPr>
        <w:suppressAutoHyphens/>
        <w:rPr>
          <w:rFonts w:cs="Arial"/>
          <w:szCs w:val="22"/>
        </w:rPr>
      </w:pPr>
      <w:r w:rsidRPr="00F166AD">
        <w:rPr>
          <w:rFonts w:cs="Arial"/>
          <w:szCs w:val="22"/>
        </w:rPr>
        <w:t xml:space="preserve">The reconciliation of value indications is the final step in the appraisal process and involves the reviewing and weighing of the individual valuation techniques in relationship to their substantiation by market data, and the reliability and applicability of each valuation technique to the subject project. The reconciliation criteria are appropriateness, accuracy, and quantity of evidence. </w:t>
      </w:r>
    </w:p>
    <w:p w14:paraId="62AB52AE" w14:textId="618FBFDF" w:rsidR="00324CB8" w:rsidRDefault="00324CB8" w:rsidP="0061753F">
      <w:pPr>
        <w:rPr>
          <w:rFonts w:cs="Arial"/>
          <w:szCs w:val="22"/>
        </w:rPr>
      </w:pPr>
    </w:p>
    <w:p w14:paraId="1CFD65AD" w14:textId="5BEBCA53" w:rsidR="00324CB8" w:rsidRPr="00FC4800" w:rsidRDefault="00324CB8" w:rsidP="00324CB8">
      <w:pPr>
        <w:rPr>
          <w:rFonts w:cs="Arial"/>
          <w:szCs w:val="22"/>
        </w:rPr>
      </w:pPr>
      <w:r w:rsidRPr="00855DB1">
        <w:rPr>
          <w:rFonts w:cs="Arial"/>
          <w:szCs w:val="22"/>
        </w:rPr>
        <w:t xml:space="preserve">All three approaches, the Income Capitalization, Sales Comparison and Cost Approaches to value were utilized in this assignment.  Based on the three methods of appraisal, the estimated </w:t>
      </w:r>
      <w:r w:rsidRPr="00855DB1">
        <w:rPr>
          <w:rFonts w:cs="Arial"/>
          <w:b/>
          <w:szCs w:val="22"/>
        </w:rPr>
        <w:t>prospective stabilized market values</w:t>
      </w:r>
      <w:r w:rsidRPr="00855DB1">
        <w:rPr>
          <w:rFonts w:cs="Arial"/>
          <w:szCs w:val="22"/>
        </w:rPr>
        <w:t xml:space="preserve"> of the</w:t>
      </w:r>
      <w:r>
        <w:rPr>
          <w:rFonts w:cs="Arial"/>
          <w:szCs w:val="22"/>
        </w:rPr>
        <w:t xml:space="preserve"> fee simple </w:t>
      </w:r>
      <w:r w:rsidRPr="00855DB1">
        <w:rPr>
          <w:rFonts w:cs="Arial"/>
          <w:szCs w:val="22"/>
        </w:rPr>
        <w:t xml:space="preserve">interest in the subject </w:t>
      </w:r>
      <w:sdt>
        <w:sdtPr>
          <w:rPr>
            <w:rFonts w:cs="Arial"/>
            <w:szCs w:val="22"/>
            <w:highlight w:val="green"/>
          </w:rPr>
          <w:alias w:val="Project"/>
          <w:tag w:val="Project"/>
          <w:id w:val="955140369"/>
          <w:placeholder>
            <w:docPart w:val="DefaultPlaceholder_-1854013438"/>
          </w:placeholder>
          <w:dropDownList>
            <w:listItem w:value="Choose an item."/>
            <w:listItem w:displayText="project" w:value="project"/>
            <w:listItem w:displayText="project (primary site / building)" w:value="project (primary site / building)"/>
            <w:listItem w:displayText="project (excluding surplus land)" w:value="project (excluding surplus land)"/>
            <w:listItem w:displayText="project (excluding excess land)" w:value="project (excluding excess land)"/>
            <w:listItem w:displayText="project (excluding surplus land / site improvements)" w:value="project (excluding surplus land / site improvements)"/>
          </w:dropDownList>
        </w:sdtPr>
        <w:sdtEndPr/>
        <w:sdtContent>
          <w:r>
            <w:rPr>
              <w:rFonts w:cs="Arial"/>
              <w:szCs w:val="22"/>
              <w:highlight w:val="green"/>
            </w:rPr>
            <w:t>project (primary site / building)</w:t>
          </w:r>
        </w:sdtContent>
      </w:sdt>
      <w:r w:rsidRPr="00855DB1">
        <w:rPr>
          <w:rFonts w:cs="Arial"/>
          <w:szCs w:val="22"/>
        </w:rPr>
        <w:t xml:space="preserve"> </w:t>
      </w:r>
      <w:r>
        <w:rPr>
          <w:rFonts w:cs="Arial"/>
          <w:szCs w:val="22"/>
        </w:rPr>
        <w:t xml:space="preserve">are </w:t>
      </w:r>
      <w:r w:rsidRPr="00855DB1">
        <w:rPr>
          <w:rFonts w:cs="Arial"/>
          <w:szCs w:val="22"/>
        </w:rPr>
        <w:t>summarized as follows</w:t>
      </w:r>
      <w:r w:rsidRPr="00FC4800">
        <w:rPr>
          <w:rFonts w:cs="Arial"/>
          <w:iCs/>
          <w:szCs w:val="22"/>
        </w:rPr>
        <w:t>:</w:t>
      </w:r>
    </w:p>
    <w:p w14:paraId="403264A8" w14:textId="77777777" w:rsidR="00324CB8" w:rsidRPr="00F166AD" w:rsidRDefault="00324CB8" w:rsidP="00324CB8">
      <w:pPr>
        <w:pStyle w:val="ListParagraph"/>
        <w:ind w:left="0"/>
        <w:rPr>
          <w:rFonts w:cs="Arial"/>
          <w:kern w:val="20"/>
          <w:szCs w:val="22"/>
        </w:rPr>
      </w:pPr>
    </w:p>
    <w:tbl>
      <w:tblPr>
        <w:tblW w:w="94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38"/>
        <w:gridCol w:w="1530"/>
        <w:gridCol w:w="1440"/>
        <w:gridCol w:w="2160"/>
      </w:tblGrid>
      <w:tr w:rsidR="00324CB8" w:rsidRPr="00F166AD" w14:paraId="1023A0B6" w14:textId="77777777" w:rsidTr="00A16296">
        <w:tc>
          <w:tcPr>
            <w:tcW w:w="4338" w:type="dxa"/>
            <w:tcBorders>
              <w:top w:val="nil"/>
              <w:left w:val="nil"/>
              <w:bottom w:val="single" w:sz="24" w:space="0" w:color="3FB44F"/>
              <w:right w:val="nil"/>
            </w:tcBorders>
            <w:shd w:val="clear" w:color="auto" w:fill="1E4959"/>
          </w:tcPr>
          <w:p w14:paraId="684C4D75" w14:textId="77777777" w:rsidR="00324CB8" w:rsidRPr="00F166AD" w:rsidRDefault="00324CB8" w:rsidP="00A16296">
            <w:pPr>
              <w:tabs>
                <w:tab w:val="left" w:pos="3960"/>
              </w:tabs>
              <w:spacing w:after="60" w:line="20" w:lineRule="atLeast"/>
              <w:jc w:val="left"/>
              <w:rPr>
                <w:rFonts w:cs="Arial"/>
                <w:b/>
                <w:smallCaps/>
                <w:color w:val="FFFFFF" w:themeColor="background1"/>
                <w:szCs w:val="22"/>
              </w:rPr>
            </w:pPr>
            <w:r w:rsidRPr="00F166AD">
              <w:rPr>
                <w:rFonts w:cs="Arial"/>
                <w:b/>
                <w:smallCaps/>
                <w:color w:val="FFFFFF" w:themeColor="background1"/>
                <w:szCs w:val="22"/>
              </w:rPr>
              <w:br/>
              <w:t>Valuation Approach</w:t>
            </w:r>
          </w:p>
        </w:tc>
        <w:tc>
          <w:tcPr>
            <w:tcW w:w="1530" w:type="dxa"/>
            <w:tcBorders>
              <w:top w:val="nil"/>
              <w:left w:val="nil"/>
              <w:bottom w:val="single" w:sz="24" w:space="0" w:color="3FB44F"/>
              <w:right w:val="nil"/>
            </w:tcBorders>
            <w:shd w:val="clear" w:color="auto" w:fill="1E4959"/>
          </w:tcPr>
          <w:p w14:paraId="524465D5" w14:textId="77777777" w:rsidR="00324CB8" w:rsidRPr="00F166AD" w:rsidRDefault="00324CB8" w:rsidP="00A16296">
            <w:pPr>
              <w:tabs>
                <w:tab w:val="left" w:pos="3960"/>
              </w:tabs>
              <w:spacing w:after="60" w:line="20" w:lineRule="atLeast"/>
              <w:jc w:val="center"/>
              <w:rPr>
                <w:rFonts w:cs="Arial"/>
                <w:b/>
                <w:smallCaps/>
                <w:color w:val="FFFFFF" w:themeColor="background1"/>
                <w:szCs w:val="22"/>
              </w:rPr>
            </w:pPr>
          </w:p>
        </w:tc>
        <w:tc>
          <w:tcPr>
            <w:tcW w:w="1440" w:type="dxa"/>
            <w:tcBorders>
              <w:top w:val="nil"/>
              <w:left w:val="nil"/>
              <w:bottom w:val="single" w:sz="24" w:space="0" w:color="3FB44F"/>
              <w:right w:val="nil"/>
            </w:tcBorders>
            <w:shd w:val="clear" w:color="auto" w:fill="1E4959"/>
          </w:tcPr>
          <w:p w14:paraId="25037E89" w14:textId="77777777" w:rsidR="00324CB8" w:rsidRPr="00F166AD" w:rsidRDefault="00324CB8" w:rsidP="00A16296">
            <w:pPr>
              <w:tabs>
                <w:tab w:val="left" w:pos="3960"/>
              </w:tabs>
              <w:spacing w:after="60" w:line="20" w:lineRule="atLeast"/>
              <w:jc w:val="center"/>
              <w:rPr>
                <w:rFonts w:cs="Arial"/>
                <w:b/>
                <w:smallCaps/>
                <w:color w:val="FFFFFF" w:themeColor="background1"/>
                <w:szCs w:val="22"/>
              </w:rPr>
            </w:pPr>
          </w:p>
        </w:tc>
        <w:tc>
          <w:tcPr>
            <w:tcW w:w="2160" w:type="dxa"/>
            <w:tcBorders>
              <w:top w:val="nil"/>
              <w:left w:val="nil"/>
              <w:bottom w:val="single" w:sz="24" w:space="0" w:color="3FB44F"/>
              <w:right w:val="nil"/>
            </w:tcBorders>
            <w:shd w:val="clear" w:color="auto" w:fill="1E4959"/>
          </w:tcPr>
          <w:p w14:paraId="121A25AA" w14:textId="77777777" w:rsidR="00324CB8" w:rsidRPr="00F166AD" w:rsidRDefault="00324CB8" w:rsidP="00A16296">
            <w:pPr>
              <w:tabs>
                <w:tab w:val="left" w:pos="3960"/>
              </w:tabs>
              <w:spacing w:after="60" w:line="20" w:lineRule="atLeast"/>
              <w:jc w:val="center"/>
              <w:rPr>
                <w:rFonts w:cs="Arial"/>
                <w:b/>
                <w:smallCaps/>
                <w:color w:val="FFFFFF" w:themeColor="background1"/>
                <w:szCs w:val="22"/>
              </w:rPr>
            </w:pPr>
            <w:r w:rsidRPr="00F166AD">
              <w:rPr>
                <w:rFonts w:cs="Arial"/>
                <w:b/>
                <w:smallCaps/>
                <w:color w:val="FFFFFF" w:themeColor="background1"/>
                <w:szCs w:val="22"/>
              </w:rPr>
              <w:t>Value</w:t>
            </w:r>
            <w:r w:rsidRPr="00F166AD">
              <w:rPr>
                <w:rFonts w:cs="Arial"/>
                <w:b/>
                <w:smallCaps/>
                <w:color w:val="FFFFFF" w:themeColor="background1"/>
                <w:szCs w:val="22"/>
              </w:rPr>
              <w:br/>
              <w:t>Conclusion</w:t>
            </w:r>
          </w:p>
        </w:tc>
      </w:tr>
      <w:tr w:rsidR="00324CB8" w:rsidRPr="00F166AD" w14:paraId="14802278" w14:textId="77777777" w:rsidTr="00A16296">
        <w:trPr>
          <w:trHeight w:val="507"/>
        </w:trPr>
        <w:tc>
          <w:tcPr>
            <w:tcW w:w="4338" w:type="dxa"/>
            <w:tcBorders>
              <w:top w:val="single" w:sz="24" w:space="0" w:color="3FB44F"/>
              <w:left w:val="nil"/>
              <w:bottom w:val="single" w:sz="6" w:space="0" w:color="auto"/>
              <w:right w:val="nil"/>
            </w:tcBorders>
          </w:tcPr>
          <w:p w14:paraId="41D91134" w14:textId="77777777" w:rsidR="00324CB8" w:rsidRPr="00F166AD" w:rsidRDefault="00324CB8" w:rsidP="00324CB8">
            <w:pPr>
              <w:tabs>
                <w:tab w:val="left" w:pos="3960"/>
              </w:tabs>
              <w:spacing w:before="120"/>
              <w:jc w:val="left"/>
              <w:rPr>
                <w:rFonts w:cs="Arial"/>
                <w:b/>
                <w:szCs w:val="22"/>
              </w:rPr>
            </w:pPr>
            <w:r w:rsidRPr="00F166AD">
              <w:rPr>
                <w:rFonts w:cs="Arial"/>
                <w:b/>
                <w:szCs w:val="22"/>
              </w:rPr>
              <w:t>COST APPROACH</w:t>
            </w:r>
          </w:p>
        </w:tc>
        <w:tc>
          <w:tcPr>
            <w:tcW w:w="1530" w:type="dxa"/>
            <w:tcBorders>
              <w:top w:val="single" w:sz="24" w:space="0" w:color="3FB44F"/>
              <w:left w:val="nil"/>
              <w:bottom w:val="single" w:sz="6" w:space="0" w:color="auto"/>
              <w:right w:val="nil"/>
            </w:tcBorders>
          </w:tcPr>
          <w:p w14:paraId="3F75BC60" w14:textId="77777777" w:rsidR="00324CB8" w:rsidRPr="00F166AD" w:rsidRDefault="00324CB8" w:rsidP="00324CB8">
            <w:pPr>
              <w:tabs>
                <w:tab w:val="left" w:pos="3960"/>
              </w:tabs>
              <w:spacing w:before="60"/>
              <w:jc w:val="left"/>
              <w:rPr>
                <w:rFonts w:cs="Arial"/>
                <w:szCs w:val="22"/>
              </w:rPr>
            </w:pPr>
          </w:p>
        </w:tc>
        <w:tc>
          <w:tcPr>
            <w:tcW w:w="1440" w:type="dxa"/>
            <w:tcBorders>
              <w:top w:val="single" w:sz="24" w:space="0" w:color="3FB44F"/>
              <w:left w:val="nil"/>
              <w:bottom w:val="single" w:sz="6" w:space="0" w:color="auto"/>
              <w:right w:val="single" w:sz="6" w:space="0" w:color="auto"/>
            </w:tcBorders>
          </w:tcPr>
          <w:p w14:paraId="22C88977" w14:textId="77777777" w:rsidR="00324CB8" w:rsidRPr="00F166AD" w:rsidRDefault="00324CB8" w:rsidP="00324CB8">
            <w:pPr>
              <w:tabs>
                <w:tab w:val="left" w:pos="3960"/>
              </w:tabs>
              <w:spacing w:before="60"/>
              <w:jc w:val="right"/>
              <w:rPr>
                <w:rFonts w:cs="Arial"/>
                <w:szCs w:val="22"/>
              </w:rPr>
            </w:pPr>
          </w:p>
        </w:tc>
        <w:tc>
          <w:tcPr>
            <w:tcW w:w="2160" w:type="dxa"/>
            <w:tcBorders>
              <w:top w:val="single" w:sz="24" w:space="0" w:color="3FB44F"/>
              <w:left w:val="nil"/>
              <w:bottom w:val="single" w:sz="6" w:space="0" w:color="auto"/>
              <w:right w:val="nil"/>
            </w:tcBorders>
            <w:vAlign w:val="center"/>
          </w:tcPr>
          <w:p w14:paraId="024E64DD" w14:textId="76C2989B" w:rsidR="00324CB8" w:rsidRPr="00921244" w:rsidRDefault="00324CB8" w:rsidP="00324CB8">
            <w:pPr>
              <w:tabs>
                <w:tab w:val="left" w:pos="3960"/>
              </w:tabs>
              <w:spacing w:before="60" w:after="120"/>
              <w:jc w:val="center"/>
              <w:rPr>
                <w:rFonts w:cs="Arial"/>
                <w:b/>
                <w:bCs/>
                <w:szCs w:val="22"/>
                <w:highlight w:val="yellow"/>
              </w:rPr>
            </w:pPr>
            <w:r w:rsidRPr="0061753F">
              <w:rPr>
                <w:rFonts w:cs="Arial"/>
                <w:b/>
                <w:szCs w:val="22"/>
                <w:highlight w:val="yellow"/>
              </w:rPr>
              <w:t>$______</w:t>
            </w:r>
            <w:r>
              <w:rPr>
                <w:rFonts w:cs="Arial"/>
                <w:b/>
                <w:szCs w:val="22"/>
                <w:highlight w:val="yellow"/>
              </w:rPr>
              <w:t>__</w:t>
            </w:r>
            <w:r w:rsidRPr="0061753F">
              <w:rPr>
                <w:rFonts w:cs="Arial"/>
                <w:b/>
                <w:szCs w:val="22"/>
                <w:highlight w:val="yellow"/>
              </w:rPr>
              <w:t>___</w:t>
            </w:r>
          </w:p>
        </w:tc>
      </w:tr>
      <w:tr w:rsidR="00324CB8" w:rsidRPr="00F166AD" w14:paraId="2434CCE6" w14:textId="77777777" w:rsidTr="00A16296">
        <w:trPr>
          <w:trHeight w:val="80"/>
        </w:trPr>
        <w:tc>
          <w:tcPr>
            <w:tcW w:w="4338" w:type="dxa"/>
            <w:tcBorders>
              <w:top w:val="single" w:sz="6" w:space="0" w:color="auto"/>
              <w:left w:val="nil"/>
              <w:bottom w:val="single" w:sz="6" w:space="0" w:color="auto"/>
              <w:right w:val="nil"/>
            </w:tcBorders>
          </w:tcPr>
          <w:p w14:paraId="12B70135" w14:textId="77777777" w:rsidR="00324CB8" w:rsidRPr="00F166AD" w:rsidRDefault="00324CB8" w:rsidP="00324CB8">
            <w:pPr>
              <w:tabs>
                <w:tab w:val="left" w:pos="3960"/>
              </w:tabs>
              <w:spacing w:before="120" w:line="360" w:lineRule="auto"/>
              <w:rPr>
                <w:rFonts w:cs="Arial"/>
                <w:b/>
                <w:szCs w:val="22"/>
              </w:rPr>
            </w:pPr>
            <w:r w:rsidRPr="00F166AD">
              <w:rPr>
                <w:rFonts w:cs="Arial"/>
                <w:b/>
                <w:szCs w:val="22"/>
              </w:rPr>
              <w:t>SALES COMPARISON APPROACH</w:t>
            </w:r>
          </w:p>
        </w:tc>
        <w:tc>
          <w:tcPr>
            <w:tcW w:w="1530" w:type="dxa"/>
            <w:tcBorders>
              <w:top w:val="single" w:sz="6" w:space="0" w:color="auto"/>
              <w:left w:val="nil"/>
              <w:bottom w:val="single" w:sz="6" w:space="0" w:color="auto"/>
              <w:right w:val="nil"/>
            </w:tcBorders>
          </w:tcPr>
          <w:p w14:paraId="11B60DCC" w14:textId="77777777" w:rsidR="00324CB8" w:rsidRPr="00F166AD" w:rsidRDefault="00324CB8" w:rsidP="00324CB8">
            <w:pPr>
              <w:tabs>
                <w:tab w:val="left" w:pos="3960"/>
              </w:tabs>
              <w:spacing w:before="120" w:line="360" w:lineRule="auto"/>
              <w:jc w:val="left"/>
              <w:rPr>
                <w:rFonts w:cs="Arial"/>
                <w:szCs w:val="22"/>
              </w:rPr>
            </w:pPr>
          </w:p>
        </w:tc>
        <w:tc>
          <w:tcPr>
            <w:tcW w:w="1440" w:type="dxa"/>
            <w:tcBorders>
              <w:top w:val="single" w:sz="6" w:space="0" w:color="auto"/>
              <w:left w:val="nil"/>
              <w:bottom w:val="single" w:sz="6" w:space="0" w:color="auto"/>
              <w:right w:val="single" w:sz="6" w:space="0" w:color="auto"/>
            </w:tcBorders>
          </w:tcPr>
          <w:p w14:paraId="103BFFCA" w14:textId="77777777" w:rsidR="00324CB8" w:rsidRPr="00F166AD" w:rsidRDefault="00324CB8" w:rsidP="00324CB8">
            <w:pPr>
              <w:tabs>
                <w:tab w:val="left" w:pos="3960"/>
              </w:tabs>
              <w:spacing w:before="120" w:line="360" w:lineRule="auto"/>
              <w:jc w:val="center"/>
              <w:rPr>
                <w:rFonts w:cs="Arial"/>
                <w:b/>
                <w:szCs w:val="22"/>
              </w:rPr>
            </w:pPr>
          </w:p>
        </w:tc>
        <w:tc>
          <w:tcPr>
            <w:tcW w:w="2160" w:type="dxa"/>
            <w:tcBorders>
              <w:top w:val="single" w:sz="6" w:space="0" w:color="auto"/>
              <w:left w:val="nil"/>
              <w:bottom w:val="single" w:sz="6" w:space="0" w:color="auto"/>
              <w:right w:val="nil"/>
            </w:tcBorders>
          </w:tcPr>
          <w:p w14:paraId="68D09018" w14:textId="288AE17A" w:rsidR="00324CB8" w:rsidRPr="00930E0B" w:rsidRDefault="00324CB8" w:rsidP="00324CB8">
            <w:pPr>
              <w:tabs>
                <w:tab w:val="left" w:pos="3960"/>
              </w:tabs>
              <w:spacing w:before="120" w:line="360" w:lineRule="auto"/>
              <w:jc w:val="center"/>
              <w:rPr>
                <w:rFonts w:cs="Arial"/>
                <w:b/>
                <w:bCs/>
                <w:szCs w:val="22"/>
                <w:highlight w:val="yellow"/>
              </w:rPr>
            </w:pPr>
            <w:r w:rsidRPr="0061753F">
              <w:rPr>
                <w:rFonts w:cs="Arial"/>
                <w:b/>
                <w:szCs w:val="22"/>
                <w:highlight w:val="yellow"/>
              </w:rPr>
              <w:t>$______</w:t>
            </w:r>
            <w:r>
              <w:rPr>
                <w:rFonts w:cs="Arial"/>
                <w:b/>
                <w:szCs w:val="22"/>
                <w:highlight w:val="yellow"/>
              </w:rPr>
              <w:t>__</w:t>
            </w:r>
            <w:r w:rsidRPr="0061753F">
              <w:rPr>
                <w:rFonts w:cs="Arial"/>
                <w:b/>
                <w:szCs w:val="22"/>
                <w:highlight w:val="yellow"/>
              </w:rPr>
              <w:t>___</w:t>
            </w:r>
          </w:p>
        </w:tc>
      </w:tr>
      <w:tr w:rsidR="00324CB8" w:rsidRPr="009519CB" w14:paraId="3467287B" w14:textId="77777777" w:rsidTr="00A16296">
        <w:trPr>
          <w:trHeight w:val="80"/>
        </w:trPr>
        <w:tc>
          <w:tcPr>
            <w:tcW w:w="4338" w:type="dxa"/>
            <w:tcBorders>
              <w:top w:val="single" w:sz="6" w:space="0" w:color="auto"/>
              <w:left w:val="nil"/>
              <w:bottom w:val="double" w:sz="6" w:space="0" w:color="auto"/>
              <w:right w:val="nil"/>
            </w:tcBorders>
          </w:tcPr>
          <w:p w14:paraId="18A567C7" w14:textId="77777777" w:rsidR="00324CB8" w:rsidRPr="009519CB" w:rsidRDefault="00324CB8" w:rsidP="00324CB8">
            <w:pPr>
              <w:tabs>
                <w:tab w:val="left" w:pos="3960"/>
              </w:tabs>
              <w:spacing w:before="120" w:line="360" w:lineRule="auto"/>
              <w:rPr>
                <w:rFonts w:cs="Arial"/>
                <w:b/>
                <w:szCs w:val="22"/>
              </w:rPr>
            </w:pPr>
            <w:r w:rsidRPr="009519CB">
              <w:rPr>
                <w:rFonts w:cs="Arial"/>
                <w:b/>
                <w:szCs w:val="22"/>
              </w:rPr>
              <w:t xml:space="preserve">INCOME APPROACH </w:t>
            </w:r>
          </w:p>
        </w:tc>
        <w:tc>
          <w:tcPr>
            <w:tcW w:w="1530" w:type="dxa"/>
            <w:tcBorders>
              <w:top w:val="single" w:sz="6" w:space="0" w:color="auto"/>
              <w:left w:val="nil"/>
              <w:bottom w:val="double" w:sz="6" w:space="0" w:color="auto"/>
              <w:right w:val="nil"/>
            </w:tcBorders>
          </w:tcPr>
          <w:p w14:paraId="1C8AF711" w14:textId="77777777" w:rsidR="00324CB8" w:rsidRPr="009519CB" w:rsidRDefault="00324CB8" w:rsidP="00324CB8">
            <w:pPr>
              <w:tabs>
                <w:tab w:val="left" w:pos="3960"/>
              </w:tabs>
              <w:spacing w:before="120" w:line="360" w:lineRule="auto"/>
              <w:jc w:val="left"/>
              <w:rPr>
                <w:rFonts w:cs="Arial"/>
                <w:szCs w:val="22"/>
              </w:rPr>
            </w:pPr>
          </w:p>
        </w:tc>
        <w:tc>
          <w:tcPr>
            <w:tcW w:w="1440" w:type="dxa"/>
            <w:tcBorders>
              <w:top w:val="single" w:sz="6" w:space="0" w:color="auto"/>
              <w:left w:val="nil"/>
              <w:bottom w:val="double" w:sz="6" w:space="0" w:color="auto"/>
              <w:right w:val="single" w:sz="6" w:space="0" w:color="auto"/>
            </w:tcBorders>
          </w:tcPr>
          <w:p w14:paraId="1A34FC61" w14:textId="77777777" w:rsidR="00324CB8" w:rsidRPr="009519CB" w:rsidRDefault="00324CB8" w:rsidP="00324CB8">
            <w:pPr>
              <w:tabs>
                <w:tab w:val="left" w:pos="3960"/>
              </w:tabs>
              <w:spacing w:before="120" w:line="360" w:lineRule="auto"/>
              <w:jc w:val="center"/>
              <w:rPr>
                <w:rFonts w:cs="Arial"/>
                <w:b/>
                <w:szCs w:val="22"/>
              </w:rPr>
            </w:pPr>
          </w:p>
        </w:tc>
        <w:tc>
          <w:tcPr>
            <w:tcW w:w="2160" w:type="dxa"/>
            <w:tcBorders>
              <w:top w:val="single" w:sz="6" w:space="0" w:color="auto"/>
              <w:left w:val="nil"/>
              <w:bottom w:val="double" w:sz="6" w:space="0" w:color="auto"/>
              <w:right w:val="nil"/>
            </w:tcBorders>
          </w:tcPr>
          <w:p w14:paraId="7DC2C75D" w14:textId="4E54338F" w:rsidR="00324CB8" w:rsidRPr="00921244" w:rsidRDefault="00324CB8" w:rsidP="00324CB8">
            <w:pPr>
              <w:tabs>
                <w:tab w:val="left" w:pos="3960"/>
              </w:tabs>
              <w:spacing w:before="120" w:line="360" w:lineRule="auto"/>
              <w:jc w:val="center"/>
              <w:rPr>
                <w:rFonts w:cs="Arial"/>
                <w:b/>
                <w:bCs/>
                <w:szCs w:val="22"/>
                <w:highlight w:val="yellow"/>
              </w:rPr>
            </w:pPr>
            <w:r w:rsidRPr="0061753F">
              <w:rPr>
                <w:rFonts w:cs="Arial"/>
                <w:b/>
                <w:szCs w:val="22"/>
                <w:highlight w:val="yellow"/>
              </w:rPr>
              <w:t>$_______</w:t>
            </w:r>
            <w:r>
              <w:rPr>
                <w:rFonts w:cs="Arial"/>
                <w:b/>
                <w:szCs w:val="22"/>
                <w:highlight w:val="yellow"/>
              </w:rPr>
              <w:t>__</w:t>
            </w:r>
            <w:r w:rsidRPr="0061753F">
              <w:rPr>
                <w:rFonts w:cs="Arial"/>
                <w:b/>
                <w:szCs w:val="22"/>
                <w:highlight w:val="yellow"/>
              </w:rPr>
              <w:t>__</w:t>
            </w:r>
          </w:p>
        </w:tc>
      </w:tr>
    </w:tbl>
    <w:p w14:paraId="420B58F8" w14:textId="77777777" w:rsidR="002F01C5" w:rsidRDefault="002F01C5" w:rsidP="002F01C5">
      <w:pPr>
        <w:rPr>
          <w:rFonts w:cs="Segoe UI"/>
        </w:rPr>
      </w:pPr>
    </w:p>
    <w:p w14:paraId="14A7FEB5" w14:textId="77777777" w:rsidR="002F01C5" w:rsidRDefault="002F01C5" w:rsidP="002F01C5">
      <w:pPr>
        <w:rPr>
          <w:rFonts w:cs="Segoe UI"/>
        </w:rPr>
      </w:pPr>
    </w:p>
    <w:p w14:paraId="0BE30FDE" w14:textId="2C8BE3C9" w:rsidR="002F01C5" w:rsidRPr="00DD7C5D" w:rsidRDefault="002F01C5" w:rsidP="002F01C5">
      <w:pPr>
        <w:rPr>
          <w:rFonts w:cs="Segoe UI"/>
          <w:b/>
          <w:bCs/>
        </w:rPr>
      </w:pPr>
      <w:r w:rsidRPr="005054EB">
        <w:rPr>
          <w:rFonts w:cs="Segoe UI"/>
          <w:b/>
          <w:bCs/>
          <w:highlight w:val="green"/>
        </w:rPr>
        <w:t xml:space="preserve">Option </w:t>
      </w:r>
      <w:r>
        <w:rPr>
          <w:rFonts w:cs="Segoe UI"/>
          <w:b/>
          <w:bCs/>
          <w:highlight w:val="green"/>
        </w:rPr>
        <w:t>1</w:t>
      </w:r>
      <w:r w:rsidRPr="005054EB">
        <w:rPr>
          <w:rFonts w:cs="Segoe UI"/>
          <w:b/>
          <w:bCs/>
          <w:highlight w:val="green"/>
        </w:rPr>
        <w:t xml:space="preserve"> – Concluded </w:t>
      </w:r>
      <w:r w:rsidRPr="002F01C5">
        <w:rPr>
          <w:rFonts w:cs="Segoe UI"/>
          <w:b/>
          <w:bCs/>
          <w:highlight w:val="green"/>
        </w:rPr>
        <w:t xml:space="preserve">Prospective </w:t>
      </w:r>
      <w:r>
        <w:rPr>
          <w:rFonts w:cs="Segoe UI"/>
          <w:b/>
          <w:bCs/>
          <w:highlight w:val="green"/>
        </w:rPr>
        <w:t xml:space="preserve">Value </w:t>
      </w:r>
      <w:r w:rsidRPr="002F01C5">
        <w:rPr>
          <w:rFonts w:cs="Segoe UI"/>
          <w:b/>
          <w:bCs/>
          <w:highlight w:val="green"/>
        </w:rPr>
        <w:t>Overall</w:t>
      </w:r>
    </w:p>
    <w:p w14:paraId="20E46E46" w14:textId="77777777" w:rsidR="002F01C5" w:rsidRPr="00D7083B" w:rsidRDefault="002F01C5" w:rsidP="002F01C5">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Concluded </w:t>
      </w:r>
      <w:r w:rsidRPr="00D7083B">
        <w:rPr>
          <w:rFonts w:asciiTheme="minorHAnsi" w:hAnsiTheme="minorHAnsi" w:cs="Arial"/>
          <w:b w:val="0"/>
          <w:color w:val="1E4959"/>
          <w:spacing w:val="0"/>
          <w:kern w:val="20"/>
          <w:sz w:val="28"/>
          <w:szCs w:val="22"/>
        </w:rPr>
        <w:t xml:space="preserve">Prospective Market Value </w:t>
      </w:r>
      <w:r>
        <w:rPr>
          <w:rFonts w:asciiTheme="minorHAnsi" w:hAnsiTheme="minorHAnsi" w:cs="Arial"/>
          <w:b w:val="0"/>
          <w:color w:val="1E4959"/>
          <w:spacing w:val="0"/>
          <w:kern w:val="20"/>
          <w:sz w:val="28"/>
          <w:szCs w:val="22"/>
        </w:rPr>
        <w:t>– At Completion</w:t>
      </w:r>
    </w:p>
    <w:p w14:paraId="766736DD" w14:textId="77777777" w:rsidR="002F01C5" w:rsidRPr="00D7083B" w:rsidRDefault="002F01C5" w:rsidP="002F01C5">
      <w:pPr>
        <w:rPr>
          <w:rFonts w:cs="Arial"/>
          <w:szCs w:val="22"/>
        </w:rPr>
      </w:pPr>
      <w:r w:rsidRPr="00324CB8">
        <w:rPr>
          <w:rFonts w:cs="Arial"/>
          <w:szCs w:val="22"/>
          <w:highlight w:val="yellow"/>
        </w:rPr>
        <w:t>Due to the subject’s much stronger appeal to an owner-user due to its location, size and configuration, as well as the reasonably strong reliability and credibility of the analyzed sale date, primary emphasis is placed on the Sales Comparison Approach, with supportive emphasis provided by the Cost Approach. Recognizing the subject’s much lower appeal to an investor, secondary emphasis is placed on the Income Approach.</w:t>
      </w:r>
      <w:r w:rsidRPr="00D7083B">
        <w:rPr>
          <w:rFonts w:cs="Arial"/>
          <w:szCs w:val="22"/>
        </w:rPr>
        <w:t xml:space="preserve">  </w:t>
      </w:r>
    </w:p>
    <w:p w14:paraId="70B0A867" w14:textId="77777777" w:rsidR="002F01C5" w:rsidRPr="00D7083B" w:rsidRDefault="002F01C5" w:rsidP="002F01C5">
      <w:pPr>
        <w:rPr>
          <w:rFonts w:cs="Arial"/>
          <w:szCs w:val="22"/>
        </w:rPr>
      </w:pPr>
    </w:p>
    <w:p w14:paraId="4E4EE576" w14:textId="47D40A17" w:rsidR="002F01C5" w:rsidRPr="00D7083B" w:rsidRDefault="002F01C5" w:rsidP="002F01C5">
      <w:pPr>
        <w:rPr>
          <w:rFonts w:cs="Arial"/>
          <w:szCs w:val="22"/>
        </w:rPr>
      </w:pPr>
      <w:r w:rsidRPr="00D7083B">
        <w:rPr>
          <w:rFonts w:cs="Arial"/>
          <w:szCs w:val="22"/>
        </w:rPr>
        <w:t xml:space="preserve">Based on the research, analyses and conclusions contained within this report, it is the appraiser’s opinion that the </w:t>
      </w:r>
      <w:r w:rsidRPr="00D7083B">
        <w:rPr>
          <w:rFonts w:cs="Arial"/>
          <w:b/>
          <w:szCs w:val="22"/>
        </w:rPr>
        <w:t>concluded prospective market value</w:t>
      </w:r>
      <w:r>
        <w:rPr>
          <w:rFonts w:cs="Arial"/>
          <w:b/>
          <w:szCs w:val="22"/>
        </w:rPr>
        <w:t xml:space="preserve"> at completion</w:t>
      </w:r>
      <w:r w:rsidRPr="00D7083B">
        <w:rPr>
          <w:rFonts w:cs="Arial"/>
          <w:b/>
          <w:szCs w:val="22"/>
        </w:rPr>
        <w:t xml:space="preserve"> </w:t>
      </w:r>
      <w:r w:rsidRPr="00D7083B">
        <w:rPr>
          <w:rFonts w:cs="Arial"/>
          <w:szCs w:val="22"/>
        </w:rPr>
        <w:t xml:space="preserve">of the fee simple </w:t>
      </w:r>
      <w:r w:rsidRPr="00711329">
        <w:rPr>
          <w:rFonts w:cs="Arial"/>
          <w:szCs w:val="22"/>
        </w:rPr>
        <w:t xml:space="preserve">interest in the </w:t>
      </w:r>
      <w:r w:rsidRPr="00324CB8">
        <w:rPr>
          <w:rFonts w:cs="Arial"/>
          <w:b/>
          <w:bCs/>
          <w:szCs w:val="22"/>
        </w:rPr>
        <w:t>subject project</w:t>
      </w:r>
      <w:r w:rsidRPr="00711329">
        <w:rPr>
          <w:rFonts w:cs="Arial"/>
          <w:szCs w:val="22"/>
        </w:rPr>
        <w:t xml:space="preserve">, as of </w:t>
      </w:r>
      <w:r w:rsidR="006377C4">
        <w:rPr>
          <w:rFonts w:cs="Arial"/>
          <w:szCs w:val="22"/>
        </w:rPr>
        <w:t>${</w:t>
      </w:r>
      <w:proofErr w:type="spellStart"/>
      <w:r w:rsidR="006377C4">
        <w:rPr>
          <w:rFonts w:cs="Arial"/>
          <w:szCs w:val="22"/>
        </w:rPr>
        <w:t>eff_date_value</w:t>
      </w:r>
      <w:proofErr w:type="spellEnd"/>
      <w:r w:rsidR="006377C4">
        <w:rPr>
          <w:rFonts w:cs="Arial"/>
          <w:szCs w:val="22"/>
        </w:rPr>
        <w:t>}</w:t>
      </w:r>
      <w:r w:rsidRPr="00711329">
        <w:rPr>
          <w:rFonts w:cs="Arial"/>
          <w:szCs w:val="22"/>
        </w:rPr>
        <w:t xml:space="preserve">, should be </w:t>
      </w:r>
      <w:r>
        <w:rPr>
          <w:rFonts w:cs="Arial"/>
          <w:szCs w:val="22"/>
        </w:rPr>
        <w:t>as follows (</w:t>
      </w:r>
      <w:sdt>
        <w:sdtPr>
          <w:rPr>
            <w:rFonts w:cs="Arial"/>
            <w:szCs w:val="22"/>
            <w:highlight w:val="green"/>
          </w:rPr>
          <w:alias w:val="Rounded"/>
          <w:tag w:val="Rounded"/>
          <w:id w:val="2074921411"/>
          <w:placeholder>
            <w:docPart w:val="3A4B7D724B8E4458ABF4969F828DE572"/>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p>
    <w:p w14:paraId="43C5BF1A" w14:textId="77777777" w:rsidR="002F01C5" w:rsidRPr="00975A26" w:rsidRDefault="002F01C5" w:rsidP="002F01C5">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670"/>
        <w:gridCol w:w="1599"/>
      </w:tblGrid>
      <w:tr w:rsidR="002F01C5" w:rsidRPr="000754FA" w14:paraId="1BC4D2BD" w14:textId="77777777" w:rsidTr="002F01C5">
        <w:trPr>
          <w:jc w:val="center"/>
        </w:trPr>
        <w:tc>
          <w:tcPr>
            <w:tcW w:w="5670" w:type="dxa"/>
            <w:tcBorders>
              <w:bottom w:val="single" w:sz="24" w:space="0" w:color="3FB44F"/>
            </w:tcBorders>
            <w:shd w:val="clear" w:color="auto" w:fill="1E4959"/>
          </w:tcPr>
          <w:p w14:paraId="14411D1E" w14:textId="77777777" w:rsidR="002F01C5" w:rsidRPr="000754FA" w:rsidRDefault="002F01C5"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599" w:type="dxa"/>
            <w:tcBorders>
              <w:bottom w:val="single" w:sz="24" w:space="0" w:color="3FB44F"/>
            </w:tcBorders>
            <w:shd w:val="clear" w:color="auto" w:fill="1E4959"/>
          </w:tcPr>
          <w:p w14:paraId="2106C51E" w14:textId="77777777" w:rsidR="002F01C5" w:rsidRPr="000754FA" w:rsidRDefault="002F01C5" w:rsidP="00A16296">
            <w:pPr>
              <w:widowControl w:val="0"/>
              <w:tabs>
                <w:tab w:val="left" w:pos="0"/>
                <w:tab w:val="left" w:pos="259"/>
                <w:tab w:val="left" w:pos="518"/>
              </w:tabs>
              <w:spacing w:line="273" w:lineRule="exact"/>
              <w:jc w:val="right"/>
              <w:rPr>
                <w:rFonts w:cs="Arial"/>
                <w:szCs w:val="22"/>
              </w:rPr>
            </w:pPr>
          </w:p>
        </w:tc>
      </w:tr>
      <w:tr w:rsidR="002F01C5" w:rsidRPr="00061DC5" w14:paraId="15557803" w14:textId="77777777" w:rsidTr="002F01C5">
        <w:trPr>
          <w:jc w:val="center"/>
        </w:trPr>
        <w:tc>
          <w:tcPr>
            <w:tcW w:w="5670" w:type="dxa"/>
            <w:tcBorders>
              <w:top w:val="single" w:sz="6" w:space="0" w:color="auto"/>
              <w:bottom w:val="double" w:sz="4" w:space="0" w:color="auto"/>
              <w:right w:val="single" w:sz="6" w:space="0" w:color="auto"/>
            </w:tcBorders>
          </w:tcPr>
          <w:p w14:paraId="04EC4D85" w14:textId="5C38FAA1" w:rsidR="002F01C5" w:rsidRPr="009C1DF6" w:rsidRDefault="002F01C5" w:rsidP="00A16296">
            <w:pPr>
              <w:pStyle w:val="Footer"/>
              <w:tabs>
                <w:tab w:val="clear" w:pos="4320"/>
                <w:tab w:val="clear" w:pos="8640"/>
                <w:tab w:val="left" w:pos="0"/>
                <w:tab w:val="left" w:pos="259"/>
                <w:tab w:val="left" w:pos="518"/>
              </w:tabs>
              <w:spacing w:line="440" w:lineRule="exact"/>
              <w:rPr>
                <w:rFonts w:cs="Segoe UI"/>
                <w:b/>
              </w:rPr>
            </w:pPr>
            <w:r>
              <w:rPr>
                <w:rFonts w:cs="Segoe UI"/>
                <w:b/>
              </w:rPr>
              <w:t xml:space="preserve">Concluded Prospective Market Value – At Completion </w:t>
            </w:r>
          </w:p>
        </w:tc>
        <w:tc>
          <w:tcPr>
            <w:tcW w:w="1599" w:type="dxa"/>
            <w:tcBorders>
              <w:top w:val="single" w:sz="6" w:space="0" w:color="auto"/>
              <w:left w:val="nil"/>
              <w:bottom w:val="double" w:sz="4" w:space="0" w:color="auto"/>
            </w:tcBorders>
          </w:tcPr>
          <w:p w14:paraId="7866A85A" w14:textId="77777777" w:rsidR="002F01C5" w:rsidRPr="002F01C5" w:rsidRDefault="002F01C5" w:rsidP="002F01C5">
            <w:pPr>
              <w:widowControl w:val="0"/>
              <w:tabs>
                <w:tab w:val="left" w:pos="0"/>
                <w:tab w:val="left" w:pos="259"/>
                <w:tab w:val="left" w:pos="518"/>
              </w:tabs>
              <w:spacing w:after="58" w:line="480" w:lineRule="exact"/>
              <w:jc w:val="center"/>
              <w:rPr>
                <w:rFonts w:cs="Arial"/>
                <w:szCs w:val="22"/>
                <w:highlight w:val="yellow"/>
              </w:rPr>
            </w:pPr>
            <w:r w:rsidRPr="002F01C5">
              <w:rPr>
                <w:rFonts w:cs="Arial"/>
                <w:b/>
                <w:szCs w:val="22"/>
                <w:highlight w:val="yellow"/>
              </w:rPr>
              <w:t>$________</w:t>
            </w:r>
          </w:p>
        </w:tc>
      </w:tr>
    </w:tbl>
    <w:p w14:paraId="31B719BA" w14:textId="77777777" w:rsidR="002F01C5" w:rsidRPr="00D7083B" w:rsidRDefault="002F01C5" w:rsidP="002F01C5">
      <w:pPr>
        <w:rPr>
          <w:rFonts w:cs="Arial"/>
          <w:szCs w:val="22"/>
        </w:rPr>
      </w:pPr>
    </w:p>
    <w:p w14:paraId="5862B2AF" w14:textId="77777777" w:rsidR="002F01C5" w:rsidRPr="00D7083B" w:rsidRDefault="002F01C5" w:rsidP="002F01C5">
      <w:pPr>
        <w:rPr>
          <w:rFonts w:cs="Arial"/>
          <w:szCs w:val="22"/>
        </w:rPr>
      </w:pPr>
    </w:p>
    <w:p w14:paraId="5D6DD3AA" w14:textId="58B27EC1" w:rsidR="002F01C5" w:rsidRDefault="002F01C5" w:rsidP="002F01C5">
      <w:pPr>
        <w:rPr>
          <w:rFonts w:cs="Arial"/>
          <w:szCs w:val="22"/>
        </w:rPr>
      </w:pPr>
    </w:p>
    <w:p w14:paraId="52B5A654" w14:textId="77777777" w:rsidR="002F01C5" w:rsidRPr="00D7083B" w:rsidRDefault="002F01C5" w:rsidP="002F01C5">
      <w:pPr>
        <w:rPr>
          <w:rFonts w:cs="Arial"/>
          <w:szCs w:val="22"/>
        </w:rPr>
      </w:pPr>
    </w:p>
    <w:p w14:paraId="595E16C5" w14:textId="77777777" w:rsidR="002F01C5" w:rsidRPr="00D7083B" w:rsidRDefault="002F01C5" w:rsidP="002F01C5">
      <w:pPr>
        <w:rPr>
          <w:rFonts w:cs="Arial"/>
          <w:szCs w:val="22"/>
        </w:rPr>
      </w:pPr>
    </w:p>
    <w:p w14:paraId="4860F15E" w14:textId="2FBF491F" w:rsidR="002F01C5" w:rsidRPr="00DD7C5D" w:rsidRDefault="002F01C5" w:rsidP="002F01C5">
      <w:pPr>
        <w:rPr>
          <w:rFonts w:cs="Segoe UI"/>
          <w:b/>
          <w:bCs/>
        </w:rPr>
      </w:pPr>
      <w:r w:rsidRPr="005054EB">
        <w:rPr>
          <w:rFonts w:cs="Segoe UI"/>
          <w:b/>
          <w:bCs/>
          <w:highlight w:val="green"/>
        </w:rPr>
        <w:lastRenderedPageBreak/>
        <w:t xml:space="preserve">Option </w:t>
      </w:r>
      <w:r>
        <w:rPr>
          <w:rFonts w:cs="Segoe UI"/>
          <w:b/>
          <w:bCs/>
          <w:highlight w:val="green"/>
        </w:rPr>
        <w:t>2</w:t>
      </w:r>
      <w:r w:rsidRPr="005054EB">
        <w:rPr>
          <w:rFonts w:cs="Segoe UI"/>
          <w:b/>
          <w:bCs/>
          <w:highlight w:val="green"/>
        </w:rPr>
        <w:t xml:space="preserve"> – Concluded </w:t>
      </w:r>
      <w:r>
        <w:rPr>
          <w:rFonts w:cs="Segoe UI"/>
          <w:b/>
          <w:bCs/>
          <w:highlight w:val="green"/>
        </w:rPr>
        <w:t>Prospective Value (Surplus – Excess Land</w:t>
      </w:r>
      <w:r w:rsidRPr="005054EB">
        <w:rPr>
          <w:rFonts w:cs="Segoe UI"/>
          <w:b/>
          <w:bCs/>
          <w:highlight w:val="green"/>
        </w:rPr>
        <w:t>)</w:t>
      </w:r>
    </w:p>
    <w:p w14:paraId="7488CD86" w14:textId="77777777" w:rsidR="00324CB8" w:rsidRPr="00D7083B" w:rsidRDefault="00324CB8" w:rsidP="00324CB8">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Concluded </w:t>
      </w:r>
      <w:r w:rsidRPr="00D7083B">
        <w:rPr>
          <w:rFonts w:asciiTheme="minorHAnsi" w:hAnsiTheme="minorHAnsi" w:cs="Arial"/>
          <w:b w:val="0"/>
          <w:color w:val="1E4959"/>
          <w:spacing w:val="0"/>
          <w:kern w:val="20"/>
          <w:sz w:val="28"/>
          <w:szCs w:val="22"/>
        </w:rPr>
        <w:t xml:space="preserve">Prospective Market Value </w:t>
      </w:r>
      <w:r>
        <w:rPr>
          <w:rFonts w:asciiTheme="minorHAnsi" w:hAnsiTheme="minorHAnsi" w:cs="Arial"/>
          <w:b w:val="0"/>
          <w:color w:val="1E4959"/>
          <w:spacing w:val="0"/>
          <w:kern w:val="20"/>
          <w:sz w:val="28"/>
          <w:szCs w:val="22"/>
        </w:rPr>
        <w:t>– At Completion</w:t>
      </w:r>
    </w:p>
    <w:p w14:paraId="3F417B86" w14:textId="77777777" w:rsidR="00324CB8" w:rsidRPr="00D7083B" w:rsidRDefault="00324CB8" w:rsidP="00324CB8">
      <w:pPr>
        <w:rPr>
          <w:rFonts w:cs="Arial"/>
          <w:szCs w:val="22"/>
        </w:rPr>
      </w:pPr>
      <w:r w:rsidRPr="00324CB8">
        <w:rPr>
          <w:rFonts w:cs="Arial"/>
          <w:szCs w:val="22"/>
          <w:highlight w:val="yellow"/>
        </w:rPr>
        <w:t>Due to the subject’s much stronger appeal to an owner-user due to its location, size and configuration, as well as the reasonably strong reliability and credibility of the analyzed sale date, primary emphasis is placed on the Sales Comparison Approach, with supportive emphasis provided by the Cost Approach. Recognizing the subject’s much lower appeal to an investor, secondary emphasis is placed on the Income Approach.</w:t>
      </w:r>
      <w:r w:rsidRPr="00D7083B">
        <w:rPr>
          <w:rFonts w:cs="Arial"/>
          <w:szCs w:val="22"/>
        </w:rPr>
        <w:t xml:space="preserve">  </w:t>
      </w:r>
    </w:p>
    <w:p w14:paraId="4E2CA89C" w14:textId="77777777" w:rsidR="00324CB8" w:rsidRPr="00D7083B" w:rsidRDefault="00324CB8" w:rsidP="00324CB8">
      <w:pPr>
        <w:rPr>
          <w:rFonts w:cs="Arial"/>
          <w:szCs w:val="22"/>
        </w:rPr>
      </w:pPr>
    </w:p>
    <w:p w14:paraId="224D35DA" w14:textId="52C771D9" w:rsidR="00324CB8" w:rsidRDefault="00324CB8" w:rsidP="00324CB8">
      <w:pPr>
        <w:rPr>
          <w:rFonts w:cs="Arial"/>
          <w:szCs w:val="22"/>
        </w:rPr>
      </w:pPr>
      <w:r w:rsidRPr="00D7083B">
        <w:rPr>
          <w:rFonts w:cs="Arial"/>
          <w:szCs w:val="22"/>
        </w:rPr>
        <w:t xml:space="preserve">Based on the research, analyses and conclusions contained within this report, it is the appraiser’s opinion that the </w:t>
      </w:r>
      <w:r w:rsidRPr="00D7083B">
        <w:rPr>
          <w:rFonts w:cs="Arial"/>
          <w:b/>
          <w:szCs w:val="22"/>
        </w:rPr>
        <w:t>concluded prospective market valu</w:t>
      </w:r>
      <w:r w:rsidR="002F01C5">
        <w:rPr>
          <w:rFonts w:cs="Arial"/>
          <w:b/>
          <w:szCs w:val="22"/>
        </w:rPr>
        <w:t>e at completion</w:t>
      </w:r>
      <w:r w:rsidRPr="00D7083B">
        <w:rPr>
          <w:rFonts w:cs="Arial"/>
          <w:b/>
          <w:szCs w:val="22"/>
        </w:rPr>
        <w:t xml:space="preserve"> </w:t>
      </w:r>
      <w:r w:rsidRPr="00D7083B">
        <w:rPr>
          <w:rFonts w:cs="Arial"/>
          <w:szCs w:val="22"/>
        </w:rPr>
        <w:t xml:space="preserve">of the fee simple </w:t>
      </w:r>
      <w:r w:rsidRPr="00711329">
        <w:rPr>
          <w:rFonts w:cs="Arial"/>
          <w:szCs w:val="22"/>
        </w:rPr>
        <w:t xml:space="preserve">interest in the </w:t>
      </w:r>
      <w:r w:rsidRPr="00324CB8">
        <w:rPr>
          <w:rFonts w:cs="Arial"/>
          <w:b/>
          <w:bCs/>
          <w:szCs w:val="22"/>
        </w:rPr>
        <w:t>subject project</w:t>
      </w:r>
      <w:r w:rsidRPr="00711329">
        <w:rPr>
          <w:rFonts w:cs="Arial"/>
          <w:szCs w:val="22"/>
        </w:rPr>
        <w:t xml:space="preserve"> (</w:t>
      </w:r>
      <w:r w:rsidRPr="00324CB8">
        <w:rPr>
          <w:rFonts w:cs="Arial"/>
          <w:szCs w:val="22"/>
        </w:rPr>
        <w:t>primary site / building only</w:t>
      </w:r>
      <w:r w:rsidRPr="00711329">
        <w:rPr>
          <w:rFonts w:cs="Arial"/>
          <w:szCs w:val="22"/>
        </w:rPr>
        <w:t xml:space="preserve">), as of </w:t>
      </w:r>
      <w:r w:rsidR="006377C4">
        <w:rPr>
          <w:rFonts w:cs="Arial"/>
          <w:szCs w:val="22"/>
        </w:rPr>
        <w:t>${</w:t>
      </w:r>
      <w:proofErr w:type="spellStart"/>
      <w:r w:rsidR="006377C4">
        <w:rPr>
          <w:rFonts w:cs="Arial"/>
          <w:szCs w:val="22"/>
        </w:rPr>
        <w:t>eff_date_value</w:t>
      </w:r>
      <w:proofErr w:type="spellEnd"/>
      <w:r w:rsidR="006377C4">
        <w:rPr>
          <w:rFonts w:cs="Arial"/>
          <w:szCs w:val="22"/>
        </w:rPr>
        <w:t>}</w:t>
      </w:r>
      <w:r w:rsidRPr="00711329">
        <w:rPr>
          <w:rFonts w:cs="Arial"/>
          <w:szCs w:val="22"/>
        </w:rPr>
        <w:t xml:space="preserve">, should be </w:t>
      </w:r>
      <w:r w:rsidRPr="00324CB8">
        <w:rPr>
          <w:rFonts w:cs="Arial"/>
          <w:b/>
          <w:szCs w:val="22"/>
          <w:highlight w:val="yellow"/>
        </w:rPr>
        <w:t>$__________</w:t>
      </w:r>
      <w:r w:rsidRPr="007E2BEE">
        <w:rPr>
          <w:rFonts w:cs="Arial"/>
          <w:szCs w:val="22"/>
        </w:rPr>
        <w:t>.</w:t>
      </w:r>
      <w:r>
        <w:rPr>
          <w:rFonts w:cs="Arial"/>
          <w:szCs w:val="22"/>
        </w:rPr>
        <w:t xml:space="preserve">  </w:t>
      </w:r>
    </w:p>
    <w:p w14:paraId="0717A31F" w14:textId="77777777" w:rsidR="00324CB8" w:rsidRDefault="00324CB8" w:rsidP="00324CB8">
      <w:pPr>
        <w:rPr>
          <w:rFonts w:cs="Arial"/>
          <w:szCs w:val="22"/>
        </w:rPr>
      </w:pPr>
    </w:p>
    <w:p w14:paraId="30D99535" w14:textId="460CEF74" w:rsidR="00324CB8" w:rsidRPr="00D7083B" w:rsidRDefault="00324CB8" w:rsidP="00324CB8">
      <w:pPr>
        <w:rPr>
          <w:rFonts w:cs="Arial"/>
          <w:szCs w:val="22"/>
        </w:rPr>
      </w:pPr>
      <w:r>
        <w:rPr>
          <w:rFonts w:cs="Arial"/>
          <w:szCs w:val="22"/>
        </w:rPr>
        <w:t xml:space="preserve">Adding the previously concluded </w:t>
      </w:r>
      <w:sdt>
        <w:sdtPr>
          <w:rPr>
            <w:rFonts w:cs="Arial"/>
            <w:szCs w:val="22"/>
            <w:highlight w:val="green"/>
          </w:rPr>
          <w:alias w:val="Surplus - Excess"/>
          <w:tag w:val="Surplus - Excess"/>
          <w:id w:val="1923612819"/>
          <w:placeholder>
            <w:docPart w:val="DefaultPlaceholder_-1854013438"/>
          </w:placeholder>
          <w:dropDownList>
            <w:listItem w:value="Choose an item."/>
            <w:listItem w:displayText="excess land" w:value="excess land"/>
            <w:listItem w:displayText="surplus land" w:value="surplus land"/>
            <w:listItem w:displayText="surplus land / site improvments" w:value="surplus land / site improvments"/>
          </w:dropDownList>
        </w:sdtPr>
        <w:sdtEndPr/>
        <w:sdtContent>
          <w:r w:rsidRPr="00324CB8">
            <w:rPr>
              <w:rFonts w:cs="Arial"/>
              <w:szCs w:val="22"/>
              <w:highlight w:val="green"/>
            </w:rPr>
            <w:t>surplus land</w:t>
          </w:r>
        </w:sdtContent>
      </w:sdt>
      <w:r>
        <w:rPr>
          <w:rFonts w:cs="Arial"/>
          <w:szCs w:val="22"/>
        </w:rPr>
        <w:t xml:space="preserve"> value of </w:t>
      </w:r>
      <w:r w:rsidRPr="00324CB8">
        <w:rPr>
          <w:rFonts w:cs="Arial"/>
          <w:szCs w:val="22"/>
          <w:highlight w:val="yellow"/>
        </w:rPr>
        <w:t>$________</w:t>
      </w:r>
      <w:r>
        <w:rPr>
          <w:rFonts w:cs="Arial"/>
          <w:szCs w:val="22"/>
        </w:rPr>
        <w:t xml:space="preserve">, the </w:t>
      </w:r>
      <w:r w:rsidRPr="00F35746">
        <w:rPr>
          <w:rFonts w:cs="Arial"/>
          <w:b/>
          <w:szCs w:val="22"/>
        </w:rPr>
        <w:t>final</w:t>
      </w:r>
      <w:r>
        <w:rPr>
          <w:rFonts w:cs="Arial"/>
          <w:szCs w:val="22"/>
        </w:rPr>
        <w:t xml:space="preserve"> </w:t>
      </w:r>
      <w:r w:rsidRPr="00D7083B">
        <w:rPr>
          <w:rFonts w:cs="Arial"/>
          <w:b/>
          <w:szCs w:val="22"/>
        </w:rPr>
        <w:t xml:space="preserve">concluded prospective </w:t>
      </w:r>
      <w:r>
        <w:rPr>
          <w:rFonts w:cs="Arial"/>
          <w:b/>
          <w:szCs w:val="22"/>
        </w:rPr>
        <w:t>m</w:t>
      </w:r>
      <w:r w:rsidRPr="00D7083B">
        <w:rPr>
          <w:rFonts w:cs="Arial"/>
          <w:b/>
          <w:szCs w:val="22"/>
        </w:rPr>
        <w:t>arket value</w:t>
      </w:r>
      <w:r>
        <w:rPr>
          <w:rFonts w:cs="Arial"/>
          <w:b/>
          <w:szCs w:val="22"/>
        </w:rPr>
        <w:t xml:space="preserve"> – at completion</w:t>
      </w:r>
      <w:r w:rsidRPr="00D7083B">
        <w:rPr>
          <w:rFonts w:cs="Arial"/>
          <w:b/>
          <w:szCs w:val="22"/>
        </w:rPr>
        <w:t xml:space="preserve"> </w:t>
      </w:r>
      <w:r w:rsidRPr="00D7083B">
        <w:rPr>
          <w:rFonts w:cs="Arial"/>
          <w:szCs w:val="22"/>
        </w:rPr>
        <w:t xml:space="preserve">of the fee simple interest in the </w:t>
      </w:r>
      <w:r w:rsidRPr="00AA57CC">
        <w:rPr>
          <w:rFonts w:cs="Arial"/>
          <w:b/>
          <w:szCs w:val="22"/>
        </w:rPr>
        <w:t>subject project</w:t>
      </w:r>
      <w:r w:rsidRPr="00D7083B">
        <w:rPr>
          <w:rFonts w:cs="Arial"/>
          <w:szCs w:val="22"/>
        </w:rPr>
        <w:t xml:space="preserve">, as of </w:t>
      </w:r>
      <w:r w:rsidR="006377C4">
        <w:rPr>
          <w:rFonts w:cs="Arial"/>
          <w:szCs w:val="22"/>
        </w:rPr>
        <w:t>${</w:t>
      </w:r>
      <w:proofErr w:type="spellStart"/>
      <w:r w:rsidR="006377C4">
        <w:rPr>
          <w:rFonts w:cs="Arial"/>
          <w:szCs w:val="22"/>
        </w:rPr>
        <w:t>eff_date_value</w:t>
      </w:r>
      <w:proofErr w:type="spellEnd"/>
      <w:r w:rsidR="006377C4">
        <w:rPr>
          <w:rFonts w:cs="Arial"/>
          <w:szCs w:val="22"/>
        </w:rPr>
        <w:t>}</w:t>
      </w:r>
      <w:r>
        <w:rPr>
          <w:rFonts w:cs="Arial"/>
          <w:szCs w:val="22"/>
        </w:rPr>
        <w:t>, should be as follows (</w:t>
      </w:r>
      <w:sdt>
        <w:sdtPr>
          <w:rPr>
            <w:rFonts w:cs="Arial"/>
            <w:szCs w:val="22"/>
            <w:highlight w:val="green"/>
          </w:rPr>
          <w:alias w:val="Rounded"/>
          <w:tag w:val="Rounded"/>
          <w:id w:val="1941947018"/>
          <w:placeholder>
            <w:docPart w:val="BFF09973A63842DAB3569062607131C6"/>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p>
    <w:p w14:paraId="263DEDE5" w14:textId="77777777" w:rsidR="00324CB8" w:rsidRPr="00975A26" w:rsidRDefault="00324CB8" w:rsidP="00324CB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785"/>
        <w:gridCol w:w="1384"/>
      </w:tblGrid>
      <w:tr w:rsidR="00324CB8" w:rsidRPr="000754FA" w14:paraId="7CC51CEF" w14:textId="77777777" w:rsidTr="00A16296">
        <w:trPr>
          <w:jc w:val="center"/>
        </w:trPr>
        <w:tc>
          <w:tcPr>
            <w:tcW w:w="6785" w:type="dxa"/>
            <w:tcBorders>
              <w:bottom w:val="single" w:sz="24" w:space="0" w:color="3FB44F"/>
            </w:tcBorders>
            <w:shd w:val="clear" w:color="auto" w:fill="1E4959"/>
          </w:tcPr>
          <w:p w14:paraId="30DC234A" w14:textId="77777777" w:rsidR="00324CB8" w:rsidRPr="000754FA" w:rsidRDefault="00324CB8"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384" w:type="dxa"/>
            <w:tcBorders>
              <w:bottom w:val="single" w:sz="24" w:space="0" w:color="3FB44F"/>
            </w:tcBorders>
            <w:shd w:val="clear" w:color="auto" w:fill="1E4959"/>
          </w:tcPr>
          <w:p w14:paraId="08429119" w14:textId="77777777" w:rsidR="00324CB8" w:rsidRPr="000754FA" w:rsidRDefault="00324CB8" w:rsidP="00A16296">
            <w:pPr>
              <w:widowControl w:val="0"/>
              <w:tabs>
                <w:tab w:val="left" w:pos="0"/>
                <w:tab w:val="left" w:pos="259"/>
                <w:tab w:val="left" w:pos="518"/>
              </w:tabs>
              <w:spacing w:line="273" w:lineRule="exact"/>
              <w:jc w:val="right"/>
              <w:rPr>
                <w:rFonts w:cs="Arial"/>
                <w:szCs w:val="22"/>
              </w:rPr>
            </w:pPr>
          </w:p>
        </w:tc>
      </w:tr>
      <w:tr w:rsidR="00324CB8" w:rsidRPr="000754FA" w14:paraId="0A1F7A2C" w14:textId="77777777" w:rsidTr="00A16296">
        <w:trPr>
          <w:trHeight w:val="480"/>
          <w:jc w:val="center"/>
        </w:trPr>
        <w:tc>
          <w:tcPr>
            <w:tcW w:w="6785" w:type="dxa"/>
            <w:tcBorders>
              <w:top w:val="single" w:sz="24" w:space="0" w:color="3FB44F"/>
              <w:right w:val="single" w:sz="6" w:space="0" w:color="auto"/>
            </w:tcBorders>
          </w:tcPr>
          <w:p w14:paraId="30F3E726" w14:textId="77777777" w:rsidR="00324CB8" w:rsidRPr="001B1881" w:rsidRDefault="00324CB8" w:rsidP="00A16296">
            <w:pPr>
              <w:widowControl w:val="0"/>
              <w:tabs>
                <w:tab w:val="left" w:pos="0"/>
                <w:tab w:val="left" w:pos="259"/>
                <w:tab w:val="left" w:pos="518"/>
              </w:tabs>
              <w:spacing w:after="58" w:line="480" w:lineRule="exact"/>
              <w:jc w:val="left"/>
              <w:rPr>
                <w:rFonts w:cs="Arial"/>
                <w:szCs w:val="22"/>
              </w:rPr>
            </w:pPr>
            <w:r>
              <w:rPr>
                <w:rFonts w:cs="Arial"/>
                <w:szCs w:val="22"/>
              </w:rPr>
              <w:t xml:space="preserve">Prospective Stabilized Market </w:t>
            </w:r>
            <w:r w:rsidRPr="001B1881">
              <w:rPr>
                <w:rFonts w:cs="Arial"/>
                <w:szCs w:val="22"/>
              </w:rPr>
              <w:t>Value</w:t>
            </w:r>
            <w:r>
              <w:rPr>
                <w:rFonts w:cs="Arial"/>
                <w:szCs w:val="22"/>
              </w:rPr>
              <w:t xml:space="preserve"> – Primary Site / Bldg.</w:t>
            </w:r>
          </w:p>
        </w:tc>
        <w:tc>
          <w:tcPr>
            <w:tcW w:w="1384" w:type="dxa"/>
            <w:tcBorders>
              <w:top w:val="single" w:sz="24" w:space="0" w:color="3FB44F"/>
              <w:left w:val="nil"/>
            </w:tcBorders>
          </w:tcPr>
          <w:p w14:paraId="17F76D0E" w14:textId="3850A0F9" w:rsidR="00324CB8" w:rsidRPr="002F01C5" w:rsidRDefault="00324CB8" w:rsidP="00A16296">
            <w:pPr>
              <w:widowControl w:val="0"/>
              <w:tabs>
                <w:tab w:val="left" w:pos="0"/>
                <w:tab w:val="left" w:pos="259"/>
                <w:tab w:val="left" w:pos="518"/>
              </w:tabs>
              <w:spacing w:after="58" w:line="480" w:lineRule="exact"/>
              <w:jc w:val="right"/>
              <w:rPr>
                <w:rFonts w:cs="Arial"/>
                <w:szCs w:val="22"/>
                <w:highlight w:val="yellow"/>
              </w:rPr>
            </w:pPr>
            <w:r w:rsidRPr="002F01C5">
              <w:rPr>
                <w:rFonts w:cs="Arial"/>
                <w:szCs w:val="22"/>
                <w:highlight w:val="yellow"/>
              </w:rPr>
              <w:t>$</w:t>
            </w:r>
            <w:r w:rsidR="002F01C5" w:rsidRPr="002F01C5">
              <w:rPr>
                <w:rFonts w:cs="Arial"/>
                <w:szCs w:val="22"/>
                <w:highlight w:val="yellow"/>
              </w:rPr>
              <w:t>________</w:t>
            </w:r>
          </w:p>
        </w:tc>
      </w:tr>
      <w:tr w:rsidR="00324CB8" w:rsidRPr="00B81333" w14:paraId="10CCDF2D" w14:textId="77777777" w:rsidTr="00A16296">
        <w:trPr>
          <w:jc w:val="center"/>
        </w:trPr>
        <w:tc>
          <w:tcPr>
            <w:tcW w:w="6785" w:type="dxa"/>
            <w:tcBorders>
              <w:bottom w:val="single" w:sz="6" w:space="0" w:color="auto"/>
              <w:right w:val="single" w:sz="6" w:space="0" w:color="auto"/>
            </w:tcBorders>
          </w:tcPr>
          <w:p w14:paraId="749E936B" w14:textId="07C8BF37" w:rsidR="00324CB8" w:rsidRPr="00417140" w:rsidRDefault="00324CB8" w:rsidP="00A16296">
            <w:pPr>
              <w:pStyle w:val="Footer"/>
              <w:tabs>
                <w:tab w:val="clear" w:pos="4320"/>
                <w:tab w:val="clear" w:pos="8640"/>
                <w:tab w:val="left" w:pos="0"/>
                <w:tab w:val="left" w:pos="259"/>
                <w:tab w:val="left" w:pos="518"/>
              </w:tabs>
              <w:spacing w:line="440" w:lineRule="exact"/>
              <w:rPr>
                <w:rFonts w:cs="Segoe UI"/>
              </w:rPr>
            </w:pPr>
            <w:r>
              <w:rPr>
                <w:rFonts w:cs="Segoe UI"/>
              </w:rPr>
              <w:t>Add</w:t>
            </w:r>
            <w:r w:rsidRPr="00417140">
              <w:rPr>
                <w:rFonts w:cs="Segoe UI"/>
              </w:rPr>
              <w:t>:</w:t>
            </w:r>
            <w:r>
              <w:rPr>
                <w:rFonts w:cs="Segoe UI"/>
              </w:rPr>
              <w:t xml:space="preserve">  </w:t>
            </w:r>
            <w:sdt>
              <w:sdtPr>
                <w:rPr>
                  <w:rFonts w:cs="Arial"/>
                  <w:szCs w:val="22"/>
                  <w:highlight w:val="green"/>
                </w:rPr>
                <w:alias w:val="Surplus - Excess"/>
                <w:tag w:val="Surplus - Excess"/>
                <w:id w:val="-1509907344"/>
                <w:placeholder>
                  <w:docPart w:val="19733FE764394C5895D69EC58CA81A44"/>
                </w:placeholder>
                <w:dropDownList>
                  <w:listItem w:value="Choose an item."/>
                  <w:listItem w:displayText="Excess Land" w:value="Excess Land"/>
                  <w:listItem w:displayText="Surplus Land" w:value="Surplus Land"/>
                  <w:listItem w:displayText="Surplus Land / Site Improvments" w:value="Surplus Land / Site Improvments"/>
                </w:dropDownList>
              </w:sdtPr>
              <w:sdtEndPr/>
              <w:sdtContent>
                <w:r>
                  <w:rPr>
                    <w:rFonts w:cs="Arial"/>
                    <w:szCs w:val="22"/>
                    <w:highlight w:val="green"/>
                  </w:rPr>
                  <w:t>Surplus Land</w:t>
                </w:r>
              </w:sdtContent>
            </w:sdt>
            <w:r>
              <w:rPr>
                <w:rFonts w:cs="Arial"/>
                <w:szCs w:val="22"/>
              </w:rPr>
              <w:t xml:space="preserve"> </w:t>
            </w:r>
            <w:r>
              <w:rPr>
                <w:rFonts w:cs="Segoe UI"/>
              </w:rPr>
              <w:t>Value</w:t>
            </w:r>
          </w:p>
        </w:tc>
        <w:tc>
          <w:tcPr>
            <w:tcW w:w="1384" w:type="dxa"/>
            <w:tcBorders>
              <w:left w:val="nil"/>
              <w:bottom w:val="single" w:sz="6" w:space="0" w:color="auto"/>
            </w:tcBorders>
          </w:tcPr>
          <w:p w14:paraId="028A5ADF" w14:textId="483118A7" w:rsidR="00324CB8" w:rsidRPr="002F01C5" w:rsidRDefault="00324CB8" w:rsidP="00A16296">
            <w:pPr>
              <w:widowControl w:val="0"/>
              <w:tabs>
                <w:tab w:val="left" w:pos="0"/>
                <w:tab w:val="left" w:pos="259"/>
                <w:tab w:val="left" w:pos="518"/>
              </w:tabs>
              <w:spacing w:after="58" w:line="480" w:lineRule="exact"/>
              <w:jc w:val="right"/>
              <w:rPr>
                <w:rFonts w:cs="Arial"/>
                <w:szCs w:val="22"/>
                <w:highlight w:val="yellow"/>
              </w:rPr>
            </w:pPr>
            <w:r w:rsidRPr="002F01C5">
              <w:rPr>
                <w:rFonts w:cs="Arial"/>
                <w:szCs w:val="22"/>
                <w:highlight w:val="yellow"/>
              </w:rPr>
              <w:t>$</w:t>
            </w:r>
            <w:r w:rsidR="002F01C5">
              <w:rPr>
                <w:rFonts w:cs="Arial"/>
                <w:szCs w:val="22"/>
                <w:highlight w:val="yellow"/>
              </w:rPr>
              <w:t>_</w:t>
            </w:r>
            <w:r w:rsidR="002F01C5" w:rsidRPr="002F01C5">
              <w:rPr>
                <w:rFonts w:cs="Arial"/>
                <w:szCs w:val="22"/>
                <w:highlight w:val="yellow"/>
              </w:rPr>
              <w:t>_______</w:t>
            </w:r>
          </w:p>
        </w:tc>
      </w:tr>
      <w:tr w:rsidR="00324CB8" w:rsidRPr="00061DC5" w14:paraId="69F5D614" w14:textId="77777777" w:rsidTr="00A16296">
        <w:trPr>
          <w:jc w:val="center"/>
        </w:trPr>
        <w:tc>
          <w:tcPr>
            <w:tcW w:w="6785" w:type="dxa"/>
            <w:tcBorders>
              <w:top w:val="single" w:sz="6" w:space="0" w:color="auto"/>
              <w:bottom w:val="double" w:sz="4" w:space="0" w:color="auto"/>
              <w:right w:val="single" w:sz="6" w:space="0" w:color="auto"/>
            </w:tcBorders>
          </w:tcPr>
          <w:p w14:paraId="1E9A83BD" w14:textId="77777777" w:rsidR="00324CB8" w:rsidRPr="009C1DF6" w:rsidRDefault="00324CB8" w:rsidP="00A16296">
            <w:pPr>
              <w:pStyle w:val="Footer"/>
              <w:tabs>
                <w:tab w:val="clear" w:pos="4320"/>
                <w:tab w:val="clear" w:pos="8640"/>
                <w:tab w:val="left" w:pos="0"/>
                <w:tab w:val="left" w:pos="259"/>
                <w:tab w:val="left" w:pos="518"/>
              </w:tabs>
              <w:spacing w:line="440" w:lineRule="exact"/>
              <w:rPr>
                <w:rFonts w:cs="Segoe UI"/>
                <w:b/>
              </w:rPr>
            </w:pPr>
            <w:r>
              <w:rPr>
                <w:rFonts w:cs="Segoe UI"/>
                <w:b/>
              </w:rPr>
              <w:t>Final Concluded Prospective Market Value – At Completion      (R)</w:t>
            </w:r>
          </w:p>
        </w:tc>
        <w:tc>
          <w:tcPr>
            <w:tcW w:w="1384" w:type="dxa"/>
            <w:tcBorders>
              <w:top w:val="single" w:sz="6" w:space="0" w:color="auto"/>
              <w:left w:val="nil"/>
              <w:bottom w:val="double" w:sz="4" w:space="0" w:color="auto"/>
            </w:tcBorders>
          </w:tcPr>
          <w:p w14:paraId="28BCB198" w14:textId="635D8B44" w:rsidR="00324CB8" w:rsidRPr="002F01C5" w:rsidRDefault="00324CB8" w:rsidP="00A16296">
            <w:pPr>
              <w:widowControl w:val="0"/>
              <w:tabs>
                <w:tab w:val="left" w:pos="0"/>
                <w:tab w:val="left" w:pos="259"/>
                <w:tab w:val="left" w:pos="518"/>
              </w:tabs>
              <w:spacing w:after="58" w:line="480" w:lineRule="exact"/>
              <w:jc w:val="right"/>
              <w:rPr>
                <w:rFonts w:cs="Arial"/>
                <w:szCs w:val="22"/>
                <w:highlight w:val="yellow"/>
              </w:rPr>
            </w:pPr>
            <w:r w:rsidRPr="002F01C5">
              <w:rPr>
                <w:rFonts w:cs="Arial"/>
                <w:b/>
                <w:szCs w:val="22"/>
                <w:highlight w:val="yellow"/>
              </w:rPr>
              <w:t>$</w:t>
            </w:r>
            <w:r w:rsidR="002F01C5" w:rsidRPr="002F01C5">
              <w:rPr>
                <w:rFonts w:cs="Arial"/>
                <w:b/>
                <w:szCs w:val="22"/>
                <w:highlight w:val="yellow"/>
              </w:rPr>
              <w:t>________</w:t>
            </w:r>
          </w:p>
        </w:tc>
      </w:tr>
    </w:tbl>
    <w:p w14:paraId="45F67B69" w14:textId="40929B33" w:rsidR="002F01C5" w:rsidRDefault="002F01C5" w:rsidP="002F01C5">
      <w:pPr>
        <w:rPr>
          <w:rFonts w:cs="Arial"/>
          <w:szCs w:val="22"/>
        </w:rPr>
      </w:pPr>
    </w:p>
    <w:p w14:paraId="5358BD68" w14:textId="77777777" w:rsidR="002F01C5" w:rsidRDefault="002F01C5">
      <w:pPr>
        <w:jc w:val="left"/>
        <w:rPr>
          <w:rFonts w:cs="Arial"/>
          <w:szCs w:val="22"/>
        </w:rPr>
      </w:pPr>
      <w:r>
        <w:rPr>
          <w:rFonts w:cs="Arial"/>
          <w:szCs w:val="22"/>
        </w:rPr>
        <w:br w:type="page"/>
      </w:r>
    </w:p>
    <w:p w14:paraId="1722B082" w14:textId="77777777" w:rsidR="00324CB8" w:rsidRPr="00067DF4" w:rsidRDefault="00324CB8" w:rsidP="00324CB8">
      <w:pPr>
        <w:pStyle w:val="Heading20"/>
        <w:rPr>
          <w:rFonts w:asciiTheme="minorHAnsi" w:hAnsiTheme="minorHAnsi" w:cs="Arial"/>
          <w:b w:val="0"/>
          <w:color w:val="1E4959"/>
          <w:spacing w:val="0"/>
          <w:kern w:val="20"/>
          <w:sz w:val="28"/>
          <w:szCs w:val="22"/>
        </w:rPr>
      </w:pPr>
      <w:r w:rsidRPr="00067DF4">
        <w:rPr>
          <w:rFonts w:asciiTheme="minorHAnsi" w:hAnsiTheme="minorHAnsi" w:cs="Arial"/>
          <w:b w:val="0"/>
          <w:color w:val="1E4959"/>
          <w:spacing w:val="0"/>
          <w:kern w:val="20"/>
          <w:sz w:val="28"/>
          <w:szCs w:val="22"/>
        </w:rPr>
        <w:lastRenderedPageBreak/>
        <w:t>Concluded As Is Market Value</w:t>
      </w:r>
    </w:p>
    <w:p w14:paraId="28DA2CA4" w14:textId="77777777" w:rsidR="00324CB8" w:rsidRPr="002F01C5" w:rsidRDefault="00324CB8" w:rsidP="00324CB8">
      <w:pPr>
        <w:rPr>
          <w:highlight w:val="yellow"/>
        </w:rPr>
      </w:pPr>
      <w:r w:rsidRPr="002F01C5">
        <w:rPr>
          <w:highlight w:val="yellow"/>
        </w:rPr>
        <w:t xml:space="preserve">As of the date of inspection, the subject property consisted of a vacant, residential parcel. Since purchasing the site in September 2018, the owner has spent significant costs ($33,450) in obtaining architectural plans and engineering for the proposed subject project. However, while the subject project is considered functional in terms of the general market for dental / medical office improvements, there is little market evidence to suggest these project entitlements would obtain a premium in the market if marketed for sale along with the current vacant site.  </w:t>
      </w:r>
    </w:p>
    <w:p w14:paraId="54EF5902" w14:textId="77777777" w:rsidR="00324CB8" w:rsidRPr="002F01C5" w:rsidRDefault="00324CB8" w:rsidP="00324CB8">
      <w:pPr>
        <w:rPr>
          <w:highlight w:val="yellow"/>
        </w:rPr>
      </w:pPr>
    </w:p>
    <w:p w14:paraId="7D367BDD" w14:textId="77777777" w:rsidR="00324CB8" w:rsidRPr="00DC21E5" w:rsidRDefault="00324CB8" w:rsidP="00324CB8">
      <w:r w:rsidRPr="002F01C5">
        <w:rPr>
          <w:highlight w:val="yellow"/>
        </w:rPr>
        <w:t>Overall, either a potential buyer would have need for the design / configuration of the subject project, as proposed (100% premium for the costs expended to date), or they would not (no premium). With convincing support for a market premium to recognize the owner’s soft costs expended to date, no additional contribution for plans is accorded in this analysis.</w:t>
      </w:r>
      <w:r>
        <w:t xml:space="preserve">  </w:t>
      </w:r>
    </w:p>
    <w:p w14:paraId="2E3ABAD5" w14:textId="77777777" w:rsidR="00324CB8" w:rsidRDefault="00324CB8" w:rsidP="00324CB8">
      <w:pPr>
        <w:rPr>
          <w:rFonts w:cs="Arial"/>
          <w:szCs w:val="22"/>
        </w:rPr>
      </w:pPr>
    </w:p>
    <w:p w14:paraId="1E1E4670" w14:textId="4F98E435" w:rsidR="00324CB8" w:rsidRPr="00F166AD" w:rsidRDefault="00324CB8" w:rsidP="00324CB8">
      <w:pPr>
        <w:rPr>
          <w:rFonts w:cs="Arial"/>
          <w:szCs w:val="22"/>
        </w:rPr>
      </w:pPr>
      <w:r w:rsidRPr="00F131E7">
        <w:rPr>
          <w:rFonts w:cs="Arial"/>
          <w:szCs w:val="22"/>
        </w:rPr>
        <w:t xml:space="preserve">Based on the research, analyses and conclusions contained within this report, it is the appraiser’s opinion that the </w:t>
      </w:r>
      <w:r w:rsidRPr="00A05268">
        <w:rPr>
          <w:rFonts w:cs="Arial"/>
          <w:b/>
          <w:szCs w:val="22"/>
        </w:rPr>
        <w:t>concluded</w:t>
      </w:r>
      <w:r>
        <w:rPr>
          <w:rFonts w:cs="Arial"/>
          <w:b/>
          <w:szCs w:val="22"/>
        </w:rPr>
        <w:t xml:space="preserve"> as is</w:t>
      </w:r>
      <w:r w:rsidRPr="00A05268">
        <w:rPr>
          <w:rFonts w:cs="Arial"/>
          <w:b/>
          <w:szCs w:val="22"/>
        </w:rPr>
        <w:t xml:space="preserve"> market value</w:t>
      </w:r>
      <w:r w:rsidRPr="00F131E7">
        <w:rPr>
          <w:rFonts w:cs="Arial"/>
          <w:szCs w:val="22"/>
        </w:rPr>
        <w:t xml:space="preserve"> of </w:t>
      </w:r>
      <w:r w:rsidRPr="00B75C7E">
        <w:rPr>
          <w:rFonts w:cs="Arial"/>
          <w:szCs w:val="22"/>
        </w:rPr>
        <w:t xml:space="preserve">the </w:t>
      </w:r>
      <w:r>
        <w:rPr>
          <w:rFonts w:cs="Arial"/>
          <w:szCs w:val="22"/>
        </w:rPr>
        <w:t>fee simple</w:t>
      </w:r>
      <w:r w:rsidRPr="00B75C7E">
        <w:rPr>
          <w:rFonts w:cs="Arial"/>
          <w:szCs w:val="22"/>
        </w:rPr>
        <w:t xml:space="preserve"> interest in the </w:t>
      </w:r>
      <w:r w:rsidRPr="002F01C5">
        <w:rPr>
          <w:rFonts w:cs="Arial"/>
          <w:b/>
          <w:bCs/>
          <w:szCs w:val="22"/>
        </w:rPr>
        <w:t>subject property</w:t>
      </w:r>
      <w:r>
        <w:rPr>
          <w:rFonts w:cs="Arial"/>
          <w:szCs w:val="22"/>
        </w:rPr>
        <w:t>,</w:t>
      </w:r>
      <w:r w:rsidRPr="00B75C7E">
        <w:rPr>
          <w:rFonts w:cs="Arial"/>
          <w:szCs w:val="22"/>
        </w:rPr>
        <w:t xml:space="preserve"> as of </w:t>
      </w:r>
      <w:r w:rsidR="006377C4">
        <w:rPr>
          <w:rFonts w:cs="Arial"/>
          <w:szCs w:val="22"/>
        </w:rPr>
        <w:t>${eff_date_value}</w:t>
      </w:r>
      <w:r>
        <w:rPr>
          <w:rFonts w:cs="Arial"/>
          <w:szCs w:val="22"/>
        </w:rPr>
        <w:t>,</w:t>
      </w:r>
      <w:r w:rsidRPr="00B75C7E">
        <w:rPr>
          <w:rFonts w:cs="Arial"/>
          <w:szCs w:val="22"/>
        </w:rPr>
        <w:t xml:space="preserve"> is as follows:</w:t>
      </w:r>
      <w:r>
        <w:rPr>
          <w:rFonts w:cs="Arial"/>
          <w:szCs w:val="22"/>
        </w:rPr>
        <w:t xml:space="preserve">  </w:t>
      </w:r>
    </w:p>
    <w:p w14:paraId="0A80EDFD" w14:textId="77777777" w:rsidR="00324CB8" w:rsidRPr="00067DF4" w:rsidRDefault="00324CB8" w:rsidP="00324CB8">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6547"/>
        <w:gridCol w:w="1665"/>
      </w:tblGrid>
      <w:tr w:rsidR="00324CB8" w:rsidRPr="00067DF4" w14:paraId="627498C2" w14:textId="77777777" w:rsidTr="00A16296">
        <w:trPr>
          <w:jc w:val="center"/>
        </w:trPr>
        <w:tc>
          <w:tcPr>
            <w:tcW w:w="6547" w:type="dxa"/>
            <w:tcBorders>
              <w:bottom w:val="single" w:sz="24" w:space="0" w:color="3FB44F"/>
            </w:tcBorders>
            <w:shd w:val="clear" w:color="auto" w:fill="1E4959"/>
          </w:tcPr>
          <w:p w14:paraId="0F36B856" w14:textId="77777777" w:rsidR="00324CB8" w:rsidRPr="00067DF4" w:rsidRDefault="00324CB8" w:rsidP="00A16296">
            <w:pPr>
              <w:widowControl w:val="0"/>
              <w:tabs>
                <w:tab w:val="left" w:pos="0"/>
                <w:tab w:val="left" w:pos="259"/>
                <w:tab w:val="left" w:pos="518"/>
              </w:tabs>
              <w:spacing w:line="273" w:lineRule="exact"/>
              <w:rPr>
                <w:rFonts w:ascii="Segoe UI" w:hAnsi="Segoe UI"/>
                <w:sz w:val="21"/>
              </w:rPr>
            </w:pPr>
          </w:p>
        </w:tc>
        <w:tc>
          <w:tcPr>
            <w:tcW w:w="1665" w:type="dxa"/>
            <w:tcBorders>
              <w:bottom w:val="single" w:sz="24" w:space="0" w:color="3FB44F"/>
            </w:tcBorders>
            <w:shd w:val="clear" w:color="auto" w:fill="1E4959"/>
          </w:tcPr>
          <w:p w14:paraId="414A8246" w14:textId="77777777" w:rsidR="00324CB8" w:rsidRPr="00067DF4" w:rsidRDefault="00324CB8" w:rsidP="00A16296">
            <w:pPr>
              <w:widowControl w:val="0"/>
              <w:tabs>
                <w:tab w:val="left" w:pos="0"/>
                <w:tab w:val="left" w:pos="259"/>
                <w:tab w:val="left" w:pos="518"/>
              </w:tabs>
              <w:spacing w:line="273" w:lineRule="exact"/>
              <w:jc w:val="right"/>
              <w:rPr>
                <w:rFonts w:ascii="Segoe UI" w:hAnsi="Segoe UI"/>
                <w:sz w:val="21"/>
              </w:rPr>
            </w:pPr>
          </w:p>
        </w:tc>
      </w:tr>
      <w:tr w:rsidR="00324CB8" w:rsidRPr="00067DF4" w14:paraId="15A04E3A" w14:textId="77777777" w:rsidTr="00A16296">
        <w:trPr>
          <w:jc w:val="center"/>
        </w:trPr>
        <w:tc>
          <w:tcPr>
            <w:tcW w:w="6547" w:type="dxa"/>
            <w:tcBorders>
              <w:bottom w:val="double" w:sz="6" w:space="0" w:color="auto"/>
              <w:right w:val="single" w:sz="6" w:space="0" w:color="auto"/>
            </w:tcBorders>
          </w:tcPr>
          <w:p w14:paraId="2E1548CF" w14:textId="77777777" w:rsidR="00324CB8" w:rsidRPr="00566E27" w:rsidRDefault="00324CB8" w:rsidP="00A16296">
            <w:pPr>
              <w:widowControl w:val="0"/>
              <w:tabs>
                <w:tab w:val="left" w:pos="0"/>
                <w:tab w:val="left" w:pos="259"/>
                <w:tab w:val="left" w:pos="518"/>
              </w:tabs>
              <w:spacing w:after="58" w:line="480" w:lineRule="exact"/>
              <w:rPr>
                <w:b/>
              </w:rPr>
            </w:pPr>
            <w:r w:rsidRPr="00566E27">
              <w:rPr>
                <w:b/>
              </w:rPr>
              <w:t>Concluded As Is Market Value</w:t>
            </w:r>
          </w:p>
        </w:tc>
        <w:tc>
          <w:tcPr>
            <w:tcW w:w="1665" w:type="dxa"/>
            <w:tcBorders>
              <w:left w:val="nil"/>
              <w:bottom w:val="double" w:sz="6" w:space="0" w:color="auto"/>
            </w:tcBorders>
          </w:tcPr>
          <w:p w14:paraId="0196EA1F" w14:textId="0FB5CA37" w:rsidR="00324CB8" w:rsidRPr="00067DF4" w:rsidRDefault="002F01C5" w:rsidP="00A16296">
            <w:pPr>
              <w:widowControl w:val="0"/>
              <w:tabs>
                <w:tab w:val="left" w:pos="0"/>
                <w:tab w:val="left" w:pos="259"/>
                <w:tab w:val="left" w:pos="518"/>
              </w:tabs>
              <w:spacing w:after="58" w:line="480" w:lineRule="exact"/>
              <w:jc w:val="center"/>
              <w:rPr>
                <w:b/>
              </w:rPr>
            </w:pPr>
            <w:r w:rsidRPr="002F01C5">
              <w:rPr>
                <w:rFonts w:cs="Arial"/>
                <w:b/>
                <w:szCs w:val="22"/>
                <w:highlight w:val="yellow"/>
              </w:rPr>
              <w:t>$________</w:t>
            </w:r>
          </w:p>
        </w:tc>
      </w:tr>
    </w:tbl>
    <w:p w14:paraId="41E5CBEE" w14:textId="77777777" w:rsidR="00324CB8" w:rsidRPr="002F01C5" w:rsidRDefault="00324CB8" w:rsidP="00324CB8">
      <w:pPr>
        <w:pStyle w:val="Heading30"/>
        <w:spacing w:line="228" w:lineRule="auto"/>
        <w:rPr>
          <w:rFonts w:cs="Arial"/>
          <w:color w:val="1E4959"/>
          <w:kern w:val="20"/>
          <w:sz w:val="24"/>
          <w:szCs w:val="22"/>
          <w:highlight w:val="yellow"/>
        </w:rPr>
      </w:pPr>
      <w:r w:rsidRPr="002F01C5">
        <w:rPr>
          <w:rFonts w:cs="Arial"/>
          <w:color w:val="1E4959"/>
          <w:kern w:val="20"/>
          <w:sz w:val="24"/>
          <w:szCs w:val="22"/>
          <w:highlight w:val="yellow"/>
        </w:rPr>
        <w:t>Extraordinary Assumptions:</w:t>
      </w:r>
    </w:p>
    <w:p w14:paraId="27CD4C08" w14:textId="77777777" w:rsidR="00324CB8" w:rsidRPr="002F01C5" w:rsidRDefault="00324CB8" w:rsidP="00324CB8">
      <w:pPr>
        <w:pStyle w:val="ListParagraph"/>
        <w:numPr>
          <w:ilvl w:val="0"/>
          <w:numId w:val="26"/>
        </w:numPr>
        <w:rPr>
          <w:rFonts w:cs="Arial"/>
          <w:kern w:val="20"/>
          <w:szCs w:val="22"/>
          <w:highlight w:val="yellow"/>
        </w:rPr>
      </w:pPr>
      <w:r w:rsidRPr="002F01C5">
        <w:rPr>
          <w:rFonts w:cs="Arial"/>
          <w:szCs w:val="22"/>
          <w:highlight w:val="yellow"/>
        </w:rPr>
        <w:t>The prospective market value concluded to in this report is predicated upon the proposed improvements being built as detailed in this report with non-defective building materials and is solely based on the preliminary construction plans, specifications and construction budget provided, as well as conversations with the owner and general contractor. Further, this appraisal assumes the pending street dedication with related lot line adjustment is completed as described in this report.  Finally, the prospective completion date based on the owner’s estimate and is not a guarantee that the project will be competed at that time</w:t>
      </w:r>
      <w:r w:rsidRPr="002F01C5">
        <w:rPr>
          <w:rFonts w:cs="Arial"/>
          <w:kern w:val="20"/>
          <w:szCs w:val="22"/>
          <w:highlight w:val="yellow"/>
        </w:rPr>
        <w:t>. If these assumptions are later found to be inaccurate, this may impact the assignment results in this appraisal.</w:t>
      </w:r>
    </w:p>
    <w:p w14:paraId="09EA938B" w14:textId="77777777" w:rsidR="00324CB8" w:rsidRPr="000754FA" w:rsidRDefault="00324CB8" w:rsidP="00324CB8">
      <w:pPr>
        <w:pStyle w:val="Heading30"/>
        <w:spacing w:line="228" w:lineRule="auto"/>
        <w:rPr>
          <w:rFonts w:cs="Arial"/>
          <w:b/>
          <w:color w:val="1E4959"/>
          <w:kern w:val="20"/>
          <w:sz w:val="24"/>
          <w:szCs w:val="22"/>
        </w:rPr>
      </w:pPr>
      <w:r w:rsidRPr="000754FA">
        <w:rPr>
          <w:rFonts w:cs="Arial"/>
          <w:color w:val="1E4959"/>
          <w:kern w:val="20"/>
          <w:sz w:val="24"/>
          <w:szCs w:val="22"/>
        </w:rPr>
        <w:t>Hypothetical Conditions:</w:t>
      </w:r>
    </w:p>
    <w:p w14:paraId="072AFDA9" w14:textId="77777777" w:rsidR="00324CB8" w:rsidRPr="000754FA" w:rsidRDefault="00324CB8" w:rsidP="00324CB8">
      <w:pPr>
        <w:pStyle w:val="ListParagraph"/>
        <w:numPr>
          <w:ilvl w:val="0"/>
          <w:numId w:val="26"/>
        </w:numPr>
        <w:spacing w:after="120"/>
        <w:contextualSpacing w:val="0"/>
        <w:rPr>
          <w:rFonts w:cs="Arial"/>
          <w:kern w:val="20"/>
          <w:szCs w:val="22"/>
        </w:rPr>
      </w:pPr>
      <w:r w:rsidRPr="000754FA">
        <w:rPr>
          <w:rFonts w:cs="Arial"/>
          <w:kern w:val="20"/>
          <w:szCs w:val="22"/>
        </w:rPr>
        <w:t>None.</w:t>
      </w:r>
    </w:p>
    <w:p w14:paraId="1751FEC9" w14:textId="77777777" w:rsidR="00324CB8" w:rsidRPr="009B6E44" w:rsidRDefault="00324CB8" w:rsidP="00324CB8">
      <w:pPr>
        <w:keepNext/>
        <w:keepLines/>
        <w:spacing w:before="260"/>
        <w:outlineLvl w:val="1"/>
        <w:rPr>
          <w:rFonts w:cs="Arial"/>
          <w:iCs/>
          <w:color w:val="1E4959"/>
          <w:sz w:val="28"/>
          <w:szCs w:val="22"/>
        </w:rPr>
      </w:pPr>
      <w:r w:rsidRPr="009B6E44">
        <w:rPr>
          <w:rFonts w:cs="Arial"/>
          <w:iCs/>
          <w:color w:val="1E4959"/>
          <w:sz w:val="28"/>
          <w:szCs w:val="22"/>
        </w:rPr>
        <w:t>Exposure Time and Marketing Periods</w:t>
      </w:r>
    </w:p>
    <w:p w14:paraId="0CC64072" w14:textId="77777777" w:rsidR="002F01C5" w:rsidRDefault="002F01C5" w:rsidP="002F01C5">
      <w:pPr>
        <w:pStyle w:val="Footer"/>
        <w:tabs>
          <w:tab w:val="clear" w:pos="4320"/>
          <w:tab w:val="clear" w:pos="8640"/>
        </w:tabs>
        <w:rPr>
          <w:rFonts w:eastAsia="Calibri" w:cs="Arial"/>
          <w:color w:val="000000"/>
          <w:kern w:val="20"/>
          <w:szCs w:val="22"/>
        </w:rPr>
      </w:pPr>
      <w:r w:rsidRPr="008B181E">
        <w:rPr>
          <w:rFonts w:eastAsia="Calibri" w:cs="Arial"/>
          <w:color w:val="000000"/>
          <w:kern w:val="20"/>
          <w:szCs w:val="22"/>
        </w:rPr>
        <w:t>Based on statistical information about days on market, escrow length, and marketing times gathered through national investor surveys, sales verification, and interviews of market participants, marketing and exposure time estimates of up to 12 months, respectively, are considered reasonable and appropriate for the subject property.</w:t>
      </w:r>
    </w:p>
    <w:p w14:paraId="1C234730" w14:textId="77777777" w:rsidR="00324CB8" w:rsidRPr="002F01C5" w:rsidRDefault="00324CB8" w:rsidP="00324CB8">
      <w:pPr>
        <w:pStyle w:val="Heading20"/>
        <w:rPr>
          <w:rFonts w:asciiTheme="minorHAnsi" w:hAnsiTheme="minorHAnsi" w:cs="Arial"/>
          <w:b w:val="0"/>
          <w:color w:val="1E4959"/>
          <w:spacing w:val="0"/>
          <w:kern w:val="20"/>
          <w:sz w:val="28"/>
          <w:szCs w:val="22"/>
          <w:highlight w:val="yellow"/>
        </w:rPr>
      </w:pPr>
      <w:r w:rsidRPr="002F01C5">
        <w:rPr>
          <w:rFonts w:asciiTheme="minorHAnsi" w:hAnsiTheme="minorHAnsi" w:cs="Arial"/>
          <w:b w:val="0"/>
          <w:color w:val="1E4959"/>
          <w:spacing w:val="0"/>
          <w:kern w:val="20"/>
          <w:sz w:val="28"/>
          <w:szCs w:val="22"/>
          <w:highlight w:val="yellow"/>
        </w:rPr>
        <w:t>SWOT ANALYSIS</w:t>
      </w:r>
    </w:p>
    <w:p w14:paraId="106ECCD7" w14:textId="77777777" w:rsidR="00324CB8" w:rsidRPr="002F01C5" w:rsidRDefault="00324CB8" w:rsidP="00324CB8">
      <w:pPr>
        <w:pStyle w:val="Heading30"/>
        <w:spacing w:before="120" w:line="228" w:lineRule="auto"/>
        <w:rPr>
          <w:rFonts w:cs="Arial"/>
          <w:b/>
          <w:color w:val="1E4959"/>
          <w:kern w:val="20"/>
          <w:sz w:val="28"/>
          <w:szCs w:val="22"/>
          <w:highlight w:val="yellow"/>
        </w:rPr>
      </w:pPr>
      <w:r w:rsidRPr="002F01C5">
        <w:rPr>
          <w:rFonts w:cs="Arial"/>
          <w:color w:val="1E4959"/>
          <w:kern w:val="20"/>
          <w:sz w:val="24"/>
          <w:szCs w:val="22"/>
          <w:highlight w:val="yellow"/>
        </w:rPr>
        <w:t>Strengths:</w:t>
      </w:r>
    </w:p>
    <w:p w14:paraId="05B503C4" w14:textId="77777777" w:rsidR="00324CB8" w:rsidRPr="002F01C5" w:rsidRDefault="00324CB8" w:rsidP="00324CB8">
      <w:pPr>
        <w:numPr>
          <w:ilvl w:val="0"/>
          <w:numId w:val="15"/>
        </w:numPr>
        <w:rPr>
          <w:highlight w:val="yellow"/>
        </w:rPr>
      </w:pPr>
      <w:r w:rsidRPr="002F01C5">
        <w:rPr>
          <w:highlight w:val="yellow"/>
        </w:rPr>
        <w:t xml:space="preserve">New, good quality construction in excellent condition (less repair and maintenance expenses). </w:t>
      </w:r>
    </w:p>
    <w:p w14:paraId="0C5E1766" w14:textId="77777777" w:rsidR="00324CB8" w:rsidRPr="002F01C5" w:rsidRDefault="00324CB8" w:rsidP="00324CB8">
      <w:pPr>
        <w:numPr>
          <w:ilvl w:val="0"/>
          <w:numId w:val="15"/>
        </w:numPr>
        <w:rPr>
          <w:highlight w:val="yellow"/>
        </w:rPr>
      </w:pPr>
      <w:r w:rsidRPr="002F01C5">
        <w:rPr>
          <w:highlight w:val="yellow"/>
        </w:rPr>
        <w:t xml:space="preserve">Good, nearby access to greater McMinnville area via NW 2nd Street. </w:t>
      </w:r>
    </w:p>
    <w:p w14:paraId="10B46971" w14:textId="77777777" w:rsidR="00324CB8" w:rsidRPr="002F01C5" w:rsidRDefault="00324CB8" w:rsidP="00324CB8">
      <w:pPr>
        <w:numPr>
          <w:ilvl w:val="0"/>
          <w:numId w:val="15"/>
        </w:numPr>
        <w:rPr>
          <w:highlight w:val="yellow"/>
        </w:rPr>
      </w:pPr>
      <w:r w:rsidRPr="002F01C5">
        <w:rPr>
          <w:highlight w:val="yellow"/>
        </w:rPr>
        <w:t>Smaller project site, is attractive to a wide pool of potential purchasers –likely owner-users.</w:t>
      </w:r>
    </w:p>
    <w:p w14:paraId="743DCF2B" w14:textId="77777777" w:rsidR="00324CB8" w:rsidRPr="002F01C5" w:rsidRDefault="00324CB8" w:rsidP="00324CB8">
      <w:pPr>
        <w:rPr>
          <w:rFonts w:cs="Arial"/>
          <w:bCs/>
          <w:color w:val="1E4959"/>
          <w:sz w:val="24"/>
          <w:szCs w:val="22"/>
          <w:highlight w:val="yellow"/>
          <w:u w:val="single"/>
        </w:rPr>
      </w:pPr>
      <w:r w:rsidRPr="002F01C5">
        <w:rPr>
          <w:rFonts w:cs="Arial"/>
          <w:bCs/>
          <w:color w:val="1E4959"/>
          <w:sz w:val="24"/>
          <w:szCs w:val="22"/>
          <w:highlight w:val="yellow"/>
          <w:u w:val="single"/>
        </w:rPr>
        <w:lastRenderedPageBreak/>
        <w:t>Weaknesses:</w:t>
      </w:r>
    </w:p>
    <w:p w14:paraId="02418A87" w14:textId="77777777" w:rsidR="00324CB8" w:rsidRPr="002F01C5" w:rsidRDefault="00324CB8" w:rsidP="00324CB8">
      <w:pPr>
        <w:numPr>
          <w:ilvl w:val="0"/>
          <w:numId w:val="15"/>
        </w:numPr>
        <w:rPr>
          <w:highlight w:val="yellow"/>
        </w:rPr>
      </w:pPr>
      <w:r w:rsidRPr="002F01C5">
        <w:rPr>
          <w:highlight w:val="yellow"/>
        </w:rPr>
        <w:t>Location adjacent to a power sub-station which may be off putting to potential buyers or customers.</w:t>
      </w:r>
    </w:p>
    <w:p w14:paraId="276C11B8" w14:textId="77777777" w:rsidR="00324CB8" w:rsidRPr="002F01C5" w:rsidRDefault="00324CB8" w:rsidP="00324CB8">
      <w:pPr>
        <w:numPr>
          <w:ilvl w:val="0"/>
          <w:numId w:val="15"/>
        </w:numPr>
        <w:rPr>
          <w:highlight w:val="yellow"/>
        </w:rPr>
      </w:pPr>
      <w:r w:rsidRPr="002F01C5">
        <w:rPr>
          <w:highlight w:val="yellow"/>
        </w:rPr>
        <w:t>Mid-block placement on an atypical street for the pending intended use.</w:t>
      </w:r>
    </w:p>
    <w:p w14:paraId="77F08DEB" w14:textId="77777777" w:rsidR="00324CB8" w:rsidRPr="002F01C5" w:rsidRDefault="00324CB8" w:rsidP="00324CB8">
      <w:pPr>
        <w:rPr>
          <w:highlight w:val="yellow"/>
        </w:rPr>
      </w:pPr>
    </w:p>
    <w:p w14:paraId="62816B8D" w14:textId="77777777" w:rsidR="00324CB8" w:rsidRPr="002F01C5" w:rsidRDefault="00324CB8" w:rsidP="00324CB8">
      <w:pPr>
        <w:rPr>
          <w:rFonts w:cs="Arial"/>
          <w:bCs/>
          <w:color w:val="1E4959"/>
          <w:sz w:val="24"/>
          <w:szCs w:val="22"/>
          <w:highlight w:val="yellow"/>
          <w:u w:val="single"/>
        </w:rPr>
      </w:pPr>
      <w:r w:rsidRPr="002F01C5">
        <w:rPr>
          <w:rFonts w:cs="Arial"/>
          <w:bCs/>
          <w:color w:val="1E4959"/>
          <w:sz w:val="24"/>
          <w:szCs w:val="22"/>
          <w:highlight w:val="yellow"/>
          <w:u w:val="single"/>
        </w:rPr>
        <w:t>Opportunities:</w:t>
      </w:r>
    </w:p>
    <w:p w14:paraId="1A07F1BE" w14:textId="77777777" w:rsidR="00324CB8" w:rsidRPr="002F01C5" w:rsidRDefault="00324CB8" w:rsidP="00324CB8">
      <w:pPr>
        <w:numPr>
          <w:ilvl w:val="0"/>
          <w:numId w:val="15"/>
        </w:numPr>
        <w:rPr>
          <w:kern w:val="24"/>
          <w:highlight w:val="yellow"/>
        </w:rPr>
      </w:pPr>
      <w:r w:rsidRPr="002F01C5">
        <w:rPr>
          <w:kern w:val="24"/>
          <w:highlight w:val="yellow"/>
        </w:rPr>
        <w:t>Good long-term potential for a sale to an owner-user.</w:t>
      </w:r>
    </w:p>
    <w:p w14:paraId="3DD1C09E" w14:textId="77777777" w:rsidR="00324CB8" w:rsidRPr="002F01C5" w:rsidRDefault="00324CB8" w:rsidP="00324CB8">
      <w:pPr>
        <w:rPr>
          <w:spacing w:val="-3"/>
          <w:kern w:val="2"/>
          <w:highlight w:val="yellow"/>
        </w:rPr>
      </w:pPr>
    </w:p>
    <w:p w14:paraId="32D748E3" w14:textId="77777777" w:rsidR="00324CB8" w:rsidRPr="002F01C5" w:rsidRDefault="00324CB8" w:rsidP="00324CB8">
      <w:pPr>
        <w:rPr>
          <w:rFonts w:cs="Arial"/>
          <w:bCs/>
          <w:color w:val="1E4959"/>
          <w:sz w:val="24"/>
          <w:szCs w:val="22"/>
          <w:highlight w:val="yellow"/>
          <w:u w:val="single"/>
        </w:rPr>
      </w:pPr>
      <w:r w:rsidRPr="002F01C5">
        <w:rPr>
          <w:rFonts w:cs="Arial"/>
          <w:bCs/>
          <w:color w:val="1E4959"/>
          <w:sz w:val="24"/>
          <w:szCs w:val="22"/>
          <w:highlight w:val="yellow"/>
          <w:u w:val="single"/>
        </w:rPr>
        <w:t>Threats:</w:t>
      </w:r>
    </w:p>
    <w:p w14:paraId="0813FDFE" w14:textId="77777777" w:rsidR="00324CB8" w:rsidRPr="006B5669" w:rsidRDefault="00324CB8" w:rsidP="00324CB8">
      <w:pPr>
        <w:numPr>
          <w:ilvl w:val="0"/>
          <w:numId w:val="15"/>
        </w:numPr>
        <w:rPr>
          <w:rFonts w:cs="Arial"/>
          <w:szCs w:val="22"/>
        </w:rPr>
      </w:pPr>
      <w:r w:rsidRPr="002F01C5">
        <w:rPr>
          <w:rFonts w:cs="Arial"/>
          <w:szCs w:val="22"/>
          <w:highlight w:val="yellow"/>
        </w:rPr>
        <w:t>Current COVID-19 crisis has shaken the market and may have unforeseen consequences (please</w:t>
      </w:r>
      <w:r w:rsidRPr="006B5669">
        <w:rPr>
          <w:rFonts w:cs="Arial"/>
          <w:szCs w:val="22"/>
        </w:rPr>
        <w:t xml:space="preserve"> refer to the Market Analysis discussion).</w:t>
      </w:r>
    </w:p>
    <w:p w14:paraId="51CE206E" w14:textId="77777777" w:rsidR="0061753F" w:rsidRDefault="0061753F" w:rsidP="0061753F">
      <w:pPr>
        <w:pStyle w:val="Footer"/>
        <w:tabs>
          <w:tab w:val="clear" w:pos="4320"/>
          <w:tab w:val="clear" w:pos="8640"/>
        </w:tabs>
        <w:rPr>
          <w:rFonts w:eastAsia="Calibri" w:cs="Arial"/>
          <w:color w:val="000000"/>
          <w:kern w:val="20"/>
          <w:szCs w:val="22"/>
        </w:rPr>
      </w:pPr>
    </w:p>
    <w:p w14:paraId="2195A833" w14:textId="097B1480" w:rsidR="0061753F" w:rsidRDefault="0061753F" w:rsidP="0061753F">
      <w:pPr>
        <w:pStyle w:val="Footer"/>
        <w:tabs>
          <w:tab w:val="clear" w:pos="4320"/>
          <w:tab w:val="clear" w:pos="8640"/>
        </w:tabs>
        <w:rPr>
          <w:rFonts w:eastAsia="Calibri" w:cs="Arial"/>
          <w:color w:val="000000"/>
          <w:kern w:val="20"/>
          <w:szCs w:val="22"/>
        </w:rPr>
        <w:sectPr w:rsidR="0061753F" w:rsidSect="00376BB1">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pPr>
    </w:p>
    <w:p w14:paraId="05807066" w14:textId="0E1DA027" w:rsidR="0061753F" w:rsidRDefault="0061753F" w:rsidP="0061753F">
      <w:pPr>
        <w:pStyle w:val="Footer"/>
        <w:tabs>
          <w:tab w:val="clear" w:pos="4320"/>
          <w:tab w:val="clear" w:pos="8640"/>
        </w:tabs>
        <w:rPr>
          <w:rFonts w:eastAsia="Calibri" w:cs="Arial"/>
          <w:color w:val="000000"/>
          <w:kern w:val="20"/>
          <w:szCs w:val="22"/>
        </w:rPr>
      </w:pPr>
    </w:p>
    <w:sectPr w:rsidR="0061753F" w:rsidSect="00376BB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978D2" w14:textId="77777777" w:rsidR="001510BA" w:rsidRDefault="001510BA">
      <w:r>
        <w:separator/>
      </w:r>
    </w:p>
  </w:endnote>
  <w:endnote w:type="continuationSeparator" w:id="0">
    <w:p w14:paraId="69EA8FEF" w14:textId="77777777" w:rsidR="001510BA" w:rsidRDefault="0015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94D7" w14:textId="77777777" w:rsidR="001F66A1" w:rsidRDefault="001F6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16F83DF5"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1F66A1">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6377C4">
      <w:rPr>
        <w:rFonts w:cs="Segoe UI"/>
        <w:bCs/>
        <w:iCs/>
        <w:kern w:val="0"/>
        <w:sz w:val="20"/>
        <w:szCs w:val="18"/>
      </w:rPr>
      <w:t>${</w:t>
    </w:r>
    <w:proofErr w:type="spellStart"/>
    <w:r w:rsidRPr="006377C4">
      <w:rPr>
        <w:rFonts w:cs="Segoe UI"/>
        <w:bCs/>
        <w:iCs/>
        <w:kern w:val="0"/>
        <w:sz w:val="20"/>
        <w:szCs w:val="18"/>
      </w:rPr>
      <w:t>reportname</w:t>
    </w:r>
    <w:proofErr w:type="spellEnd"/>
    <w:r w:rsidRPr="006377C4">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C1077" w14:textId="77777777" w:rsidR="001F66A1" w:rsidRDefault="001F6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FA131" w14:textId="77777777" w:rsidR="001510BA" w:rsidRDefault="001510BA">
      <w:r>
        <w:separator/>
      </w:r>
    </w:p>
  </w:footnote>
  <w:footnote w:type="continuationSeparator" w:id="0">
    <w:p w14:paraId="7F79A5B5" w14:textId="77777777" w:rsidR="001510BA" w:rsidRDefault="0015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F6B83" w14:textId="77777777" w:rsidR="001F66A1" w:rsidRDefault="001F6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468"/>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6A5025EA" w:rsidR="00782513" w:rsidRPr="001F66A1" w:rsidRDefault="008B2CF2" w:rsidP="00782513">
          <w:pPr>
            <w:pStyle w:val="ValbridgeHeader"/>
            <w:spacing w:before="120" w:line="240" w:lineRule="auto"/>
            <w:rPr>
              <w:rFonts w:asciiTheme="minorHAnsi" w:hAnsiTheme="minorHAnsi"/>
              <w:noProof/>
              <w:color w:val="auto"/>
              <w:sz w:val="20"/>
            </w:rPr>
          </w:pPr>
          <w:r w:rsidRPr="001F66A1">
            <w:rPr>
              <w:rFonts w:asciiTheme="minorHAnsi" w:hAnsiTheme="minorHAnsi"/>
              <w:noProof/>
              <w:color w:val="auto"/>
              <w:sz w:val="20"/>
            </w:rPr>
            <w:t>${</w:t>
          </w:r>
          <w:r w:rsidR="001F66A1" w:rsidRPr="001F66A1">
            <w:rPr>
              <w:rFonts w:asciiTheme="minorHAnsi" w:hAnsiTheme="minorHAnsi"/>
              <w:noProof/>
              <w:color w:val="auto"/>
              <w:sz w:val="20"/>
            </w:rPr>
            <w:t>cappropname</w:t>
          </w:r>
          <w:r w:rsidRPr="001F66A1">
            <w:rPr>
              <w:rFonts w:asciiTheme="minorHAnsi" w:hAnsiTheme="minorHAnsi"/>
              <w:noProof/>
              <w:color w:val="auto"/>
              <w:sz w:val="20"/>
            </w:rPr>
            <w:t>}</w:t>
          </w:r>
        </w:p>
        <w:p w14:paraId="207A6F81" w14:textId="1E51BB15" w:rsidR="00DB2E0D" w:rsidRPr="00883365" w:rsidRDefault="0061753F" w:rsidP="00492705">
          <w:pPr>
            <w:pStyle w:val="ValbridgeHeader"/>
            <w:spacing w:line="240" w:lineRule="auto"/>
            <w:rPr>
              <w:rFonts w:ascii="Arial Narrow" w:hAnsi="Arial Narrow" w:cs="Arial"/>
            </w:rPr>
          </w:pPr>
          <w:r>
            <w:rPr>
              <w:rFonts w:asciiTheme="minorHAnsi" w:hAnsiTheme="minorHAnsi"/>
              <w:color w:val="auto"/>
              <w:sz w:val="20"/>
            </w:rPr>
            <w:t>RECONCILIATION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78E92" w14:textId="77777777" w:rsidR="001F66A1" w:rsidRDefault="001F6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6584"/>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46A"/>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0BA"/>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B7DC3"/>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32E"/>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6A1"/>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33F"/>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093"/>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1C5"/>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4CB8"/>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34C"/>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4F90"/>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14"/>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53F"/>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7C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7F5"/>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156A"/>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6FF6"/>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83B"/>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C8E"/>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1D04"/>
    <w:rsid w:val="00A620BC"/>
    <w:rsid w:val="00A63041"/>
    <w:rsid w:val="00A6343F"/>
    <w:rsid w:val="00A634FF"/>
    <w:rsid w:val="00A63991"/>
    <w:rsid w:val="00A639E0"/>
    <w:rsid w:val="00A6464D"/>
    <w:rsid w:val="00A64942"/>
    <w:rsid w:val="00A64C87"/>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ECA"/>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C2C"/>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0C8"/>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5CC"/>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C5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69E"/>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A8E"/>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879"/>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0D4"/>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5B72CDA7-B3CE-4268-AE8C-30290AAC1D05}"/>
      </w:docPartPr>
      <w:docPartBody>
        <w:p w:rsidR="00DD55B3" w:rsidRDefault="00700140">
          <w:r w:rsidRPr="00515F83">
            <w:rPr>
              <w:rStyle w:val="PlaceholderText"/>
            </w:rPr>
            <w:t>Choose an item.</w:t>
          </w:r>
        </w:p>
      </w:docPartBody>
    </w:docPart>
    <w:docPart>
      <w:docPartPr>
        <w:name w:val="BFF09973A63842DAB3569062607131C6"/>
        <w:category>
          <w:name w:val="General"/>
          <w:gallery w:val="placeholder"/>
        </w:category>
        <w:types>
          <w:type w:val="bbPlcHdr"/>
        </w:types>
        <w:behaviors>
          <w:behavior w:val="content"/>
        </w:behaviors>
        <w:guid w:val="{1EB86CA1-0ABF-45FF-873A-A233A90FC996}"/>
      </w:docPartPr>
      <w:docPartBody>
        <w:p w:rsidR="00DD55B3" w:rsidRDefault="00700140" w:rsidP="00700140">
          <w:pPr>
            <w:pStyle w:val="BFF09973A63842DAB3569062607131C6"/>
          </w:pPr>
          <w:r w:rsidRPr="003B43C3">
            <w:rPr>
              <w:rStyle w:val="PlaceholderText"/>
            </w:rPr>
            <w:t>Choose an item.</w:t>
          </w:r>
        </w:p>
      </w:docPartBody>
    </w:docPart>
    <w:docPart>
      <w:docPartPr>
        <w:name w:val="19733FE764394C5895D69EC58CA81A44"/>
        <w:category>
          <w:name w:val="General"/>
          <w:gallery w:val="placeholder"/>
        </w:category>
        <w:types>
          <w:type w:val="bbPlcHdr"/>
        </w:types>
        <w:behaviors>
          <w:behavior w:val="content"/>
        </w:behaviors>
        <w:guid w:val="{11E4A283-A399-4FA3-8D70-AF862E036312}"/>
      </w:docPartPr>
      <w:docPartBody>
        <w:p w:rsidR="00DD55B3" w:rsidRDefault="00700140" w:rsidP="00700140">
          <w:pPr>
            <w:pStyle w:val="19733FE764394C5895D69EC58CA81A44"/>
          </w:pPr>
          <w:r w:rsidRPr="00515F83">
            <w:rPr>
              <w:rStyle w:val="PlaceholderText"/>
            </w:rPr>
            <w:t>Choose an item.</w:t>
          </w:r>
        </w:p>
      </w:docPartBody>
    </w:docPart>
    <w:docPart>
      <w:docPartPr>
        <w:name w:val="3A4B7D724B8E4458ABF4969F828DE572"/>
        <w:category>
          <w:name w:val="General"/>
          <w:gallery w:val="placeholder"/>
        </w:category>
        <w:types>
          <w:type w:val="bbPlcHdr"/>
        </w:types>
        <w:behaviors>
          <w:behavior w:val="content"/>
        </w:behaviors>
        <w:guid w:val="{67E71967-232F-479E-912F-4C532418F0BD}"/>
      </w:docPartPr>
      <w:docPartBody>
        <w:p w:rsidR="00DD55B3" w:rsidRDefault="00700140" w:rsidP="00700140">
          <w:pPr>
            <w:pStyle w:val="3A4B7D724B8E4458ABF4969F828DE572"/>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3B4CCF"/>
    <w:rsid w:val="003E5D39"/>
    <w:rsid w:val="004305D1"/>
    <w:rsid w:val="0043779A"/>
    <w:rsid w:val="00473976"/>
    <w:rsid w:val="004C6EC4"/>
    <w:rsid w:val="00670C65"/>
    <w:rsid w:val="00693BF4"/>
    <w:rsid w:val="00700140"/>
    <w:rsid w:val="00761599"/>
    <w:rsid w:val="0092581C"/>
    <w:rsid w:val="009612AA"/>
    <w:rsid w:val="00A63AB8"/>
    <w:rsid w:val="00AB204C"/>
    <w:rsid w:val="00B32517"/>
    <w:rsid w:val="00BC4F80"/>
    <w:rsid w:val="00BD1F56"/>
    <w:rsid w:val="00C43866"/>
    <w:rsid w:val="00CD21B6"/>
    <w:rsid w:val="00D04789"/>
    <w:rsid w:val="00DD55B3"/>
    <w:rsid w:val="00F350F0"/>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140"/>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28DD729962ED4A0489880C9486F64AEA">
    <w:name w:val="28DD729962ED4A0489880C9486F64AEA"/>
    <w:rsid w:val="00473976"/>
  </w:style>
  <w:style w:type="paragraph" w:customStyle="1" w:styleId="66608FE4F821463E895AE86CCD3CE01B">
    <w:name w:val="66608FE4F821463E895AE86CCD3CE01B"/>
    <w:rsid w:val="00473976"/>
  </w:style>
  <w:style w:type="paragraph" w:customStyle="1" w:styleId="45B7E5F307314935806930C1B0990124">
    <w:name w:val="45B7E5F307314935806930C1B0990124"/>
    <w:rsid w:val="00473976"/>
  </w:style>
  <w:style w:type="paragraph" w:customStyle="1" w:styleId="AA88A83221384235B181C623A1D2D404">
    <w:name w:val="AA88A83221384235B181C623A1D2D404"/>
    <w:rsid w:val="00473976"/>
  </w:style>
  <w:style w:type="paragraph" w:customStyle="1" w:styleId="51CA25D643B342A48CFFE689A6FE94FC">
    <w:name w:val="51CA25D643B342A48CFFE689A6FE94FC"/>
    <w:rsid w:val="00670C65"/>
  </w:style>
  <w:style w:type="paragraph" w:customStyle="1" w:styleId="CD7F8B68B6AC410B826AE0432455B20C">
    <w:name w:val="CD7F8B68B6AC410B826AE0432455B20C"/>
    <w:rsid w:val="00670C65"/>
  </w:style>
  <w:style w:type="paragraph" w:customStyle="1" w:styleId="6D3A996A394B4DA59CEF06274A0B9C58">
    <w:name w:val="6D3A996A394B4DA59CEF06274A0B9C58"/>
    <w:rsid w:val="00670C65"/>
  </w:style>
  <w:style w:type="paragraph" w:customStyle="1" w:styleId="7B275A2AE3344D85A37A3B8FD32D8721">
    <w:name w:val="7B275A2AE3344D85A37A3B8FD32D8721"/>
    <w:rsid w:val="00670C65"/>
  </w:style>
  <w:style w:type="paragraph" w:customStyle="1" w:styleId="8493C13D906748A0A783F794A29E1179">
    <w:name w:val="8493C13D906748A0A783F794A29E1179"/>
    <w:rsid w:val="00670C65"/>
  </w:style>
  <w:style w:type="paragraph" w:customStyle="1" w:styleId="36232A2B2F5944FB8F3CEB76FD25B11E">
    <w:name w:val="36232A2B2F5944FB8F3CEB76FD25B11E"/>
    <w:rsid w:val="00670C65"/>
  </w:style>
  <w:style w:type="paragraph" w:customStyle="1" w:styleId="59DC9D0F6C4448188DD27E4BE5F93134">
    <w:name w:val="59DC9D0F6C4448188DD27E4BE5F93134"/>
    <w:rsid w:val="00670C65"/>
  </w:style>
  <w:style w:type="paragraph" w:customStyle="1" w:styleId="257BEAF8D258483E90104F6819B4F773">
    <w:name w:val="257BEAF8D258483E90104F6819B4F773"/>
    <w:rsid w:val="00670C65"/>
  </w:style>
  <w:style w:type="paragraph" w:customStyle="1" w:styleId="CD8C0BE2C6CA448BB87EABAD459CBEE7">
    <w:name w:val="CD8C0BE2C6CA448BB87EABAD459CBEE7"/>
    <w:rsid w:val="00670C65"/>
  </w:style>
  <w:style w:type="paragraph" w:customStyle="1" w:styleId="AB12B25B4D644DE587BB41347BAF331B">
    <w:name w:val="AB12B25B4D644DE587BB41347BAF331B"/>
    <w:rsid w:val="00670C65"/>
  </w:style>
  <w:style w:type="paragraph" w:customStyle="1" w:styleId="C4B97C6827594A61977E64E531847B4B">
    <w:name w:val="C4B97C6827594A61977E64E531847B4B"/>
    <w:rsid w:val="00670C65"/>
  </w:style>
  <w:style w:type="paragraph" w:customStyle="1" w:styleId="C3388771DEDB4E09AFE2723B409DE915">
    <w:name w:val="C3388771DEDB4E09AFE2723B409DE915"/>
    <w:rsid w:val="00670C65"/>
  </w:style>
  <w:style w:type="paragraph" w:customStyle="1" w:styleId="CD38C74F5E0D4D488735976D347F9D2E">
    <w:name w:val="CD38C74F5E0D4D488735976D347F9D2E"/>
    <w:rsid w:val="00670C65"/>
  </w:style>
  <w:style w:type="paragraph" w:customStyle="1" w:styleId="DB53DAFFCD8E470586ECF07B4B182E8F">
    <w:name w:val="DB53DAFFCD8E470586ECF07B4B182E8F"/>
    <w:rsid w:val="00670C65"/>
  </w:style>
  <w:style w:type="paragraph" w:customStyle="1" w:styleId="B2033638BD204F91AADC59BD8736612D">
    <w:name w:val="B2033638BD204F91AADC59BD8736612D"/>
    <w:rsid w:val="00670C65"/>
  </w:style>
  <w:style w:type="paragraph" w:customStyle="1" w:styleId="68F955A240DC426D9243F10707AD536E">
    <w:name w:val="68F955A240DC426D9243F10707AD536E"/>
    <w:rsid w:val="00670C65"/>
  </w:style>
  <w:style w:type="paragraph" w:customStyle="1" w:styleId="DB67DBF83A6E4B659C19F2F1A707A0AA">
    <w:name w:val="DB67DBF83A6E4B659C19F2F1A707A0AA"/>
    <w:rsid w:val="00670C65"/>
  </w:style>
  <w:style w:type="paragraph" w:customStyle="1" w:styleId="B51F751749034AF5B612D6046B778AB4">
    <w:name w:val="B51F751749034AF5B612D6046B778AB4"/>
    <w:rsid w:val="00670C65"/>
  </w:style>
  <w:style w:type="paragraph" w:customStyle="1" w:styleId="9D6CD8DC48634221BFF3C6BD9AFBFB6D">
    <w:name w:val="9D6CD8DC48634221BFF3C6BD9AFBFB6D"/>
    <w:rsid w:val="00670C65"/>
  </w:style>
  <w:style w:type="paragraph" w:customStyle="1" w:styleId="0B1959356BA7456B839D3CA02957AA9E">
    <w:name w:val="0B1959356BA7456B839D3CA02957AA9E"/>
    <w:rsid w:val="00700140"/>
  </w:style>
  <w:style w:type="paragraph" w:customStyle="1" w:styleId="BFF09973A63842DAB3569062607131C6">
    <w:name w:val="BFF09973A63842DAB3569062607131C6"/>
    <w:rsid w:val="00700140"/>
  </w:style>
  <w:style w:type="paragraph" w:customStyle="1" w:styleId="19733FE764394C5895D69EC58CA81A44">
    <w:name w:val="19733FE764394C5895D69EC58CA81A44"/>
    <w:rsid w:val="00700140"/>
  </w:style>
  <w:style w:type="paragraph" w:customStyle="1" w:styleId="935951A9D8244600A3AEEA0FAADBCB06">
    <w:name w:val="935951A9D8244600A3AEEA0FAADBCB06"/>
    <w:rsid w:val="00700140"/>
  </w:style>
  <w:style w:type="paragraph" w:customStyle="1" w:styleId="3DAB03CF79794104B573F2501834074E">
    <w:name w:val="3DAB03CF79794104B573F2501834074E"/>
    <w:rsid w:val="00700140"/>
  </w:style>
  <w:style w:type="paragraph" w:customStyle="1" w:styleId="F23310E9C6914FF0BA5D1494D8ADB5B2">
    <w:name w:val="F23310E9C6914FF0BA5D1494D8ADB5B2"/>
    <w:rsid w:val="00700140"/>
  </w:style>
  <w:style w:type="paragraph" w:customStyle="1" w:styleId="0D8AF404463147EF85EA28B8783CD9FC">
    <w:name w:val="0D8AF404463147EF85EA28B8783CD9FC"/>
    <w:rsid w:val="00700140"/>
  </w:style>
  <w:style w:type="paragraph" w:customStyle="1" w:styleId="3A4B7D724B8E4458ABF4969F828DE572">
    <w:name w:val="3A4B7D724B8E4458ABF4969F828DE572"/>
    <w:rsid w:val="00700140"/>
  </w:style>
  <w:style w:type="paragraph" w:customStyle="1" w:styleId="31F6EFE807234A91A40C5C2F8266BD83">
    <w:name w:val="31F6EFE807234A91A40C5C2F8266BD83"/>
    <w:rsid w:val="00700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D826D-3747-4C67-BF01-ACAC0B38BE9B}">
  <ds:schemaRefs>
    <ds:schemaRef ds:uri="http://schemas.openxmlformats.org/officeDocument/2006/bibliography"/>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6177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2020-06-09T20:53:00Z</dcterms:created>
  <dcterms:modified xsi:type="dcterms:W3CDTF">2020-06-13T23:37:00Z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