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61753F">
        <w:trPr>
          <w:trHeight w:hRule="exact" w:val="590"/>
        </w:trPr>
        <w:tc>
          <w:tcPr>
            <w:tcW w:w="936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2AD86158" w14:textId="77777777" w:rsidR="0061753F" w:rsidRPr="00F166AD" w:rsidRDefault="0061753F" w:rsidP="0061753F">
      <w:pPr>
        <w:pStyle w:val="Heading20"/>
        <w:rPr>
          <w:rFonts w:asciiTheme="minorHAnsi" w:hAnsiTheme="minorHAnsi" w:cs="Arial"/>
          <w:b w:val="0"/>
          <w:color w:val="1E4959"/>
          <w:spacing w:val="0"/>
          <w:kern w:val="20"/>
          <w:sz w:val="28"/>
          <w:szCs w:val="22"/>
        </w:rPr>
      </w:pPr>
      <w:r w:rsidRPr="00F166AD">
        <w:rPr>
          <w:rFonts w:asciiTheme="minorHAnsi" w:hAnsiTheme="minorHAnsi" w:cs="Arial"/>
          <w:b w:val="0"/>
          <w:color w:val="1E4959"/>
          <w:spacing w:val="0"/>
          <w:kern w:val="20"/>
          <w:sz w:val="28"/>
          <w:szCs w:val="22"/>
        </w:rPr>
        <w:t>Summary of Value Indications</w:t>
      </w:r>
    </w:p>
    <w:p w14:paraId="4A1B43CF" w14:textId="77777777" w:rsidR="0061753F" w:rsidRPr="00F166AD" w:rsidRDefault="0061753F" w:rsidP="0061753F">
      <w:pPr>
        <w:suppressAutoHyphens/>
        <w:rPr>
          <w:rFonts w:cs="Arial"/>
          <w:szCs w:val="22"/>
        </w:rPr>
      </w:pPr>
      <w:r w:rsidRPr="00F166AD">
        <w:rPr>
          <w:rFonts w:cs="Arial"/>
          <w:szCs w:val="22"/>
        </w:rPr>
        <w:t xml:space="preserve">The reconciliation of value indications is the final step in the appraisal process and involves the reviewing and weighing of the individual valuation techniques in relationship to their substantiation by market data, and the reliability and applicability of each valuation technique to the subject project. The reconciliation criteria are appropriateness, accuracy, and quantity of evidence. </w:t>
      </w:r>
    </w:p>
    <w:p w14:paraId="13054A0C" w14:textId="77777777" w:rsidR="0061753F" w:rsidRPr="00F166AD" w:rsidRDefault="0061753F" w:rsidP="0061753F">
      <w:pPr>
        <w:rPr>
          <w:rFonts w:cs="Arial"/>
          <w:szCs w:val="22"/>
        </w:rPr>
      </w:pPr>
    </w:p>
    <w:p w14:paraId="6DA809F9" w14:textId="0E0D7BB5" w:rsidR="00D010C8" w:rsidRPr="009B6E44" w:rsidRDefault="00D010C8" w:rsidP="00D010C8">
      <w:pPr>
        <w:rPr>
          <w:rFonts w:cs="Arial"/>
          <w:szCs w:val="22"/>
        </w:rPr>
      </w:pPr>
      <w:r w:rsidRPr="00855DB1">
        <w:rPr>
          <w:rFonts w:cs="Arial"/>
          <w:szCs w:val="22"/>
        </w:rPr>
        <w:t xml:space="preserve">All three approaches, the Income Capitalization, Sales Comparison and Cost Approaches to value were utilized in this assignment.  Based on the three methods of appraisal, the estimated </w:t>
      </w:r>
      <w:r w:rsidRPr="00855DB1">
        <w:rPr>
          <w:rFonts w:cs="Arial"/>
          <w:b/>
          <w:szCs w:val="22"/>
        </w:rPr>
        <w:t>prospective stabilized market values</w:t>
      </w:r>
      <w:r w:rsidRPr="00855DB1">
        <w:rPr>
          <w:rFonts w:cs="Arial"/>
          <w:szCs w:val="22"/>
        </w:rPr>
        <w:t xml:space="preserve"> of the fee simple interest in the subject pro</w:t>
      </w:r>
      <w:r w:rsidR="00A0580F">
        <w:rPr>
          <w:rFonts w:cs="Arial"/>
          <w:szCs w:val="22"/>
        </w:rPr>
        <w:t>ject</w:t>
      </w:r>
      <w:r w:rsidRPr="00855DB1">
        <w:rPr>
          <w:rFonts w:cs="Arial"/>
          <w:szCs w:val="22"/>
        </w:rPr>
        <w:t xml:space="preserve"> is summarized as follows:</w:t>
      </w:r>
    </w:p>
    <w:p w14:paraId="24B7CD89" w14:textId="77777777" w:rsidR="0061753F" w:rsidRPr="00F166AD" w:rsidRDefault="0061753F" w:rsidP="0061753F">
      <w:pPr>
        <w:pStyle w:val="ListParagraph"/>
        <w:ind w:left="0"/>
        <w:rPr>
          <w:rFonts w:cs="Arial"/>
          <w:kern w:val="20"/>
          <w:szCs w:val="22"/>
        </w:rPr>
      </w:pPr>
    </w:p>
    <w:tbl>
      <w:tblPr>
        <w:tblW w:w="94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38"/>
        <w:gridCol w:w="1530"/>
        <w:gridCol w:w="1440"/>
        <w:gridCol w:w="2160"/>
      </w:tblGrid>
      <w:tr w:rsidR="0061753F" w:rsidRPr="00F166AD" w14:paraId="6D640CB1" w14:textId="77777777" w:rsidTr="00A16296">
        <w:tc>
          <w:tcPr>
            <w:tcW w:w="4338" w:type="dxa"/>
            <w:tcBorders>
              <w:top w:val="nil"/>
              <w:left w:val="nil"/>
              <w:bottom w:val="single" w:sz="24" w:space="0" w:color="3FB44F"/>
              <w:right w:val="nil"/>
            </w:tcBorders>
            <w:shd w:val="clear" w:color="auto" w:fill="1E4959"/>
          </w:tcPr>
          <w:p w14:paraId="3A54BFEF" w14:textId="77777777" w:rsidR="0061753F" w:rsidRPr="00F166AD" w:rsidRDefault="0061753F" w:rsidP="00A16296">
            <w:pPr>
              <w:tabs>
                <w:tab w:val="left" w:pos="3960"/>
              </w:tabs>
              <w:spacing w:after="60" w:line="20" w:lineRule="atLeast"/>
              <w:jc w:val="left"/>
              <w:rPr>
                <w:rFonts w:cs="Arial"/>
                <w:b/>
                <w:smallCaps/>
                <w:color w:val="FFFFFF" w:themeColor="background1"/>
                <w:szCs w:val="22"/>
              </w:rPr>
            </w:pPr>
            <w:r w:rsidRPr="00F166AD">
              <w:rPr>
                <w:rFonts w:cs="Arial"/>
                <w:b/>
                <w:smallCaps/>
                <w:color w:val="FFFFFF" w:themeColor="background1"/>
                <w:szCs w:val="22"/>
              </w:rPr>
              <w:br/>
              <w:t>Valuation Approach</w:t>
            </w:r>
          </w:p>
        </w:tc>
        <w:tc>
          <w:tcPr>
            <w:tcW w:w="1530" w:type="dxa"/>
            <w:tcBorders>
              <w:top w:val="nil"/>
              <w:left w:val="nil"/>
              <w:bottom w:val="single" w:sz="24" w:space="0" w:color="3FB44F"/>
              <w:right w:val="nil"/>
            </w:tcBorders>
            <w:shd w:val="clear" w:color="auto" w:fill="1E4959"/>
          </w:tcPr>
          <w:p w14:paraId="60541262"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1440" w:type="dxa"/>
            <w:tcBorders>
              <w:top w:val="nil"/>
              <w:left w:val="nil"/>
              <w:bottom w:val="single" w:sz="24" w:space="0" w:color="3FB44F"/>
              <w:right w:val="nil"/>
            </w:tcBorders>
            <w:shd w:val="clear" w:color="auto" w:fill="1E4959"/>
          </w:tcPr>
          <w:p w14:paraId="14521C49"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2160" w:type="dxa"/>
            <w:tcBorders>
              <w:top w:val="nil"/>
              <w:left w:val="nil"/>
              <w:bottom w:val="single" w:sz="24" w:space="0" w:color="3FB44F"/>
              <w:right w:val="nil"/>
            </w:tcBorders>
            <w:shd w:val="clear" w:color="auto" w:fill="1E4959"/>
          </w:tcPr>
          <w:p w14:paraId="2D13D877"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r w:rsidRPr="00F166AD">
              <w:rPr>
                <w:rFonts w:cs="Arial"/>
                <w:b/>
                <w:smallCaps/>
                <w:color w:val="FFFFFF" w:themeColor="background1"/>
                <w:szCs w:val="22"/>
              </w:rPr>
              <w:t>Value</w:t>
            </w:r>
            <w:r w:rsidRPr="00F166AD">
              <w:rPr>
                <w:rFonts w:cs="Arial"/>
                <w:b/>
                <w:smallCaps/>
                <w:color w:val="FFFFFF" w:themeColor="background1"/>
                <w:szCs w:val="22"/>
              </w:rPr>
              <w:br/>
              <w:t>Conclusion</w:t>
            </w:r>
          </w:p>
        </w:tc>
      </w:tr>
      <w:tr w:rsidR="0061753F" w:rsidRPr="00F166AD" w14:paraId="49FDFA02" w14:textId="77777777" w:rsidTr="00A16296">
        <w:trPr>
          <w:trHeight w:val="507"/>
        </w:trPr>
        <w:tc>
          <w:tcPr>
            <w:tcW w:w="4338" w:type="dxa"/>
            <w:tcBorders>
              <w:top w:val="single" w:sz="24" w:space="0" w:color="3FB44F"/>
              <w:left w:val="nil"/>
              <w:bottom w:val="single" w:sz="6" w:space="0" w:color="auto"/>
              <w:right w:val="nil"/>
            </w:tcBorders>
          </w:tcPr>
          <w:p w14:paraId="3247DCBC" w14:textId="77777777" w:rsidR="0061753F" w:rsidRPr="00F166AD" w:rsidRDefault="0061753F" w:rsidP="00A16296">
            <w:pPr>
              <w:tabs>
                <w:tab w:val="left" w:pos="3960"/>
              </w:tabs>
              <w:spacing w:before="120"/>
              <w:jc w:val="left"/>
              <w:rPr>
                <w:rFonts w:cs="Arial"/>
                <w:b/>
                <w:szCs w:val="22"/>
              </w:rPr>
            </w:pPr>
            <w:r w:rsidRPr="00F166AD">
              <w:rPr>
                <w:rFonts w:cs="Arial"/>
                <w:b/>
                <w:szCs w:val="22"/>
              </w:rPr>
              <w:t>COST APPROACH</w:t>
            </w:r>
          </w:p>
        </w:tc>
        <w:tc>
          <w:tcPr>
            <w:tcW w:w="1530" w:type="dxa"/>
            <w:tcBorders>
              <w:top w:val="single" w:sz="24" w:space="0" w:color="3FB44F"/>
              <w:left w:val="nil"/>
              <w:bottom w:val="single" w:sz="6" w:space="0" w:color="auto"/>
              <w:right w:val="nil"/>
            </w:tcBorders>
          </w:tcPr>
          <w:p w14:paraId="09EBEAA6" w14:textId="77777777" w:rsidR="0061753F" w:rsidRPr="00F166AD" w:rsidRDefault="0061753F" w:rsidP="00A16296">
            <w:pPr>
              <w:tabs>
                <w:tab w:val="left" w:pos="3960"/>
              </w:tabs>
              <w:spacing w:before="60"/>
              <w:jc w:val="left"/>
              <w:rPr>
                <w:rFonts w:cs="Arial"/>
                <w:szCs w:val="22"/>
              </w:rPr>
            </w:pPr>
          </w:p>
        </w:tc>
        <w:tc>
          <w:tcPr>
            <w:tcW w:w="1440" w:type="dxa"/>
            <w:tcBorders>
              <w:top w:val="single" w:sz="24" w:space="0" w:color="3FB44F"/>
              <w:left w:val="nil"/>
              <w:bottom w:val="single" w:sz="6" w:space="0" w:color="auto"/>
              <w:right w:val="single" w:sz="6" w:space="0" w:color="auto"/>
            </w:tcBorders>
          </w:tcPr>
          <w:p w14:paraId="3A958752" w14:textId="77777777" w:rsidR="0061753F" w:rsidRPr="00F166AD" w:rsidRDefault="0061753F" w:rsidP="00A16296">
            <w:pPr>
              <w:tabs>
                <w:tab w:val="left" w:pos="3960"/>
              </w:tabs>
              <w:spacing w:before="60"/>
              <w:jc w:val="right"/>
              <w:rPr>
                <w:rFonts w:cs="Arial"/>
                <w:szCs w:val="22"/>
              </w:rPr>
            </w:pPr>
          </w:p>
        </w:tc>
        <w:tc>
          <w:tcPr>
            <w:tcW w:w="2160" w:type="dxa"/>
            <w:tcBorders>
              <w:top w:val="single" w:sz="24" w:space="0" w:color="3FB44F"/>
              <w:left w:val="nil"/>
              <w:bottom w:val="single" w:sz="6" w:space="0" w:color="auto"/>
              <w:right w:val="nil"/>
            </w:tcBorders>
            <w:vAlign w:val="center"/>
          </w:tcPr>
          <w:p w14:paraId="1575244A" w14:textId="68FFC55D" w:rsidR="0061753F" w:rsidRPr="00F166AD" w:rsidRDefault="00D010C8" w:rsidP="00A16296">
            <w:pPr>
              <w:tabs>
                <w:tab w:val="left" w:pos="3960"/>
              </w:tabs>
              <w:spacing w:before="60" w:after="120"/>
              <w:jc w:val="center"/>
              <w:rPr>
                <w:rFonts w:cs="Arial"/>
                <w:b/>
                <w:szCs w:val="22"/>
              </w:rPr>
            </w:pPr>
            <w:r w:rsidRPr="0061753F">
              <w:rPr>
                <w:rFonts w:cs="Arial"/>
                <w:b/>
                <w:szCs w:val="22"/>
                <w:highlight w:val="yellow"/>
              </w:rPr>
              <w:t>$______</w:t>
            </w:r>
            <w:r>
              <w:rPr>
                <w:rFonts w:cs="Arial"/>
                <w:b/>
                <w:szCs w:val="22"/>
                <w:highlight w:val="yellow"/>
              </w:rPr>
              <w:t>__</w:t>
            </w:r>
            <w:r w:rsidRPr="0061753F">
              <w:rPr>
                <w:rFonts w:cs="Arial"/>
                <w:b/>
                <w:szCs w:val="22"/>
                <w:highlight w:val="yellow"/>
              </w:rPr>
              <w:t>___</w:t>
            </w:r>
          </w:p>
        </w:tc>
      </w:tr>
      <w:tr w:rsidR="0061753F" w:rsidRPr="00F166AD" w14:paraId="269CDC32" w14:textId="77777777" w:rsidTr="00A16296">
        <w:trPr>
          <w:trHeight w:val="80"/>
        </w:trPr>
        <w:tc>
          <w:tcPr>
            <w:tcW w:w="4338" w:type="dxa"/>
            <w:tcBorders>
              <w:top w:val="single" w:sz="6" w:space="0" w:color="auto"/>
              <w:left w:val="nil"/>
              <w:bottom w:val="single" w:sz="6" w:space="0" w:color="auto"/>
              <w:right w:val="nil"/>
            </w:tcBorders>
          </w:tcPr>
          <w:p w14:paraId="2F6CF160" w14:textId="77777777" w:rsidR="0061753F" w:rsidRPr="00F166AD" w:rsidRDefault="0061753F" w:rsidP="00A16296">
            <w:pPr>
              <w:tabs>
                <w:tab w:val="left" w:pos="3960"/>
              </w:tabs>
              <w:spacing w:before="120" w:line="360" w:lineRule="auto"/>
              <w:rPr>
                <w:rFonts w:cs="Arial"/>
                <w:b/>
                <w:szCs w:val="22"/>
              </w:rPr>
            </w:pPr>
            <w:r w:rsidRPr="00F166AD">
              <w:rPr>
                <w:rFonts w:cs="Arial"/>
                <w:b/>
                <w:szCs w:val="22"/>
              </w:rPr>
              <w:t>SALES COMPARISON APPROACH</w:t>
            </w:r>
          </w:p>
        </w:tc>
        <w:tc>
          <w:tcPr>
            <w:tcW w:w="1530" w:type="dxa"/>
            <w:tcBorders>
              <w:top w:val="single" w:sz="6" w:space="0" w:color="auto"/>
              <w:left w:val="nil"/>
              <w:bottom w:val="single" w:sz="6" w:space="0" w:color="auto"/>
              <w:right w:val="nil"/>
            </w:tcBorders>
          </w:tcPr>
          <w:p w14:paraId="0174B0C4" w14:textId="77777777" w:rsidR="0061753F" w:rsidRPr="00F166AD"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single" w:sz="6" w:space="0" w:color="auto"/>
              <w:right w:val="single" w:sz="6" w:space="0" w:color="auto"/>
            </w:tcBorders>
          </w:tcPr>
          <w:p w14:paraId="74AE0E37" w14:textId="77777777" w:rsidR="0061753F" w:rsidRPr="00F166AD"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single" w:sz="6" w:space="0" w:color="auto"/>
              <w:right w:val="nil"/>
            </w:tcBorders>
          </w:tcPr>
          <w:p w14:paraId="54644AF8" w14:textId="0AF7CD1B" w:rsidR="0061753F" w:rsidRPr="005111EA"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w:t>
            </w:r>
            <w:r w:rsidR="00C14ECA">
              <w:rPr>
                <w:rFonts w:cs="Arial"/>
                <w:b/>
                <w:szCs w:val="22"/>
                <w:highlight w:val="yellow"/>
              </w:rPr>
              <w:t>__</w:t>
            </w:r>
            <w:r w:rsidRPr="0061753F">
              <w:rPr>
                <w:rFonts w:cs="Arial"/>
                <w:b/>
                <w:szCs w:val="22"/>
                <w:highlight w:val="yellow"/>
              </w:rPr>
              <w:t>___</w:t>
            </w:r>
          </w:p>
        </w:tc>
      </w:tr>
      <w:tr w:rsidR="0061753F" w:rsidRPr="009519CB" w14:paraId="08FC5D6F" w14:textId="77777777" w:rsidTr="00A16296">
        <w:trPr>
          <w:trHeight w:val="80"/>
        </w:trPr>
        <w:tc>
          <w:tcPr>
            <w:tcW w:w="4338" w:type="dxa"/>
            <w:tcBorders>
              <w:top w:val="single" w:sz="6" w:space="0" w:color="auto"/>
              <w:left w:val="nil"/>
              <w:bottom w:val="double" w:sz="6" w:space="0" w:color="auto"/>
              <w:right w:val="nil"/>
            </w:tcBorders>
          </w:tcPr>
          <w:p w14:paraId="6AB8244E" w14:textId="77777777" w:rsidR="0061753F" w:rsidRPr="009519CB" w:rsidRDefault="0061753F" w:rsidP="00A16296">
            <w:pPr>
              <w:tabs>
                <w:tab w:val="left" w:pos="3960"/>
              </w:tabs>
              <w:spacing w:before="120" w:line="360" w:lineRule="auto"/>
              <w:rPr>
                <w:rFonts w:cs="Arial"/>
                <w:b/>
                <w:szCs w:val="22"/>
              </w:rPr>
            </w:pPr>
            <w:r w:rsidRPr="009519CB">
              <w:rPr>
                <w:rFonts w:cs="Arial"/>
                <w:b/>
                <w:szCs w:val="22"/>
              </w:rPr>
              <w:t xml:space="preserve">INCOME APPROACH </w:t>
            </w:r>
          </w:p>
        </w:tc>
        <w:tc>
          <w:tcPr>
            <w:tcW w:w="1530" w:type="dxa"/>
            <w:tcBorders>
              <w:top w:val="single" w:sz="6" w:space="0" w:color="auto"/>
              <w:left w:val="nil"/>
              <w:bottom w:val="double" w:sz="6" w:space="0" w:color="auto"/>
              <w:right w:val="nil"/>
            </w:tcBorders>
          </w:tcPr>
          <w:p w14:paraId="3555C2BE" w14:textId="77777777" w:rsidR="0061753F" w:rsidRPr="009519CB"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double" w:sz="6" w:space="0" w:color="auto"/>
              <w:right w:val="single" w:sz="6" w:space="0" w:color="auto"/>
            </w:tcBorders>
          </w:tcPr>
          <w:p w14:paraId="361CB6E9" w14:textId="77777777" w:rsidR="0061753F" w:rsidRPr="009519CB"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double" w:sz="6" w:space="0" w:color="auto"/>
              <w:right w:val="nil"/>
            </w:tcBorders>
          </w:tcPr>
          <w:p w14:paraId="06A1D1DA" w14:textId="71727788" w:rsidR="0061753F" w:rsidRPr="00EE3761"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$_______</w:t>
            </w:r>
            <w:r w:rsidR="00C14ECA">
              <w:rPr>
                <w:rFonts w:cs="Arial"/>
                <w:b/>
                <w:szCs w:val="22"/>
                <w:highlight w:val="yellow"/>
              </w:rPr>
              <w:t>__</w:t>
            </w:r>
            <w:r w:rsidRPr="0061753F">
              <w:rPr>
                <w:rFonts w:cs="Arial"/>
                <w:b/>
                <w:szCs w:val="22"/>
                <w:highlight w:val="yellow"/>
              </w:rPr>
              <w:t>__</w:t>
            </w:r>
          </w:p>
        </w:tc>
      </w:tr>
    </w:tbl>
    <w:p w14:paraId="3904B47B" w14:textId="77777777" w:rsidR="00D010C8" w:rsidRPr="00D7083B" w:rsidRDefault="00D010C8" w:rsidP="00D010C8">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Concluded </w:t>
      </w:r>
      <w:r w:rsidRPr="00D7083B">
        <w:rPr>
          <w:rFonts w:asciiTheme="minorHAnsi" w:hAnsiTheme="minorHAnsi" w:cs="Arial"/>
          <w:b w:val="0"/>
          <w:color w:val="1E4959"/>
          <w:spacing w:val="0"/>
          <w:kern w:val="20"/>
          <w:sz w:val="28"/>
          <w:szCs w:val="22"/>
        </w:rPr>
        <w:t xml:space="preserve">Prospective Market Value </w:t>
      </w:r>
      <w:r>
        <w:rPr>
          <w:rFonts w:asciiTheme="minorHAnsi" w:hAnsiTheme="minorHAnsi" w:cs="Arial"/>
          <w:b w:val="0"/>
          <w:color w:val="1E4959"/>
          <w:spacing w:val="0"/>
          <w:kern w:val="20"/>
          <w:sz w:val="28"/>
          <w:szCs w:val="22"/>
        </w:rPr>
        <w:t xml:space="preserve">- </w:t>
      </w:r>
      <w:r w:rsidRPr="00D7083B">
        <w:rPr>
          <w:rFonts w:asciiTheme="minorHAnsi" w:hAnsiTheme="minorHAnsi" w:cs="Arial"/>
          <w:b w:val="0"/>
          <w:color w:val="1E4959"/>
          <w:spacing w:val="0"/>
          <w:kern w:val="20"/>
          <w:sz w:val="28"/>
          <w:szCs w:val="22"/>
        </w:rPr>
        <w:t>Stabilized</w:t>
      </w:r>
    </w:p>
    <w:p w14:paraId="048C9DB1" w14:textId="77777777" w:rsidR="00D010C8" w:rsidRDefault="00D010C8" w:rsidP="00D010C8">
      <w:pPr>
        <w:rPr>
          <w:rFonts w:cs="Arial"/>
          <w:szCs w:val="22"/>
        </w:rPr>
      </w:pPr>
      <w:r w:rsidRPr="00D010C8">
        <w:rPr>
          <w:rFonts w:cs="Arial"/>
          <w:szCs w:val="22"/>
          <w:highlight w:val="yellow"/>
        </w:rPr>
        <w:t>Assuming the subject’s future 100% leased / stabilized status as a two-tenant industrial property</w:t>
      </w:r>
      <w:r>
        <w:rPr>
          <w:rFonts w:cs="Arial"/>
          <w:szCs w:val="22"/>
        </w:rPr>
        <w:t xml:space="preserve">, primary emphasis would be placed on the Income Capitalization Approach due to its strong investor appeal.  However, good credible support is also provided by the Cost and Sales Comparison Approaches which were given strong secondary consideration in arriving at the concluded prospective stabilized market value. </w:t>
      </w:r>
    </w:p>
    <w:p w14:paraId="218A3BF6" w14:textId="77777777" w:rsidR="00D010C8" w:rsidRDefault="00D010C8" w:rsidP="00D010C8">
      <w:pPr>
        <w:rPr>
          <w:rFonts w:cs="Arial"/>
          <w:szCs w:val="22"/>
        </w:rPr>
      </w:pPr>
    </w:p>
    <w:p w14:paraId="4F2B09BC" w14:textId="77777777" w:rsidR="00D010C8" w:rsidRDefault="00D010C8" w:rsidP="00D010C8">
      <w:pPr>
        <w:rPr>
          <w:rFonts w:cs="Arial"/>
          <w:szCs w:val="22"/>
        </w:rPr>
      </w:pPr>
      <w:r w:rsidRPr="00D010C8">
        <w:rPr>
          <w:rFonts w:cs="Arial"/>
          <w:szCs w:val="22"/>
          <w:highlight w:val="yellow"/>
        </w:rPr>
        <w:t>Note that this prospective stabilized valuation was conducted under the assumption that the subject will be leased at market rents under typical market terms.  Therefore, the prospective stabilized value conclusions is reported as leased fee, consistent with the client’s requested scope of work.  However, the prospective stabilized leased fee and fee simple values are considered equal to one-another.</w:t>
      </w:r>
    </w:p>
    <w:p w14:paraId="41214212" w14:textId="77777777" w:rsidR="00D010C8" w:rsidRPr="00D7083B" w:rsidRDefault="00D010C8" w:rsidP="00D010C8">
      <w:pPr>
        <w:rPr>
          <w:rFonts w:cs="Arial"/>
          <w:szCs w:val="22"/>
        </w:rPr>
      </w:pPr>
    </w:p>
    <w:p w14:paraId="33F07F09" w14:textId="5B6C550A" w:rsidR="00D010C8" w:rsidRPr="00D7083B" w:rsidRDefault="00D010C8" w:rsidP="00D010C8">
      <w:pPr>
        <w:rPr>
          <w:rFonts w:cs="Arial"/>
          <w:szCs w:val="22"/>
        </w:rPr>
      </w:pPr>
      <w:r w:rsidRPr="00D7083B">
        <w:rPr>
          <w:rFonts w:cs="Arial"/>
          <w:szCs w:val="22"/>
        </w:rPr>
        <w:t xml:space="preserve">Based on the research, analyses and conclusions contained within this report, it is the appraiser’s opinion that the </w:t>
      </w:r>
      <w:r w:rsidRPr="00D7083B">
        <w:rPr>
          <w:rFonts w:cs="Arial"/>
          <w:b/>
          <w:szCs w:val="22"/>
        </w:rPr>
        <w:t xml:space="preserve">concluded prospective stabilized market value </w:t>
      </w:r>
      <w:r w:rsidRPr="00D7083B">
        <w:rPr>
          <w:rFonts w:cs="Arial"/>
          <w:szCs w:val="22"/>
        </w:rPr>
        <w:t xml:space="preserve">of the </w:t>
      </w:r>
      <w:r>
        <w:rPr>
          <w:rFonts w:cs="Arial"/>
          <w:szCs w:val="22"/>
        </w:rPr>
        <w:t xml:space="preserve">leased </w:t>
      </w:r>
      <w:r w:rsidRPr="00D7083B">
        <w:rPr>
          <w:rFonts w:cs="Arial"/>
          <w:szCs w:val="22"/>
        </w:rPr>
        <w:t>fee interest in the subject pro</w:t>
      </w:r>
      <w:r>
        <w:rPr>
          <w:rFonts w:cs="Arial"/>
          <w:szCs w:val="22"/>
        </w:rPr>
        <w:t>ject (</w:t>
      </w:r>
      <w:r w:rsidRPr="00D010C8">
        <w:rPr>
          <w:rFonts w:cs="Arial"/>
          <w:szCs w:val="22"/>
          <w:highlight w:val="yellow"/>
        </w:rPr>
        <w:t>95%</w:t>
      </w:r>
      <w:r>
        <w:rPr>
          <w:rFonts w:cs="Arial"/>
          <w:szCs w:val="22"/>
        </w:rPr>
        <w:t xml:space="preserve"> stabilized occupancy)</w:t>
      </w:r>
      <w:r w:rsidRPr="00D7083B">
        <w:rPr>
          <w:rFonts w:cs="Arial"/>
          <w:szCs w:val="22"/>
        </w:rPr>
        <w:t xml:space="preserve">, as of </w:t>
      </w:r>
      <w:r w:rsidR="00BF42B6">
        <w:rPr>
          <w:rFonts w:cs="Arial"/>
          <w:szCs w:val="22"/>
        </w:rPr>
        <w:t>${</w:t>
      </w:r>
      <w:proofErr w:type="spellStart"/>
      <w:r w:rsidR="00BF42B6" w:rsidRPr="00BF42B6">
        <w:rPr>
          <w:rFonts w:cs="Arial"/>
          <w:szCs w:val="22"/>
        </w:rPr>
        <w:t>eff_date_value</w:t>
      </w:r>
      <w:proofErr w:type="spellEnd"/>
      <w:r w:rsidR="00BF42B6">
        <w:rPr>
          <w:rFonts w:cs="Arial"/>
          <w:szCs w:val="22"/>
        </w:rPr>
        <w:t>}</w:t>
      </w:r>
      <w:r>
        <w:rPr>
          <w:rFonts w:cs="Arial"/>
          <w:szCs w:val="22"/>
        </w:rPr>
        <w:t>, should be</w:t>
      </w:r>
      <w:r w:rsidRPr="00D7083B">
        <w:rPr>
          <w:rFonts w:cs="Arial"/>
          <w:szCs w:val="22"/>
        </w:rPr>
        <w:t>:</w:t>
      </w:r>
    </w:p>
    <w:p w14:paraId="2C465596" w14:textId="77777777" w:rsidR="00D010C8" w:rsidRPr="00975A26" w:rsidRDefault="00D010C8" w:rsidP="00D010C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869"/>
      </w:tblGrid>
      <w:tr w:rsidR="00D010C8" w:rsidRPr="000754FA" w14:paraId="58D098BA" w14:textId="77777777" w:rsidTr="00A16296">
        <w:trPr>
          <w:jc w:val="center"/>
        </w:trPr>
        <w:tc>
          <w:tcPr>
            <w:tcW w:w="5400" w:type="dxa"/>
            <w:tcBorders>
              <w:bottom w:val="single" w:sz="24" w:space="0" w:color="3FB44F"/>
            </w:tcBorders>
            <w:shd w:val="clear" w:color="auto" w:fill="1E4959"/>
          </w:tcPr>
          <w:p w14:paraId="214E22C0" w14:textId="77777777" w:rsidR="00D010C8" w:rsidRPr="000754FA" w:rsidRDefault="00D010C8"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869" w:type="dxa"/>
            <w:tcBorders>
              <w:bottom w:val="single" w:sz="24" w:space="0" w:color="3FB44F"/>
            </w:tcBorders>
            <w:shd w:val="clear" w:color="auto" w:fill="1E4959"/>
          </w:tcPr>
          <w:p w14:paraId="4D97EFA0" w14:textId="77777777" w:rsidR="00D010C8" w:rsidRPr="000754FA" w:rsidRDefault="00D010C8" w:rsidP="00A16296">
            <w:pPr>
              <w:widowControl w:val="0"/>
              <w:tabs>
                <w:tab w:val="left" w:pos="0"/>
                <w:tab w:val="left" w:pos="259"/>
                <w:tab w:val="left" w:pos="518"/>
              </w:tabs>
              <w:spacing w:line="273" w:lineRule="exact"/>
              <w:jc w:val="right"/>
              <w:rPr>
                <w:rFonts w:cs="Arial"/>
                <w:szCs w:val="22"/>
              </w:rPr>
            </w:pPr>
          </w:p>
        </w:tc>
      </w:tr>
      <w:tr w:rsidR="00D010C8" w:rsidRPr="00061DC5" w14:paraId="53A2EFE6" w14:textId="77777777" w:rsidTr="00A16296">
        <w:trPr>
          <w:jc w:val="center"/>
        </w:trPr>
        <w:tc>
          <w:tcPr>
            <w:tcW w:w="5400" w:type="dxa"/>
            <w:tcBorders>
              <w:top w:val="single" w:sz="6" w:space="0" w:color="auto"/>
              <w:bottom w:val="double" w:sz="4" w:space="0" w:color="auto"/>
              <w:right w:val="single" w:sz="6" w:space="0" w:color="auto"/>
            </w:tcBorders>
          </w:tcPr>
          <w:p w14:paraId="557FFBF9" w14:textId="77777777" w:rsidR="00D010C8" w:rsidRPr="009C1DF6" w:rsidRDefault="00D010C8" w:rsidP="00A16296">
            <w:pPr>
              <w:pStyle w:val="Footer"/>
              <w:tabs>
                <w:tab w:val="clear" w:pos="4320"/>
                <w:tab w:val="clear" w:pos="8640"/>
                <w:tab w:val="left" w:pos="0"/>
                <w:tab w:val="left" w:pos="259"/>
                <w:tab w:val="left" w:pos="518"/>
              </w:tabs>
              <w:spacing w:line="440" w:lineRule="exact"/>
              <w:rPr>
                <w:rFonts w:cs="Segoe UI"/>
                <w:b/>
              </w:rPr>
            </w:pPr>
            <w:r>
              <w:rPr>
                <w:rFonts w:cs="Segoe UI"/>
                <w:b/>
              </w:rPr>
              <w:t xml:space="preserve">Concluded Prospective Market Value - </w:t>
            </w:r>
            <w:r w:rsidRPr="00061DC5">
              <w:rPr>
                <w:rFonts w:cs="Segoe UI"/>
                <w:b/>
              </w:rPr>
              <w:t>Stabilized</w:t>
            </w:r>
          </w:p>
        </w:tc>
        <w:tc>
          <w:tcPr>
            <w:tcW w:w="1869" w:type="dxa"/>
            <w:tcBorders>
              <w:top w:val="single" w:sz="6" w:space="0" w:color="auto"/>
              <w:left w:val="nil"/>
              <w:bottom w:val="double" w:sz="4" w:space="0" w:color="auto"/>
            </w:tcBorders>
          </w:tcPr>
          <w:p w14:paraId="29F26895" w14:textId="54EA0093" w:rsidR="00D010C8" w:rsidRPr="00061DC5" w:rsidRDefault="00D010C8" w:rsidP="00A16296">
            <w:pPr>
              <w:widowControl w:val="0"/>
              <w:tabs>
                <w:tab w:val="left" w:pos="0"/>
                <w:tab w:val="left" w:pos="259"/>
                <w:tab w:val="left" w:pos="518"/>
              </w:tabs>
              <w:spacing w:after="58" w:line="480" w:lineRule="exact"/>
              <w:jc w:val="center"/>
              <w:rPr>
                <w:rFonts w:cs="Arial"/>
                <w:szCs w:val="22"/>
              </w:rPr>
            </w:pPr>
            <w:r w:rsidRPr="0061753F">
              <w:rPr>
                <w:rFonts w:cs="Arial"/>
                <w:b/>
                <w:szCs w:val="22"/>
                <w:highlight w:val="yellow"/>
              </w:rPr>
              <w:t>$_______</w:t>
            </w:r>
            <w:r>
              <w:rPr>
                <w:rFonts w:cs="Arial"/>
                <w:b/>
                <w:szCs w:val="22"/>
                <w:highlight w:val="yellow"/>
              </w:rPr>
              <w:t>__</w:t>
            </w:r>
            <w:r w:rsidRPr="0061753F">
              <w:rPr>
                <w:rFonts w:cs="Arial"/>
                <w:b/>
                <w:szCs w:val="22"/>
                <w:highlight w:val="yellow"/>
              </w:rPr>
              <w:t>__</w:t>
            </w:r>
          </w:p>
        </w:tc>
      </w:tr>
    </w:tbl>
    <w:p w14:paraId="2CDA273E" w14:textId="77777777" w:rsidR="00D010C8" w:rsidRDefault="00D010C8" w:rsidP="00D010C8">
      <w:pPr>
        <w:rPr>
          <w:rFonts w:cs="Arial"/>
          <w:szCs w:val="22"/>
        </w:rPr>
      </w:pPr>
    </w:p>
    <w:p w14:paraId="48204373" w14:textId="77777777" w:rsidR="00D010C8" w:rsidRDefault="00D010C8" w:rsidP="00D010C8">
      <w:pPr>
        <w:rPr>
          <w:rFonts w:cs="Arial"/>
          <w:szCs w:val="22"/>
        </w:rPr>
      </w:pPr>
    </w:p>
    <w:p w14:paraId="18C86906" w14:textId="77777777" w:rsidR="00D010C8" w:rsidRPr="00D7083B" w:rsidRDefault="00D010C8" w:rsidP="00D010C8">
      <w:pPr>
        <w:rPr>
          <w:rFonts w:cs="Arial"/>
          <w:szCs w:val="22"/>
        </w:rPr>
      </w:pPr>
    </w:p>
    <w:p w14:paraId="5B71C147" w14:textId="77777777" w:rsidR="00D010C8" w:rsidRPr="00CC1F18" w:rsidRDefault="00D010C8" w:rsidP="00D010C8">
      <w:pPr>
        <w:keepNext/>
        <w:keepLines/>
        <w:spacing w:before="260"/>
        <w:outlineLvl w:val="1"/>
        <w:rPr>
          <w:rFonts w:cs="Arial"/>
          <w:iCs/>
          <w:color w:val="1E4959"/>
          <w:sz w:val="28"/>
          <w:szCs w:val="22"/>
        </w:rPr>
      </w:pPr>
      <w:r w:rsidRPr="00CC1F18">
        <w:rPr>
          <w:rFonts w:cs="Arial"/>
          <w:iCs/>
          <w:color w:val="1E4959"/>
          <w:sz w:val="28"/>
          <w:szCs w:val="22"/>
        </w:rPr>
        <w:lastRenderedPageBreak/>
        <w:t>Prospective Market Valuation at Completion</w:t>
      </w:r>
    </w:p>
    <w:p w14:paraId="3610A02D" w14:textId="77777777" w:rsidR="00D010C8" w:rsidRPr="00CC1F18" w:rsidRDefault="00D010C8" w:rsidP="00D010C8">
      <w:pPr>
        <w:keepNext/>
        <w:keepLines/>
        <w:spacing w:before="120"/>
        <w:outlineLvl w:val="1"/>
        <w:rPr>
          <w:rFonts w:cs="Arial"/>
          <w:iCs/>
          <w:color w:val="1E4959"/>
          <w:sz w:val="24"/>
          <w:szCs w:val="22"/>
          <w:u w:val="single"/>
        </w:rPr>
      </w:pPr>
      <w:r w:rsidRPr="00CC1F18">
        <w:rPr>
          <w:rFonts w:cs="Arial"/>
          <w:iCs/>
          <w:color w:val="1E4959"/>
          <w:sz w:val="24"/>
          <w:szCs w:val="22"/>
          <w:u w:val="single"/>
        </w:rPr>
        <w:t>Absorption / Lease-up Analysis</w:t>
      </w:r>
    </w:p>
    <w:p w14:paraId="36DDC0F4" w14:textId="77777777" w:rsidR="00D010C8" w:rsidRPr="00D010C8" w:rsidRDefault="00D010C8" w:rsidP="00D010C8">
      <w:pPr>
        <w:rPr>
          <w:highlight w:val="yellow"/>
        </w:rPr>
      </w:pPr>
      <w:r w:rsidRPr="00D010C8">
        <w:rPr>
          <w:highlight w:val="yellow"/>
        </w:rPr>
        <w:t xml:space="preserve">As previously discussed, the subject property is forecast to be 100% leased two tenants on stabilization, each assumed with an equal size space with an equal amount of office build-out.  Given that marketing has already begin for the project, with groundbreaking in May 2020, and project completion by February 2021, this leaves approximately 12 months in order to sign one or possibly even two tenant leases.  Our review of tenant interest relating to companies currently seeking distribution space like the subject (see Listings / Offers / Contracts subsection near the beginning of this report) would suggest current active interest and a strong possibility of pre-leasing at least 50% of the subject project on completion.  </w:t>
      </w:r>
    </w:p>
    <w:p w14:paraId="74402BFA" w14:textId="77777777" w:rsidR="00D010C8" w:rsidRPr="00D010C8" w:rsidRDefault="00D010C8" w:rsidP="00D010C8">
      <w:pPr>
        <w:rPr>
          <w:highlight w:val="yellow"/>
        </w:rPr>
      </w:pPr>
    </w:p>
    <w:p w14:paraId="5CE3FFC4" w14:textId="77777777" w:rsidR="00D010C8" w:rsidRPr="00D010C8" w:rsidRDefault="00D010C8" w:rsidP="00D010C8">
      <w:pPr>
        <w:rPr>
          <w:highlight w:val="yellow"/>
        </w:rPr>
      </w:pPr>
      <w:r w:rsidRPr="00D010C8">
        <w:rPr>
          <w:highlight w:val="yellow"/>
        </w:rPr>
        <w:t xml:space="preserve">Note that our Market Overview section reported the average lease-up time for space in the immediate CBD / West Vancouver submarket at 5.7 months, while the average leasing time in the larger Clark County market was reported at 6.3 months. Further, the market statistics indicate </w:t>
      </w:r>
      <w:r w:rsidRPr="00D010C8">
        <w:rPr>
          <w:rFonts w:cs="Arial"/>
          <w:szCs w:val="22"/>
          <w:highlight w:val="yellow"/>
        </w:rPr>
        <w:t>an approximate 75% probability of leasing a space within 6 months, and a +90% chance within 12 months of being actively marketed.</w:t>
      </w:r>
      <w:r w:rsidRPr="00D010C8">
        <w:rPr>
          <w:highlight w:val="yellow"/>
        </w:rPr>
        <w:t xml:space="preserve"> With a pre-construction / development period of 12 months, </w:t>
      </w:r>
      <w:r w:rsidRPr="00D010C8">
        <w:rPr>
          <w:highlight w:val="yellow"/>
          <w:u w:val="single"/>
        </w:rPr>
        <w:t>an additional absorption period of 6 months after the date of completion is reasonably anticipated</w:t>
      </w:r>
      <w:r w:rsidRPr="00D010C8">
        <w:rPr>
          <w:highlight w:val="yellow"/>
        </w:rPr>
        <w:t xml:space="preserve">.  This would infer a prospective stabilization date of August 1, 2021. Based on the preceding, we have assumed 50% of the subject will be leased on completion, with the remaining 50% leased within 6 months thereafter. </w:t>
      </w:r>
    </w:p>
    <w:p w14:paraId="31D7FC6A" w14:textId="77777777" w:rsidR="00D010C8" w:rsidRPr="00D010C8" w:rsidRDefault="00D010C8" w:rsidP="00D010C8">
      <w:pPr>
        <w:rPr>
          <w:highlight w:val="yellow"/>
        </w:rPr>
      </w:pPr>
    </w:p>
    <w:p w14:paraId="45FB2BCD" w14:textId="77777777" w:rsidR="00D010C8" w:rsidRPr="00D010C8" w:rsidRDefault="00D010C8" w:rsidP="00D010C8">
      <w:pPr>
        <w:rPr>
          <w:highlight w:val="yellow"/>
        </w:rPr>
      </w:pPr>
      <w:r w:rsidRPr="00D010C8">
        <w:rPr>
          <w:highlight w:val="yellow"/>
        </w:rPr>
        <w:t xml:space="preserve">With 50% pre-leased on completion (96,212 SF GLA), in order for the entire 192,424 SF project to theoretically achieve stabilized occupancy (192,424 SF x 95% = 182,803 SF stabilized occupancy over a 10-year investment holding term), there needs to be 86,591 SF to be leased.  However, the reality is that the developer will need to lease the entire project with likely two individual tenant leases, with this analysis taking into account the entirety of both tenant spaces to be absorbed.  </w:t>
      </w:r>
    </w:p>
    <w:p w14:paraId="4FCC2147" w14:textId="77777777" w:rsidR="00D010C8" w:rsidRPr="00D010C8" w:rsidRDefault="00D010C8" w:rsidP="00D010C8">
      <w:pPr>
        <w:rPr>
          <w:highlight w:val="yellow"/>
        </w:rPr>
      </w:pPr>
    </w:p>
    <w:p w14:paraId="65257768" w14:textId="77777777" w:rsidR="00D010C8" w:rsidRPr="00D010C8" w:rsidRDefault="00D010C8" w:rsidP="00D010C8">
      <w:pPr>
        <w:rPr>
          <w:highlight w:val="yellow"/>
        </w:rPr>
      </w:pPr>
      <w:r w:rsidRPr="00D010C8">
        <w:rPr>
          <w:highlight w:val="yellow"/>
        </w:rPr>
        <w:t>Note that no incremental lease-up is assumed in this analysis, with the average square footage for the two tenant spaces (96,212 SF GLA) assumed to achieve full occupancy at the end of the 6</w:t>
      </w:r>
      <w:r w:rsidRPr="00D010C8">
        <w:rPr>
          <w:highlight w:val="yellow"/>
        </w:rPr>
        <w:noBreakHyphen/>
        <w:t>month absorption period.  Our projection assumes the first space will leased / occupied on completion, with the final space leased in Month 6.</w:t>
      </w:r>
    </w:p>
    <w:p w14:paraId="6962D015" w14:textId="77777777" w:rsidR="00D010C8" w:rsidRPr="00D010C8" w:rsidRDefault="00D010C8" w:rsidP="00D010C8">
      <w:pPr>
        <w:rPr>
          <w:highlight w:val="yellow"/>
        </w:rPr>
      </w:pPr>
    </w:p>
    <w:p w14:paraId="0ED5A6C6" w14:textId="77777777" w:rsidR="00D010C8" w:rsidRPr="00D010C8" w:rsidRDefault="00D010C8" w:rsidP="00D010C8">
      <w:pPr>
        <w:rPr>
          <w:highlight w:val="yellow"/>
        </w:rPr>
      </w:pPr>
      <w:r w:rsidRPr="00D010C8">
        <w:rPr>
          <w:highlight w:val="yellow"/>
        </w:rPr>
        <w:t xml:space="preserve">Rent loss over the 6-month lease-up period is based on the average monthly blended market rent for the entire project of $0.619 per SF NNN, and includes a 5.0% deduction for stabilized vacancy.  Leasing commission of 4.0% of the total rent over an assumed typical 7.5-year lease (assuming likely range of 5 to 10 years for the subject spaces) are deducted, as are the developer’s pro forma Tenant Improvement cost estimate at $120.00 per SF office area.  Foregone monthly expense recoveries are roughly estimated at $0.169 per SF, which is considered to cover property taxes, insurance, nominal utilities, common area expenses (landscaping, etc.) and management fees over the lease-up period, and was also adjusted for stabilized vacancy of 5.0%.  Total expenses over the absorption period are estimated at $1,629,100. </w:t>
      </w:r>
    </w:p>
    <w:p w14:paraId="356BB80C" w14:textId="77777777" w:rsidR="00D010C8" w:rsidRPr="00D010C8" w:rsidRDefault="00D010C8" w:rsidP="00D010C8">
      <w:pPr>
        <w:rPr>
          <w:highlight w:val="yellow"/>
        </w:rPr>
      </w:pPr>
    </w:p>
    <w:p w14:paraId="00806E18" w14:textId="77777777" w:rsidR="00D010C8" w:rsidRDefault="00D010C8" w:rsidP="00D010C8">
      <w:r w:rsidRPr="00D010C8">
        <w:rPr>
          <w:highlight w:val="yellow"/>
        </w:rPr>
        <w:t>The final consideration for lease-up costs is in the form of developer’s profit, which is typically applicable for income-producing properties.  However, in the case of the subject project, it is being developed as institutional grade investment property, with a reasonable entrepreneurial required to compensate for the risk and effort of lease-up.  Such projects are typically in the range of 10% to 20% , depending on the level of perceived risk. Therefore, a 15% developer’s profit is assumed in this analysis due to its average risk characteristics.</w:t>
      </w:r>
    </w:p>
    <w:p w14:paraId="5A0C3801" w14:textId="77777777" w:rsidR="00D010C8" w:rsidRDefault="00D010C8" w:rsidP="00D010C8"/>
    <w:p w14:paraId="21CD5B6D" w14:textId="30DD8D90" w:rsidR="00D010C8" w:rsidRDefault="00D010C8" w:rsidP="00D010C8">
      <w:r>
        <w:lastRenderedPageBreak/>
        <w:t>Overall, a total</w:t>
      </w:r>
      <w:r w:rsidRPr="00664E95">
        <w:t xml:space="preserve"> deduction of </w:t>
      </w:r>
      <w:r w:rsidRPr="00D010C8">
        <w:rPr>
          <w:b/>
          <w:highlight w:val="yellow"/>
        </w:rPr>
        <w:t>$________</w:t>
      </w:r>
      <w:r w:rsidRPr="00664E95">
        <w:t xml:space="preserve"> </w:t>
      </w:r>
      <w:r w:rsidR="00535E14">
        <w:rPr>
          <w:rFonts w:cs="Arial"/>
          <w:szCs w:val="22"/>
        </w:rPr>
        <w:t>(</w:t>
      </w:r>
      <w:sdt>
        <w:sdtPr>
          <w:rPr>
            <w:rFonts w:cs="Arial"/>
            <w:szCs w:val="22"/>
            <w:highlight w:val="green"/>
          </w:rPr>
          <w:alias w:val="Rounded"/>
          <w:tag w:val="Rounded"/>
          <w:id w:val="-1183351504"/>
          <w:placeholder>
            <w:docPart w:val="9D6CD8DC48634221BFF3C6BD9AFBFB6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535E14">
            <w:rPr>
              <w:rFonts w:cs="Arial"/>
              <w:szCs w:val="22"/>
              <w:highlight w:val="green"/>
            </w:rPr>
            <w:t>rounded to the nearest $5,000</w:t>
          </w:r>
        </w:sdtContent>
      </w:sdt>
      <w:r w:rsidR="00535E14">
        <w:rPr>
          <w:rFonts w:cs="Arial"/>
          <w:szCs w:val="22"/>
        </w:rPr>
        <w:t xml:space="preserve">) </w:t>
      </w:r>
      <w:r>
        <w:t>from</w:t>
      </w:r>
      <w:r w:rsidRPr="00664E95">
        <w:t xml:space="preserve"> the </w:t>
      </w:r>
      <w:r>
        <w:t xml:space="preserve">prospective </w:t>
      </w:r>
      <w:r w:rsidRPr="00664E95">
        <w:t xml:space="preserve">stabilized market value of the subject for </w:t>
      </w:r>
      <w:r w:rsidRPr="00E8213A">
        <w:rPr>
          <w:b/>
          <w:bCs/>
        </w:rPr>
        <w:t>Absorption / Lease-Up Costs</w:t>
      </w:r>
      <w:r w:rsidRPr="00664E95">
        <w:t xml:space="preserve"> is applicable to conclude at the prospective value at completion.</w:t>
      </w:r>
      <w:r>
        <w:rPr>
          <w:b/>
        </w:rPr>
        <w:t xml:space="preserve"> </w:t>
      </w:r>
      <w:r>
        <w:t>The lease-up calculations are provided following this subsection.</w:t>
      </w:r>
    </w:p>
    <w:p w14:paraId="5E393A77" w14:textId="77777777" w:rsidR="00D010C8" w:rsidRPr="00892C65" w:rsidRDefault="00D010C8" w:rsidP="00D010C8">
      <w:pPr>
        <w:keepNext/>
        <w:keepLines/>
        <w:spacing w:before="260"/>
        <w:outlineLvl w:val="1"/>
        <w:rPr>
          <w:rFonts w:cs="Arial"/>
          <w:iCs/>
          <w:color w:val="1E4959"/>
          <w:sz w:val="28"/>
          <w:szCs w:val="22"/>
        </w:rPr>
      </w:pPr>
      <w:r w:rsidRPr="00892C65">
        <w:rPr>
          <w:rFonts w:cs="Arial"/>
          <w:iCs/>
          <w:color w:val="1E4959"/>
          <w:sz w:val="28"/>
          <w:szCs w:val="22"/>
        </w:rPr>
        <w:t xml:space="preserve">Concluded </w:t>
      </w:r>
      <w:r>
        <w:rPr>
          <w:rFonts w:cs="Arial"/>
          <w:iCs/>
          <w:color w:val="1E4959"/>
          <w:sz w:val="28"/>
          <w:szCs w:val="22"/>
        </w:rPr>
        <w:t xml:space="preserve">Prospective </w:t>
      </w:r>
      <w:r w:rsidRPr="00892C65">
        <w:rPr>
          <w:rFonts w:cs="Arial"/>
          <w:iCs/>
          <w:color w:val="1E4959"/>
          <w:sz w:val="28"/>
          <w:szCs w:val="22"/>
        </w:rPr>
        <w:t>Market Value</w:t>
      </w:r>
      <w:r>
        <w:rPr>
          <w:rFonts w:cs="Arial"/>
          <w:iCs/>
          <w:color w:val="1E4959"/>
          <w:sz w:val="28"/>
          <w:szCs w:val="22"/>
        </w:rPr>
        <w:t xml:space="preserve"> - At Completion</w:t>
      </w:r>
    </w:p>
    <w:p w14:paraId="5484C736" w14:textId="20EA0456" w:rsidR="00D010C8" w:rsidRPr="00975A26" w:rsidRDefault="00D010C8" w:rsidP="00D010C8">
      <w:pPr>
        <w:rPr>
          <w:rFonts w:cs="Segoe UI"/>
        </w:rPr>
      </w:pPr>
      <w:r>
        <w:rPr>
          <w:rFonts w:cs="Segoe UI"/>
        </w:rPr>
        <w:t>Deducting the lease-up cost from</w:t>
      </w:r>
      <w:r w:rsidRPr="00975A26">
        <w:rPr>
          <w:rFonts w:cs="Segoe UI"/>
        </w:rPr>
        <w:t xml:space="preserve"> the concluded </w:t>
      </w:r>
      <w:r>
        <w:rPr>
          <w:rFonts w:cs="Segoe UI"/>
        </w:rPr>
        <w:t xml:space="preserve">prospective </w:t>
      </w:r>
      <w:r w:rsidRPr="00975A26">
        <w:rPr>
          <w:rFonts w:cs="Segoe UI"/>
        </w:rPr>
        <w:t xml:space="preserve">stabilized </w:t>
      </w:r>
      <w:r>
        <w:rPr>
          <w:rFonts w:cs="Segoe UI"/>
        </w:rPr>
        <w:t xml:space="preserve">market </w:t>
      </w:r>
      <w:r w:rsidRPr="00975A26">
        <w:rPr>
          <w:rFonts w:cs="Segoe UI"/>
        </w:rPr>
        <w:t xml:space="preserve">value results in </w:t>
      </w:r>
      <w:r>
        <w:rPr>
          <w:rFonts w:cs="Segoe UI"/>
        </w:rPr>
        <w:t xml:space="preserve">the </w:t>
      </w:r>
      <w:r w:rsidRPr="00975A26">
        <w:rPr>
          <w:rFonts w:cs="Segoe UI"/>
          <w:b/>
        </w:rPr>
        <w:t xml:space="preserve">concluded </w:t>
      </w:r>
      <w:r>
        <w:rPr>
          <w:rFonts w:cs="Segoe UI"/>
          <w:b/>
        </w:rPr>
        <w:t>prospective market value at completion</w:t>
      </w:r>
      <w:r>
        <w:rPr>
          <w:rFonts w:cs="Segoe UI"/>
        </w:rPr>
        <w:t xml:space="preserve"> of the </w:t>
      </w:r>
      <w:r w:rsidRPr="00A0580F">
        <w:rPr>
          <w:rFonts w:cs="Segoe UI"/>
        </w:rPr>
        <w:t>leased fee</w:t>
      </w:r>
      <w:r>
        <w:rPr>
          <w:rFonts w:cs="Segoe UI"/>
        </w:rPr>
        <w:t xml:space="preserve"> interest in the </w:t>
      </w:r>
      <w:r w:rsidRPr="00D1288D">
        <w:rPr>
          <w:rFonts w:cs="Segoe UI"/>
          <w:b/>
        </w:rPr>
        <w:t>subject pro</w:t>
      </w:r>
      <w:r>
        <w:rPr>
          <w:rFonts w:cs="Segoe UI"/>
          <w:b/>
        </w:rPr>
        <w:t xml:space="preserve">ject </w:t>
      </w:r>
      <w:r>
        <w:rPr>
          <w:rFonts w:cs="Segoe UI"/>
          <w:bCs/>
        </w:rPr>
        <w:t>(</w:t>
      </w:r>
      <w:r w:rsidRPr="001E132E">
        <w:rPr>
          <w:rFonts w:cs="Segoe UI"/>
          <w:bCs/>
          <w:highlight w:val="yellow"/>
        </w:rPr>
        <w:t>50%</w:t>
      </w:r>
      <w:r>
        <w:rPr>
          <w:rFonts w:cs="Segoe UI"/>
          <w:bCs/>
        </w:rPr>
        <w:t xml:space="preserve"> pre-leased)</w:t>
      </w:r>
      <w:r w:rsidRPr="00975A26">
        <w:rPr>
          <w:rFonts w:cs="Segoe UI"/>
        </w:rPr>
        <w:t xml:space="preserve">, as of </w:t>
      </w:r>
      <w:r w:rsidR="00BF42B6">
        <w:rPr>
          <w:rFonts w:cs="Arial"/>
          <w:szCs w:val="22"/>
        </w:rPr>
        <w:t>${</w:t>
      </w:r>
      <w:proofErr w:type="spellStart"/>
      <w:r w:rsidR="00BF42B6" w:rsidRPr="00BF42B6">
        <w:rPr>
          <w:rFonts w:cs="Arial"/>
          <w:szCs w:val="22"/>
        </w:rPr>
        <w:t>eff_date_value</w:t>
      </w:r>
      <w:proofErr w:type="spellEnd"/>
      <w:r w:rsidR="00BF42B6">
        <w:rPr>
          <w:rFonts w:cs="Arial"/>
          <w:szCs w:val="22"/>
        </w:rPr>
        <w:t>}</w:t>
      </w:r>
      <w:r>
        <w:rPr>
          <w:rFonts w:cs="Segoe UI"/>
        </w:rPr>
        <w:t xml:space="preserve">, </w:t>
      </w:r>
      <w:r w:rsidRPr="00975A26">
        <w:rPr>
          <w:rFonts w:cs="Segoe UI"/>
        </w:rPr>
        <w:t>as follows:</w:t>
      </w:r>
    </w:p>
    <w:p w14:paraId="04DB569C" w14:textId="77777777" w:rsidR="00D010C8" w:rsidRPr="00975A26" w:rsidRDefault="00D010C8" w:rsidP="00D010C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539"/>
      </w:tblGrid>
      <w:tr w:rsidR="00D010C8" w:rsidRPr="000754FA" w14:paraId="052928CE" w14:textId="77777777" w:rsidTr="00A16296">
        <w:trPr>
          <w:jc w:val="center"/>
        </w:trPr>
        <w:tc>
          <w:tcPr>
            <w:tcW w:w="5400" w:type="dxa"/>
            <w:tcBorders>
              <w:bottom w:val="single" w:sz="24" w:space="0" w:color="3FB44F"/>
            </w:tcBorders>
            <w:shd w:val="clear" w:color="auto" w:fill="1E4959"/>
          </w:tcPr>
          <w:p w14:paraId="6D96590A" w14:textId="77777777" w:rsidR="00D010C8" w:rsidRPr="000754FA" w:rsidRDefault="00D010C8"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539" w:type="dxa"/>
            <w:tcBorders>
              <w:bottom w:val="single" w:sz="24" w:space="0" w:color="3FB44F"/>
            </w:tcBorders>
            <w:shd w:val="clear" w:color="auto" w:fill="1E4959"/>
          </w:tcPr>
          <w:p w14:paraId="3BE2C194" w14:textId="77777777" w:rsidR="00D010C8" w:rsidRPr="000754FA" w:rsidRDefault="00D010C8" w:rsidP="00A16296">
            <w:pPr>
              <w:widowControl w:val="0"/>
              <w:tabs>
                <w:tab w:val="left" w:pos="0"/>
                <w:tab w:val="left" w:pos="259"/>
                <w:tab w:val="left" w:pos="518"/>
              </w:tabs>
              <w:spacing w:line="273" w:lineRule="exact"/>
              <w:jc w:val="right"/>
              <w:rPr>
                <w:rFonts w:cs="Arial"/>
                <w:szCs w:val="22"/>
              </w:rPr>
            </w:pPr>
          </w:p>
        </w:tc>
      </w:tr>
      <w:tr w:rsidR="00D010C8" w:rsidRPr="000754FA" w14:paraId="3D0695FC" w14:textId="77777777" w:rsidTr="00A16296">
        <w:trPr>
          <w:trHeight w:val="480"/>
          <w:jc w:val="center"/>
        </w:trPr>
        <w:tc>
          <w:tcPr>
            <w:tcW w:w="5400" w:type="dxa"/>
            <w:tcBorders>
              <w:top w:val="single" w:sz="24" w:space="0" w:color="3FB44F"/>
              <w:right w:val="single" w:sz="6" w:space="0" w:color="auto"/>
            </w:tcBorders>
          </w:tcPr>
          <w:p w14:paraId="170F18BE" w14:textId="77777777" w:rsidR="00D010C8" w:rsidRPr="001B1881" w:rsidRDefault="00D010C8" w:rsidP="00A16296">
            <w:pPr>
              <w:widowControl w:val="0"/>
              <w:tabs>
                <w:tab w:val="left" w:pos="0"/>
                <w:tab w:val="left" w:pos="259"/>
                <w:tab w:val="left" w:pos="518"/>
              </w:tabs>
              <w:spacing w:after="58" w:line="480" w:lineRule="exact"/>
              <w:jc w:val="left"/>
              <w:rPr>
                <w:rFonts w:cs="Arial"/>
                <w:szCs w:val="22"/>
              </w:rPr>
            </w:pPr>
            <w:r>
              <w:rPr>
                <w:rFonts w:cs="Arial"/>
                <w:szCs w:val="22"/>
              </w:rPr>
              <w:t xml:space="preserve">Concluded Prospective Market </w:t>
            </w:r>
            <w:r w:rsidRPr="001B1881">
              <w:rPr>
                <w:rFonts w:cs="Arial"/>
                <w:szCs w:val="22"/>
              </w:rPr>
              <w:t>Value</w:t>
            </w:r>
            <w:r>
              <w:rPr>
                <w:rFonts w:cs="Arial"/>
                <w:szCs w:val="22"/>
              </w:rPr>
              <w:t xml:space="preserve"> - Stabilized</w:t>
            </w:r>
          </w:p>
        </w:tc>
        <w:tc>
          <w:tcPr>
            <w:tcW w:w="1539" w:type="dxa"/>
            <w:tcBorders>
              <w:top w:val="single" w:sz="24" w:space="0" w:color="3FB44F"/>
              <w:left w:val="nil"/>
            </w:tcBorders>
          </w:tcPr>
          <w:p w14:paraId="3934E373" w14:textId="3F30B72B" w:rsidR="00D010C8" w:rsidRPr="005A088F" w:rsidRDefault="00D010C8" w:rsidP="00A16296">
            <w:pPr>
              <w:widowControl w:val="0"/>
              <w:tabs>
                <w:tab w:val="left" w:pos="0"/>
                <w:tab w:val="left" w:pos="259"/>
                <w:tab w:val="left" w:pos="518"/>
              </w:tabs>
              <w:spacing w:after="58" w:line="480" w:lineRule="exact"/>
              <w:jc w:val="right"/>
            </w:pPr>
            <w:r w:rsidRPr="00535E14">
              <w:rPr>
                <w:rFonts w:cs="Arial"/>
                <w:szCs w:val="22"/>
                <w:highlight w:val="yellow"/>
              </w:rPr>
              <w:t>$</w:t>
            </w:r>
            <w:r w:rsidR="00535E14" w:rsidRPr="00535E14">
              <w:rPr>
                <w:rFonts w:cs="Arial"/>
                <w:szCs w:val="22"/>
                <w:highlight w:val="yellow"/>
              </w:rPr>
              <w:t>_________</w:t>
            </w:r>
            <w:r>
              <w:t> </w:t>
            </w:r>
          </w:p>
        </w:tc>
      </w:tr>
      <w:tr w:rsidR="00D010C8" w:rsidRPr="00197CD2" w14:paraId="0FA69409" w14:textId="77777777" w:rsidTr="00A16296">
        <w:trPr>
          <w:jc w:val="center"/>
        </w:trPr>
        <w:tc>
          <w:tcPr>
            <w:tcW w:w="5400" w:type="dxa"/>
            <w:tcBorders>
              <w:bottom w:val="single" w:sz="6" w:space="0" w:color="auto"/>
              <w:right w:val="single" w:sz="6" w:space="0" w:color="auto"/>
            </w:tcBorders>
          </w:tcPr>
          <w:p w14:paraId="40B4AAE8" w14:textId="77777777" w:rsidR="00D010C8" w:rsidRPr="00417140" w:rsidRDefault="00D010C8" w:rsidP="00A16296">
            <w:pPr>
              <w:pStyle w:val="Footer"/>
              <w:tabs>
                <w:tab w:val="clear" w:pos="4320"/>
                <w:tab w:val="clear" w:pos="8640"/>
                <w:tab w:val="left" w:pos="0"/>
                <w:tab w:val="left" w:pos="259"/>
                <w:tab w:val="left" w:pos="518"/>
              </w:tabs>
              <w:spacing w:line="440" w:lineRule="exact"/>
              <w:rPr>
                <w:rFonts w:cs="Segoe UI"/>
              </w:rPr>
            </w:pPr>
            <w:r>
              <w:rPr>
                <w:rFonts w:cs="Segoe UI"/>
              </w:rPr>
              <w:t>Less</w:t>
            </w:r>
            <w:r w:rsidRPr="00417140">
              <w:rPr>
                <w:rFonts w:cs="Segoe UI"/>
              </w:rPr>
              <w:t>:</w:t>
            </w:r>
            <w:r>
              <w:rPr>
                <w:rFonts w:cs="Segoe UI"/>
              </w:rPr>
              <w:t xml:space="preserve">  Absorption / Lease-Up / Remaining TI Costs</w:t>
            </w:r>
          </w:p>
        </w:tc>
        <w:tc>
          <w:tcPr>
            <w:tcW w:w="1539" w:type="dxa"/>
            <w:tcBorders>
              <w:left w:val="nil"/>
              <w:bottom w:val="single" w:sz="6" w:space="0" w:color="auto"/>
            </w:tcBorders>
          </w:tcPr>
          <w:p w14:paraId="6E0D4F42" w14:textId="171126EF" w:rsidR="00D010C8" w:rsidRPr="00197CD2" w:rsidRDefault="00D010C8" w:rsidP="00A16296">
            <w:pPr>
              <w:widowControl w:val="0"/>
              <w:tabs>
                <w:tab w:val="left" w:pos="0"/>
                <w:tab w:val="left" w:pos="259"/>
                <w:tab w:val="left" w:pos="518"/>
              </w:tabs>
              <w:spacing w:after="58" w:line="480" w:lineRule="exact"/>
              <w:jc w:val="right"/>
              <w:rPr>
                <w:rFonts w:cs="Arial"/>
                <w:color w:val="FF0000"/>
                <w:szCs w:val="22"/>
              </w:rPr>
            </w:pPr>
            <w:r w:rsidRPr="00535E14">
              <w:rPr>
                <w:rFonts w:cs="Arial"/>
                <w:color w:val="FF0000"/>
                <w:szCs w:val="22"/>
                <w:highlight w:val="yellow"/>
              </w:rPr>
              <w:t>($</w:t>
            </w:r>
            <w:r w:rsidR="00535E14" w:rsidRPr="00535E14">
              <w:rPr>
                <w:rFonts w:cs="Arial"/>
                <w:color w:val="FF0000"/>
                <w:szCs w:val="22"/>
                <w:highlight w:val="yellow"/>
              </w:rPr>
              <w:t>________</w:t>
            </w:r>
            <w:r w:rsidRPr="00535E14">
              <w:rPr>
                <w:rFonts w:cs="Arial"/>
                <w:color w:val="FF0000"/>
                <w:szCs w:val="22"/>
                <w:highlight w:val="yellow"/>
              </w:rPr>
              <w:t>)</w:t>
            </w:r>
          </w:p>
        </w:tc>
      </w:tr>
      <w:tr w:rsidR="00D010C8" w:rsidRPr="00197CD2" w14:paraId="713560DF" w14:textId="77777777" w:rsidTr="00A16296">
        <w:trPr>
          <w:jc w:val="center"/>
        </w:trPr>
        <w:tc>
          <w:tcPr>
            <w:tcW w:w="5400" w:type="dxa"/>
            <w:tcBorders>
              <w:top w:val="single" w:sz="6" w:space="0" w:color="auto"/>
              <w:bottom w:val="double" w:sz="4" w:space="0" w:color="auto"/>
              <w:right w:val="single" w:sz="6" w:space="0" w:color="auto"/>
            </w:tcBorders>
          </w:tcPr>
          <w:p w14:paraId="0489D6E5" w14:textId="77777777" w:rsidR="00D010C8" w:rsidRPr="009C1DF6" w:rsidRDefault="00D010C8" w:rsidP="00A16296">
            <w:pPr>
              <w:pStyle w:val="Footer"/>
              <w:tabs>
                <w:tab w:val="clear" w:pos="4320"/>
                <w:tab w:val="clear" w:pos="8640"/>
                <w:tab w:val="left" w:pos="0"/>
                <w:tab w:val="left" w:pos="259"/>
                <w:tab w:val="left" w:pos="518"/>
              </w:tabs>
              <w:spacing w:line="440" w:lineRule="exact"/>
              <w:rPr>
                <w:rFonts w:cs="Segoe UI"/>
                <w:b/>
              </w:rPr>
            </w:pPr>
            <w:r>
              <w:rPr>
                <w:rFonts w:cs="Segoe UI"/>
                <w:b/>
              </w:rPr>
              <w:t>Concluded Prospective Market Value - At Completion</w:t>
            </w:r>
          </w:p>
        </w:tc>
        <w:tc>
          <w:tcPr>
            <w:tcW w:w="1539" w:type="dxa"/>
            <w:tcBorders>
              <w:top w:val="single" w:sz="6" w:space="0" w:color="auto"/>
              <w:left w:val="nil"/>
              <w:bottom w:val="double" w:sz="4" w:space="0" w:color="auto"/>
            </w:tcBorders>
          </w:tcPr>
          <w:p w14:paraId="3705B674" w14:textId="41870C24" w:rsidR="00D010C8" w:rsidRPr="00197CD2" w:rsidRDefault="00D010C8" w:rsidP="00A16296">
            <w:pPr>
              <w:widowControl w:val="0"/>
              <w:tabs>
                <w:tab w:val="left" w:pos="0"/>
                <w:tab w:val="left" w:pos="259"/>
                <w:tab w:val="left" w:pos="518"/>
              </w:tabs>
              <w:spacing w:after="58" w:line="480" w:lineRule="exact"/>
              <w:jc w:val="right"/>
              <w:rPr>
                <w:rFonts w:cs="Arial"/>
                <w:color w:val="FF0000"/>
                <w:szCs w:val="22"/>
              </w:rPr>
            </w:pPr>
            <w:r w:rsidRPr="00535E14">
              <w:rPr>
                <w:rFonts w:cs="Arial"/>
                <w:b/>
                <w:szCs w:val="22"/>
                <w:highlight w:val="yellow"/>
              </w:rPr>
              <w:t>$</w:t>
            </w:r>
            <w:r w:rsidR="00535E14" w:rsidRPr="00535E14">
              <w:rPr>
                <w:rFonts w:cs="Arial"/>
                <w:b/>
                <w:szCs w:val="22"/>
                <w:highlight w:val="yellow"/>
              </w:rPr>
              <w:t>_________</w:t>
            </w:r>
            <w:r>
              <w:rPr>
                <w:rFonts w:cs="Arial"/>
                <w:b/>
                <w:szCs w:val="22"/>
              </w:rPr>
              <w:t> </w:t>
            </w:r>
          </w:p>
        </w:tc>
      </w:tr>
    </w:tbl>
    <w:p w14:paraId="27D237F6" w14:textId="77777777" w:rsidR="00D010C8" w:rsidRDefault="00D010C8" w:rsidP="00D010C8">
      <w:pPr>
        <w:rPr>
          <w:rFonts w:cs="Segoe UI"/>
        </w:rPr>
      </w:pPr>
    </w:p>
    <w:p w14:paraId="46B9900A" w14:textId="77777777" w:rsidR="00D010C8" w:rsidRPr="00975A26" w:rsidRDefault="00D010C8" w:rsidP="00D010C8">
      <w:pPr>
        <w:ind w:left="-450"/>
        <w:jc w:val="center"/>
        <w:rPr>
          <w:rFonts w:cs="Segoe UI"/>
        </w:rPr>
      </w:pPr>
      <w:r w:rsidRPr="00FC58FA">
        <w:rPr>
          <w:noProof/>
        </w:rPr>
        <w:drawing>
          <wp:inline distT="0" distB="0" distL="0" distR="0" wp14:anchorId="788C665A" wp14:editId="3D3F7206">
            <wp:extent cx="6561314" cy="41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567716" cy="4125171"/>
                    </a:xfrm>
                    <a:prstGeom prst="rect">
                      <a:avLst/>
                    </a:prstGeom>
                    <a:noFill/>
                    <a:ln>
                      <a:noFill/>
                    </a:ln>
                  </pic:spPr>
                </pic:pic>
              </a:graphicData>
            </a:graphic>
          </wp:inline>
        </w:drawing>
      </w:r>
    </w:p>
    <w:p w14:paraId="57D7A7E6" w14:textId="77777777" w:rsidR="00D010C8" w:rsidRPr="00D7083B" w:rsidRDefault="00D010C8" w:rsidP="00D010C8">
      <w:pPr>
        <w:rPr>
          <w:rFonts w:cs="Arial"/>
          <w:szCs w:val="22"/>
        </w:rPr>
      </w:pPr>
    </w:p>
    <w:p w14:paraId="0750FB59" w14:textId="77777777" w:rsidR="00D010C8" w:rsidRPr="000754FA" w:rsidRDefault="00D010C8" w:rsidP="00D010C8">
      <w:pPr>
        <w:pStyle w:val="Heading30"/>
        <w:spacing w:line="228" w:lineRule="auto"/>
        <w:rPr>
          <w:rFonts w:cs="Arial"/>
          <w:b/>
          <w:color w:val="1E4959"/>
          <w:kern w:val="20"/>
          <w:sz w:val="28"/>
          <w:szCs w:val="22"/>
        </w:rPr>
      </w:pPr>
      <w:r w:rsidRPr="000754FA">
        <w:rPr>
          <w:rFonts w:cs="Arial"/>
          <w:color w:val="1E4959"/>
          <w:kern w:val="20"/>
          <w:sz w:val="24"/>
          <w:szCs w:val="22"/>
        </w:rPr>
        <w:t>Extraordinary Assumptions:</w:t>
      </w:r>
    </w:p>
    <w:p w14:paraId="48C7422C" w14:textId="77777777" w:rsidR="00D010C8" w:rsidRPr="00535E14" w:rsidRDefault="00D010C8" w:rsidP="00D010C8">
      <w:pPr>
        <w:pStyle w:val="ListParagraph"/>
        <w:numPr>
          <w:ilvl w:val="0"/>
          <w:numId w:val="26"/>
        </w:numPr>
        <w:rPr>
          <w:rFonts w:cs="Arial"/>
          <w:kern w:val="20"/>
          <w:szCs w:val="22"/>
          <w:highlight w:val="yellow"/>
        </w:rPr>
      </w:pPr>
      <w:r w:rsidRPr="00535E14">
        <w:rPr>
          <w:rFonts w:cs="Arial"/>
          <w:kern w:val="20"/>
          <w:szCs w:val="22"/>
          <w:highlight w:val="yellow"/>
        </w:rPr>
        <w:t xml:space="preserve">The prospective market value concluded to in this report is predicated upon the proposed improvements being built as detailed in this report with non-defective building materials and is </w:t>
      </w:r>
      <w:r w:rsidRPr="00535E14">
        <w:rPr>
          <w:rFonts w:cs="Arial"/>
          <w:kern w:val="20"/>
          <w:szCs w:val="22"/>
          <w:highlight w:val="yellow"/>
        </w:rPr>
        <w:lastRenderedPageBreak/>
        <w:t>based on preliminary plans supplemented by conversations with the developer. It is therefore fundamental that the proposed improvements be built as described in this report. Finally, the prospective completion date is based on conversations with the developer and is not a guarantee by the appraiser that the project will be competed at that time. If actual construction / timing of the improvements is different than described in this report, the assignment results may be invalid.</w:t>
      </w:r>
    </w:p>
    <w:p w14:paraId="1F427EB5" w14:textId="77777777" w:rsidR="00D010C8" w:rsidRPr="00535E14" w:rsidRDefault="00D010C8" w:rsidP="00D010C8">
      <w:pPr>
        <w:pStyle w:val="ListParagraph"/>
        <w:numPr>
          <w:ilvl w:val="0"/>
          <w:numId w:val="26"/>
        </w:numPr>
        <w:rPr>
          <w:rFonts w:cs="Arial"/>
          <w:kern w:val="20"/>
          <w:szCs w:val="22"/>
          <w:highlight w:val="yellow"/>
        </w:rPr>
      </w:pPr>
      <w:r w:rsidRPr="00535E14">
        <w:rPr>
          <w:rFonts w:cs="Arial"/>
          <w:szCs w:val="22"/>
          <w:highlight w:val="yellow"/>
        </w:rPr>
        <w:t>Note that this prospective stabilized valuation was conducted under the assumption that the subject will be leased at market rents under typical market terms.  Therefore, the prospective stabilized value and prospective value at completion conclusions are reported as leased fee, consistent with the client’s requested scope of work.  However, the prospective stabilized leased fee and fee simple values are considered equal to one-another.  If this assumption is later found to be incorrect, this may impact the assignment results.</w:t>
      </w:r>
    </w:p>
    <w:p w14:paraId="5503AEBC" w14:textId="77777777" w:rsidR="00D010C8" w:rsidRPr="000754FA" w:rsidRDefault="00D010C8" w:rsidP="00D010C8">
      <w:pPr>
        <w:pStyle w:val="Heading30"/>
        <w:spacing w:line="228" w:lineRule="auto"/>
        <w:rPr>
          <w:rFonts w:cs="Arial"/>
          <w:b/>
          <w:color w:val="1E4959"/>
          <w:kern w:val="20"/>
          <w:sz w:val="28"/>
          <w:szCs w:val="22"/>
        </w:rPr>
      </w:pPr>
      <w:r w:rsidRPr="00E8213A">
        <w:rPr>
          <w:rFonts w:cs="Arial"/>
          <w:color w:val="1E4959"/>
          <w:kern w:val="20"/>
          <w:sz w:val="24"/>
          <w:szCs w:val="22"/>
        </w:rPr>
        <w:t>Hypothetical Conditions:</w:t>
      </w:r>
    </w:p>
    <w:p w14:paraId="095338FE" w14:textId="77777777" w:rsidR="00D010C8" w:rsidRPr="000754FA" w:rsidRDefault="00D010C8" w:rsidP="00D010C8">
      <w:pPr>
        <w:pStyle w:val="ListParagraph"/>
        <w:numPr>
          <w:ilvl w:val="0"/>
          <w:numId w:val="26"/>
        </w:numPr>
        <w:spacing w:after="120"/>
        <w:contextualSpacing w:val="0"/>
        <w:rPr>
          <w:rFonts w:cs="Arial"/>
          <w:kern w:val="20"/>
          <w:szCs w:val="22"/>
        </w:rPr>
      </w:pPr>
      <w:r w:rsidRPr="000754FA">
        <w:rPr>
          <w:rFonts w:cs="Arial"/>
          <w:kern w:val="20"/>
          <w:szCs w:val="22"/>
        </w:rPr>
        <w:t>None.</w:t>
      </w:r>
    </w:p>
    <w:p w14:paraId="58BE21D1" w14:textId="77777777" w:rsidR="00D010C8" w:rsidRDefault="00D010C8" w:rsidP="00D010C8">
      <w:pPr>
        <w:rPr>
          <w:rFonts w:cs="Arial"/>
          <w:szCs w:val="22"/>
        </w:rPr>
      </w:pPr>
    </w:p>
    <w:p w14:paraId="11243BF3" w14:textId="77777777" w:rsidR="00D010C8" w:rsidRPr="00067DF4" w:rsidRDefault="00D010C8" w:rsidP="00D010C8">
      <w:pPr>
        <w:pStyle w:val="Heading20"/>
        <w:rPr>
          <w:rFonts w:asciiTheme="minorHAnsi" w:hAnsiTheme="minorHAnsi" w:cs="Arial"/>
          <w:b w:val="0"/>
          <w:color w:val="1E4959"/>
          <w:spacing w:val="0"/>
          <w:kern w:val="20"/>
          <w:sz w:val="28"/>
          <w:szCs w:val="22"/>
        </w:rPr>
      </w:pPr>
      <w:r w:rsidRPr="00067DF4">
        <w:rPr>
          <w:rFonts w:asciiTheme="minorHAnsi" w:hAnsiTheme="minorHAnsi" w:cs="Arial"/>
          <w:b w:val="0"/>
          <w:color w:val="1E4959"/>
          <w:spacing w:val="0"/>
          <w:kern w:val="20"/>
          <w:sz w:val="28"/>
          <w:szCs w:val="22"/>
        </w:rPr>
        <w:t>Concluded As Is Market Value</w:t>
      </w:r>
    </w:p>
    <w:p w14:paraId="361C97C5" w14:textId="77777777" w:rsidR="00D010C8" w:rsidRPr="00A44221" w:rsidRDefault="00D010C8" w:rsidP="00D010C8">
      <w:r w:rsidRPr="00535E14">
        <w:rPr>
          <w:highlight w:val="yellow"/>
        </w:rPr>
        <w:t xml:space="preserve">The subject property currently consists of a vacant, finished industrial zoned parcel awaiting project development.  Previously, the subject site was concluded to have a market land value was of $3,890,000. This amount is below their acquisition cost of $4,250,000 as it was considered a leading edge sale for the local market, and was determined to be slightly above market.  However, since purchasing the developer has reportedly spent approximately $280,000 in architectural and engineering costs, as well as environmental and </w:t>
      </w:r>
      <w:proofErr w:type="spellStart"/>
      <w:r w:rsidRPr="00535E14">
        <w:rPr>
          <w:highlight w:val="yellow"/>
        </w:rPr>
        <w:t>geotech</w:t>
      </w:r>
      <w:proofErr w:type="spellEnd"/>
      <w:r w:rsidRPr="00535E14">
        <w:rPr>
          <w:highlight w:val="yellow"/>
        </w:rPr>
        <w:t xml:space="preserve"> costs.  Given the functional design of the subject project, and good perceived market demand for distribution warehouse space, full credit would likely be given to these soft costs if the current owner were to sell the property in its current pre-development state.</w:t>
      </w:r>
    </w:p>
    <w:p w14:paraId="01F726C7" w14:textId="77777777" w:rsidR="00D010C8" w:rsidRPr="00A44221" w:rsidRDefault="00D010C8" w:rsidP="00D010C8"/>
    <w:p w14:paraId="01975B57" w14:textId="5899E451" w:rsidR="00D010C8" w:rsidRPr="00E8213A" w:rsidRDefault="00D010C8" w:rsidP="00D010C8">
      <w:pPr>
        <w:rPr>
          <w:rFonts w:cs="Arial"/>
          <w:szCs w:val="22"/>
        </w:rPr>
      </w:pPr>
      <w:r w:rsidRPr="00E8213A">
        <w:rPr>
          <w:rFonts w:cs="Arial"/>
          <w:szCs w:val="22"/>
        </w:rPr>
        <w:t xml:space="preserve">Combining the subject’s current market land value with the contributory value of the </w:t>
      </w:r>
      <w:r w:rsidRPr="00535E14">
        <w:rPr>
          <w:rFonts w:cs="Arial"/>
          <w:szCs w:val="22"/>
          <w:highlight w:val="yellow"/>
        </w:rPr>
        <w:t>plans &amp; approvals</w:t>
      </w:r>
      <w:r w:rsidRPr="00E8213A">
        <w:rPr>
          <w:rFonts w:cs="Arial"/>
          <w:szCs w:val="22"/>
        </w:rPr>
        <w:t xml:space="preserve"> obtained to date, it is the appraiser’s opinion </w:t>
      </w:r>
      <w:r w:rsidRPr="00E8213A">
        <w:rPr>
          <w:rFonts w:cs="Arial"/>
          <w:b/>
          <w:szCs w:val="22"/>
        </w:rPr>
        <w:t>concluded as is market value</w:t>
      </w:r>
      <w:r w:rsidRPr="00E8213A">
        <w:rPr>
          <w:rFonts w:cs="Arial"/>
          <w:szCs w:val="22"/>
        </w:rPr>
        <w:t xml:space="preserve"> of the fee simple interest in the </w:t>
      </w:r>
      <w:r w:rsidRPr="00E8213A">
        <w:rPr>
          <w:rFonts w:cs="Arial"/>
          <w:b/>
          <w:szCs w:val="22"/>
        </w:rPr>
        <w:t>subject property</w:t>
      </w:r>
      <w:r w:rsidRPr="00E8213A">
        <w:rPr>
          <w:rFonts w:cs="Arial"/>
          <w:szCs w:val="22"/>
        </w:rPr>
        <w:t xml:space="preserve">, as of </w:t>
      </w:r>
      <w:r w:rsidR="00BF42B6">
        <w:rPr>
          <w:rFonts w:cs="Arial"/>
          <w:szCs w:val="22"/>
        </w:rPr>
        <w:t>${</w:t>
      </w:r>
      <w:r w:rsidR="00BF42B6" w:rsidRPr="00BF42B6">
        <w:rPr>
          <w:rFonts w:cs="Arial"/>
          <w:szCs w:val="22"/>
        </w:rPr>
        <w:t>eff_date_value</w:t>
      </w:r>
      <w:r w:rsidR="00BF42B6">
        <w:rPr>
          <w:rFonts w:cs="Arial"/>
          <w:szCs w:val="22"/>
        </w:rPr>
        <w:t>}</w:t>
      </w:r>
      <w:r w:rsidRPr="00E8213A">
        <w:rPr>
          <w:rFonts w:cs="Arial"/>
          <w:szCs w:val="22"/>
        </w:rPr>
        <w:t xml:space="preserve">, is as follows (rounded): </w:t>
      </w:r>
    </w:p>
    <w:p w14:paraId="2697D12E" w14:textId="77777777" w:rsidR="00D010C8" w:rsidRPr="00E8213A" w:rsidRDefault="00D010C8" w:rsidP="00D010C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539"/>
      </w:tblGrid>
      <w:tr w:rsidR="00D010C8" w:rsidRPr="00E8213A" w14:paraId="75FBBD7D" w14:textId="77777777" w:rsidTr="00A16296">
        <w:trPr>
          <w:jc w:val="center"/>
        </w:trPr>
        <w:tc>
          <w:tcPr>
            <w:tcW w:w="5400" w:type="dxa"/>
            <w:tcBorders>
              <w:bottom w:val="single" w:sz="24" w:space="0" w:color="3FB44F"/>
            </w:tcBorders>
            <w:shd w:val="clear" w:color="auto" w:fill="1E4959"/>
          </w:tcPr>
          <w:p w14:paraId="2940A181" w14:textId="77777777" w:rsidR="00D010C8" w:rsidRPr="00E8213A" w:rsidRDefault="00D010C8"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539" w:type="dxa"/>
            <w:tcBorders>
              <w:bottom w:val="single" w:sz="24" w:space="0" w:color="3FB44F"/>
            </w:tcBorders>
            <w:shd w:val="clear" w:color="auto" w:fill="1E4959"/>
          </w:tcPr>
          <w:p w14:paraId="2F80A9B8" w14:textId="77777777" w:rsidR="00D010C8" w:rsidRPr="00E8213A" w:rsidRDefault="00D010C8" w:rsidP="00A16296">
            <w:pPr>
              <w:widowControl w:val="0"/>
              <w:tabs>
                <w:tab w:val="left" w:pos="0"/>
                <w:tab w:val="left" w:pos="259"/>
                <w:tab w:val="left" w:pos="518"/>
              </w:tabs>
              <w:spacing w:line="273" w:lineRule="exact"/>
              <w:jc w:val="right"/>
              <w:rPr>
                <w:rFonts w:cs="Arial"/>
                <w:szCs w:val="22"/>
              </w:rPr>
            </w:pPr>
          </w:p>
        </w:tc>
      </w:tr>
      <w:tr w:rsidR="00D010C8" w:rsidRPr="00E8213A" w14:paraId="2E53ED2E" w14:textId="77777777" w:rsidTr="00A16296">
        <w:trPr>
          <w:trHeight w:val="480"/>
          <w:jc w:val="center"/>
        </w:trPr>
        <w:tc>
          <w:tcPr>
            <w:tcW w:w="5400" w:type="dxa"/>
            <w:tcBorders>
              <w:top w:val="single" w:sz="24" w:space="0" w:color="3FB44F"/>
              <w:right w:val="single" w:sz="6" w:space="0" w:color="auto"/>
            </w:tcBorders>
          </w:tcPr>
          <w:p w14:paraId="55A14B19" w14:textId="77777777" w:rsidR="00D010C8" w:rsidRPr="00E8213A" w:rsidRDefault="00D010C8" w:rsidP="00A16296">
            <w:pPr>
              <w:widowControl w:val="0"/>
              <w:tabs>
                <w:tab w:val="left" w:pos="0"/>
                <w:tab w:val="left" w:pos="259"/>
                <w:tab w:val="left" w:pos="518"/>
              </w:tabs>
              <w:spacing w:after="58" w:line="480" w:lineRule="exact"/>
              <w:jc w:val="left"/>
              <w:rPr>
                <w:rFonts w:cs="Arial"/>
                <w:szCs w:val="22"/>
              </w:rPr>
            </w:pPr>
            <w:r w:rsidRPr="00E8213A">
              <w:rPr>
                <w:rFonts w:cs="Arial"/>
                <w:szCs w:val="22"/>
              </w:rPr>
              <w:t>Concluded Market Land Value</w:t>
            </w:r>
          </w:p>
        </w:tc>
        <w:tc>
          <w:tcPr>
            <w:tcW w:w="1539" w:type="dxa"/>
            <w:tcBorders>
              <w:top w:val="single" w:sz="24" w:space="0" w:color="3FB44F"/>
              <w:left w:val="nil"/>
            </w:tcBorders>
          </w:tcPr>
          <w:p w14:paraId="27CAE8DB" w14:textId="178D50AF" w:rsidR="00D010C8" w:rsidRPr="00E8213A" w:rsidRDefault="00D010C8" w:rsidP="00A16296">
            <w:pPr>
              <w:widowControl w:val="0"/>
              <w:tabs>
                <w:tab w:val="left" w:pos="0"/>
                <w:tab w:val="left" w:pos="259"/>
                <w:tab w:val="left" w:pos="518"/>
              </w:tabs>
              <w:spacing w:after="58" w:line="480" w:lineRule="exact"/>
              <w:jc w:val="right"/>
            </w:pPr>
            <w:r w:rsidRPr="00535E14">
              <w:rPr>
                <w:rFonts w:cs="Arial"/>
                <w:szCs w:val="22"/>
                <w:highlight w:val="yellow"/>
              </w:rPr>
              <w:t>$</w:t>
            </w:r>
            <w:r w:rsidR="00535E14" w:rsidRPr="00535E14">
              <w:rPr>
                <w:rFonts w:cs="Arial"/>
                <w:szCs w:val="22"/>
                <w:highlight w:val="yellow"/>
              </w:rPr>
              <w:t>_________</w:t>
            </w:r>
          </w:p>
        </w:tc>
      </w:tr>
      <w:tr w:rsidR="00D010C8" w:rsidRPr="00E8213A" w14:paraId="274CABC4" w14:textId="77777777" w:rsidTr="00A16296">
        <w:trPr>
          <w:jc w:val="center"/>
        </w:trPr>
        <w:tc>
          <w:tcPr>
            <w:tcW w:w="5400" w:type="dxa"/>
            <w:tcBorders>
              <w:bottom w:val="single" w:sz="6" w:space="0" w:color="auto"/>
              <w:right w:val="single" w:sz="6" w:space="0" w:color="auto"/>
            </w:tcBorders>
          </w:tcPr>
          <w:p w14:paraId="64BECC75" w14:textId="77777777" w:rsidR="00D010C8" w:rsidRPr="00E8213A" w:rsidRDefault="00D010C8" w:rsidP="00A16296">
            <w:pPr>
              <w:pStyle w:val="Footer"/>
              <w:tabs>
                <w:tab w:val="clear" w:pos="4320"/>
                <w:tab w:val="clear" w:pos="8640"/>
                <w:tab w:val="left" w:pos="0"/>
                <w:tab w:val="left" w:pos="259"/>
                <w:tab w:val="left" w:pos="518"/>
              </w:tabs>
              <w:spacing w:line="440" w:lineRule="exact"/>
              <w:rPr>
                <w:rFonts w:cs="Segoe UI"/>
              </w:rPr>
            </w:pPr>
            <w:r w:rsidRPr="00E8213A">
              <w:rPr>
                <w:rFonts w:cs="Segoe UI"/>
              </w:rPr>
              <w:t>Add:  Contributory Value of Plans &amp; Approvals</w:t>
            </w:r>
          </w:p>
        </w:tc>
        <w:tc>
          <w:tcPr>
            <w:tcW w:w="1539" w:type="dxa"/>
            <w:tcBorders>
              <w:left w:val="nil"/>
              <w:bottom w:val="single" w:sz="6" w:space="0" w:color="auto"/>
            </w:tcBorders>
          </w:tcPr>
          <w:p w14:paraId="06B6A10A" w14:textId="4A583745" w:rsidR="00D010C8" w:rsidRPr="00E8213A" w:rsidRDefault="00D010C8" w:rsidP="00A16296">
            <w:pPr>
              <w:widowControl w:val="0"/>
              <w:tabs>
                <w:tab w:val="left" w:pos="0"/>
                <w:tab w:val="left" w:pos="259"/>
                <w:tab w:val="left" w:pos="518"/>
              </w:tabs>
              <w:spacing w:after="58" w:line="480" w:lineRule="exact"/>
              <w:jc w:val="right"/>
              <w:rPr>
                <w:rFonts w:cs="Arial"/>
                <w:szCs w:val="22"/>
              </w:rPr>
            </w:pPr>
            <w:r w:rsidRPr="00535E14">
              <w:rPr>
                <w:rFonts w:cs="Arial"/>
                <w:szCs w:val="22"/>
                <w:highlight w:val="yellow"/>
              </w:rPr>
              <w:t>$</w:t>
            </w:r>
            <w:r w:rsidR="00535E14" w:rsidRPr="00535E14">
              <w:rPr>
                <w:rFonts w:cs="Arial"/>
                <w:szCs w:val="22"/>
                <w:highlight w:val="yellow"/>
              </w:rPr>
              <w:t>________</w:t>
            </w:r>
          </w:p>
        </w:tc>
      </w:tr>
      <w:tr w:rsidR="00D010C8" w:rsidRPr="00E8213A" w14:paraId="3C0C6063" w14:textId="77777777" w:rsidTr="00A16296">
        <w:trPr>
          <w:jc w:val="center"/>
        </w:trPr>
        <w:tc>
          <w:tcPr>
            <w:tcW w:w="5400" w:type="dxa"/>
            <w:tcBorders>
              <w:top w:val="single" w:sz="6" w:space="0" w:color="auto"/>
              <w:bottom w:val="double" w:sz="4" w:space="0" w:color="auto"/>
              <w:right w:val="single" w:sz="6" w:space="0" w:color="auto"/>
            </w:tcBorders>
          </w:tcPr>
          <w:p w14:paraId="43663B58" w14:textId="77777777" w:rsidR="00D010C8" w:rsidRPr="00E8213A" w:rsidRDefault="00D010C8" w:rsidP="00A16296">
            <w:pPr>
              <w:pStyle w:val="Footer"/>
              <w:tabs>
                <w:tab w:val="clear" w:pos="4320"/>
                <w:tab w:val="clear" w:pos="8640"/>
                <w:tab w:val="left" w:pos="0"/>
                <w:tab w:val="left" w:pos="259"/>
                <w:tab w:val="left" w:pos="518"/>
              </w:tabs>
              <w:spacing w:line="440" w:lineRule="exact"/>
              <w:rPr>
                <w:rFonts w:cs="Segoe UI"/>
                <w:b/>
              </w:rPr>
            </w:pPr>
            <w:r w:rsidRPr="00E8213A">
              <w:rPr>
                <w:rFonts w:cs="Segoe UI"/>
                <w:b/>
              </w:rPr>
              <w:t>Concluded As Is Market Value</w:t>
            </w:r>
          </w:p>
        </w:tc>
        <w:tc>
          <w:tcPr>
            <w:tcW w:w="1539" w:type="dxa"/>
            <w:tcBorders>
              <w:top w:val="single" w:sz="6" w:space="0" w:color="auto"/>
              <w:left w:val="nil"/>
              <w:bottom w:val="double" w:sz="4" w:space="0" w:color="auto"/>
            </w:tcBorders>
          </w:tcPr>
          <w:p w14:paraId="43FF8133" w14:textId="0F48ABB8" w:rsidR="00D010C8" w:rsidRPr="00E8213A" w:rsidRDefault="00D010C8" w:rsidP="00A16296">
            <w:pPr>
              <w:widowControl w:val="0"/>
              <w:tabs>
                <w:tab w:val="left" w:pos="0"/>
                <w:tab w:val="left" w:pos="259"/>
                <w:tab w:val="left" w:pos="518"/>
              </w:tabs>
              <w:spacing w:after="58" w:line="480" w:lineRule="exact"/>
              <w:jc w:val="right"/>
              <w:rPr>
                <w:rFonts w:cs="Arial"/>
                <w:szCs w:val="22"/>
              </w:rPr>
            </w:pPr>
            <w:r w:rsidRPr="00535E14">
              <w:rPr>
                <w:rFonts w:cs="Arial"/>
                <w:b/>
                <w:szCs w:val="22"/>
                <w:highlight w:val="yellow"/>
              </w:rPr>
              <w:t>$</w:t>
            </w:r>
            <w:r w:rsidR="00535E14" w:rsidRPr="00535E14">
              <w:rPr>
                <w:rFonts w:cs="Arial"/>
                <w:b/>
                <w:szCs w:val="22"/>
                <w:highlight w:val="yellow"/>
              </w:rPr>
              <w:t>_________</w:t>
            </w:r>
          </w:p>
        </w:tc>
      </w:tr>
    </w:tbl>
    <w:p w14:paraId="41DA8E28" w14:textId="77777777" w:rsidR="00D010C8" w:rsidRPr="00E8213A" w:rsidRDefault="00D010C8" w:rsidP="00D010C8">
      <w:pPr>
        <w:rPr>
          <w:rFonts w:cs="Arial"/>
          <w:szCs w:val="22"/>
        </w:rPr>
      </w:pPr>
    </w:p>
    <w:p w14:paraId="31ACB7F1" w14:textId="77777777" w:rsidR="006807F5" w:rsidRPr="008B181E" w:rsidRDefault="006807F5" w:rsidP="006807F5">
      <w:pPr>
        <w:keepNext/>
        <w:keepLines/>
        <w:spacing w:before="260"/>
        <w:outlineLvl w:val="1"/>
        <w:rPr>
          <w:rFonts w:cs="Arial"/>
          <w:iCs/>
          <w:color w:val="1E4959"/>
          <w:sz w:val="28"/>
          <w:szCs w:val="22"/>
        </w:rPr>
      </w:pPr>
      <w:r w:rsidRPr="008B181E">
        <w:rPr>
          <w:rFonts w:cs="Arial"/>
          <w:iCs/>
          <w:color w:val="1E4959"/>
          <w:sz w:val="28"/>
          <w:szCs w:val="22"/>
        </w:rPr>
        <w:t>Exposure Time and Marketing Periods</w:t>
      </w:r>
    </w:p>
    <w:p w14:paraId="4A1978D5" w14:textId="0F907051" w:rsidR="006807F5" w:rsidRDefault="006807F5" w:rsidP="006807F5">
      <w:pPr>
        <w:pStyle w:val="Footer"/>
        <w:tabs>
          <w:tab w:val="clear" w:pos="4320"/>
          <w:tab w:val="clear" w:pos="8640"/>
        </w:tabs>
        <w:rPr>
          <w:rFonts w:eastAsia="Calibri" w:cs="Arial"/>
          <w:color w:val="000000"/>
          <w:kern w:val="20"/>
          <w:szCs w:val="22"/>
        </w:rPr>
      </w:pPr>
      <w:r w:rsidRPr="008B181E">
        <w:rPr>
          <w:rFonts w:eastAsia="Calibri" w:cs="Arial"/>
          <w:color w:val="000000"/>
          <w:kern w:val="20"/>
          <w:szCs w:val="22"/>
        </w:rPr>
        <w:t>Based on statistical information about days on market, escrow length, and marketing times gathered through national investor surveys, sales verification, and interviews of market participants, marketing and exposure time estimates of up to 12 months, respectively, are considered reasonable and appropriate for the subject property.</w:t>
      </w:r>
    </w:p>
    <w:p w14:paraId="33319211" w14:textId="0FBD6A53" w:rsidR="00F04879" w:rsidRDefault="00F04879" w:rsidP="006807F5">
      <w:pPr>
        <w:pStyle w:val="Footer"/>
        <w:tabs>
          <w:tab w:val="clear" w:pos="4320"/>
          <w:tab w:val="clear" w:pos="8640"/>
        </w:tabs>
        <w:rPr>
          <w:rFonts w:eastAsia="Calibri" w:cs="Arial"/>
          <w:color w:val="000000"/>
          <w:kern w:val="20"/>
          <w:szCs w:val="22"/>
        </w:rPr>
      </w:pPr>
    </w:p>
    <w:p w14:paraId="77590452" w14:textId="77777777" w:rsidR="00F04879" w:rsidRPr="00F04879" w:rsidRDefault="00F04879" w:rsidP="00F04879">
      <w:pPr>
        <w:pStyle w:val="Heading20"/>
        <w:rPr>
          <w:rFonts w:asciiTheme="minorHAnsi" w:hAnsiTheme="minorHAnsi" w:cs="Arial"/>
          <w:b w:val="0"/>
          <w:color w:val="1E4959"/>
          <w:spacing w:val="0"/>
          <w:kern w:val="20"/>
          <w:sz w:val="28"/>
          <w:szCs w:val="22"/>
          <w:highlight w:val="yellow"/>
        </w:rPr>
      </w:pPr>
      <w:bookmarkStart w:id="0" w:name="_Toc434335228"/>
      <w:bookmarkStart w:id="1" w:name="_Toc438119877"/>
      <w:r w:rsidRPr="00F04879">
        <w:rPr>
          <w:rFonts w:asciiTheme="minorHAnsi" w:hAnsiTheme="minorHAnsi" w:cs="Arial"/>
          <w:b w:val="0"/>
          <w:color w:val="1E4959"/>
          <w:spacing w:val="0"/>
          <w:kern w:val="20"/>
          <w:sz w:val="28"/>
          <w:szCs w:val="22"/>
          <w:highlight w:val="yellow"/>
        </w:rPr>
        <w:lastRenderedPageBreak/>
        <w:t>SWOT ANALYSIS</w:t>
      </w:r>
    </w:p>
    <w:bookmarkEnd w:id="0"/>
    <w:bookmarkEnd w:id="1"/>
    <w:p w14:paraId="2D07BC58" w14:textId="77777777" w:rsidR="00F04879" w:rsidRPr="00F04879" w:rsidRDefault="00F04879" w:rsidP="00F04879">
      <w:pPr>
        <w:pStyle w:val="Heading30"/>
        <w:spacing w:before="120" w:line="228" w:lineRule="auto"/>
        <w:rPr>
          <w:rFonts w:cs="Arial"/>
          <w:b/>
          <w:color w:val="1E4959"/>
          <w:kern w:val="20"/>
          <w:sz w:val="28"/>
          <w:szCs w:val="22"/>
          <w:highlight w:val="yellow"/>
        </w:rPr>
      </w:pPr>
      <w:r w:rsidRPr="00F04879">
        <w:rPr>
          <w:rFonts w:cs="Arial"/>
          <w:color w:val="1E4959"/>
          <w:kern w:val="20"/>
          <w:sz w:val="24"/>
          <w:szCs w:val="22"/>
          <w:highlight w:val="yellow"/>
        </w:rPr>
        <w:t>Strengths:</w:t>
      </w:r>
    </w:p>
    <w:p w14:paraId="1CD14DDE" w14:textId="77777777" w:rsidR="00F04879" w:rsidRPr="00F04879" w:rsidRDefault="00F04879" w:rsidP="00F04879">
      <w:pPr>
        <w:numPr>
          <w:ilvl w:val="0"/>
          <w:numId w:val="15"/>
        </w:numPr>
        <w:rPr>
          <w:highlight w:val="yellow"/>
        </w:rPr>
      </w:pPr>
      <w:r w:rsidRPr="00F04879">
        <w:rPr>
          <w:highlight w:val="yellow"/>
        </w:rPr>
        <w:t xml:space="preserve">Newer, good quality construction in good condition (less repair and maintenance expenses). </w:t>
      </w:r>
    </w:p>
    <w:p w14:paraId="24A50595" w14:textId="77777777" w:rsidR="00F04879" w:rsidRPr="00F04879" w:rsidRDefault="00F04879" w:rsidP="00F04879">
      <w:pPr>
        <w:numPr>
          <w:ilvl w:val="0"/>
          <w:numId w:val="15"/>
        </w:numPr>
        <w:rPr>
          <w:highlight w:val="yellow"/>
        </w:rPr>
      </w:pPr>
      <w:r w:rsidRPr="00F04879">
        <w:rPr>
          <w:highlight w:val="yellow"/>
        </w:rPr>
        <w:t xml:space="preserve">Good, nearby highway access and retail proximity location within an established, newer industrial park. </w:t>
      </w:r>
    </w:p>
    <w:p w14:paraId="69D3E6FD" w14:textId="77777777" w:rsidR="00F04879" w:rsidRPr="00F04879" w:rsidRDefault="00F04879" w:rsidP="00F04879">
      <w:pPr>
        <w:numPr>
          <w:ilvl w:val="0"/>
          <w:numId w:val="15"/>
        </w:numPr>
        <w:rPr>
          <w:highlight w:val="yellow"/>
        </w:rPr>
      </w:pPr>
      <w:r w:rsidRPr="00F04879">
        <w:rPr>
          <w:highlight w:val="yellow"/>
        </w:rPr>
        <w:t>High demand, smaller warehouse bays ideal for a variety of small light manufacturing or wholesale warehouses uses.</w:t>
      </w:r>
    </w:p>
    <w:p w14:paraId="01516B27" w14:textId="77777777" w:rsidR="00F04879" w:rsidRPr="00F04879" w:rsidRDefault="00F04879" w:rsidP="00F04879">
      <w:pPr>
        <w:numPr>
          <w:ilvl w:val="0"/>
          <w:numId w:val="15"/>
        </w:numPr>
        <w:rPr>
          <w:highlight w:val="yellow"/>
        </w:rPr>
      </w:pPr>
      <w:r w:rsidRPr="00F04879">
        <w:rPr>
          <w:highlight w:val="yellow"/>
        </w:rPr>
        <w:t>Smaller project site, is attractive to a wide pool of potential purchasers – including both investors and small, likely partial owner-users.</w:t>
      </w:r>
    </w:p>
    <w:p w14:paraId="2B887895" w14:textId="77777777" w:rsidR="00F04879" w:rsidRPr="00F04879" w:rsidRDefault="00F04879" w:rsidP="00F04879">
      <w:pPr>
        <w:numPr>
          <w:ilvl w:val="0"/>
          <w:numId w:val="15"/>
        </w:numPr>
        <w:rPr>
          <w:highlight w:val="yellow"/>
        </w:rPr>
      </w:pPr>
      <w:r w:rsidRPr="00F04879">
        <w:rPr>
          <w:highlight w:val="yellow"/>
        </w:rPr>
        <w:t>Current leases are longer term agreements with national tenants, with investor purchasers being attracted to the stability of the project cash flow.</w:t>
      </w:r>
    </w:p>
    <w:p w14:paraId="2D86B590" w14:textId="77777777" w:rsidR="00F04879" w:rsidRPr="00F04879" w:rsidRDefault="00F04879" w:rsidP="00F04879">
      <w:pPr>
        <w:rPr>
          <w:highlight w:val="yellow"/>
        </w:rPr>
      </w:pPr>
    </w:p>
    <w:p w14:paraId="23F01497"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Weaknesses:</w:t>
      </w:r>
    </w:p>
    <w:p w14:paraId="4C52BAAF" w14:textId="77777777" w:rsidR="00F04879" w:rsidRPr="00F04879" w:rsidRDefault="00F04879" w:rsidP="00F04879">
      <w:pPr>
        <w:numPr>
          <w:ilvl w:val="0"/>
          <w:numId w:val="15"/>
        </w:numPr>
        <w:rPr>
          <w:highlight w:val="yellow"/>
        </w:rPr>
      </w:pPr>
      <w:r w:rsidRPr="00F04879">
        <w:rPr>
          <w:highlight w:val="yellow"/>
        </w:rPr>
        <w:t>None.</w:t>
      </w:r>
    </w:p>
    <w:p w14:paraId="1CD0BB42" w14:textId="77777777" w:rsidR="00F04879" w:rsidRPr="00F04879" w:rsidRDefault="00F04879" w:rsidP="00F04879">
      <w:pPr>
        <w:rPr>
          <w:highlight w:val="yellow"/>
        </w:rPr>
      </w:pPr>
    </w:p>
    <w:p w14:paraId="0EAC8F86"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Opportunities:</w:t>
      </w:r>
    </w:p>
    <w:p w14:paraId="0D0AB22B" w14:textId="77777777" w:rsidR="00F04879" w:rsidRPr="00F04879" w:rsidRDefault="00F04879" w:rsidP="00F04879">
      <w:pPr>
        <w:numPr>
          <w:ilvl w:val="0"/>
          <w:numId w:val="15"/>
        </w:numPr>
        <w:rPr>
          <w:kern w:val="24"/>
          <w:highlight w:val="yellow"/>
        </w:rPr>
      </w:pPr>
      <w:r w:rsidRPr="00F04879">
        <w:rPr>
          <w:kern w:val="24"/>
          <w:highlight w:val="yellow"/>
        </w:rPr>
        <w:t>Good long-term potential for a sale to an owner that may pay a premium for the property upon roll-over of the tenant leases.</w:t>
      </w:r>
    </w:p>
    <w:p w14:paraId="6E61CEB8" w14:textId="77777777" w:rsidR="00F04879" w:rsidRPr="00F04879" w:rsidRDefault="00F04879" w:rsidP="00F04879">
      <w:pPr>
        <w:rPr>
          <w:spacing w:val="-3"/>
          <w:kern w:val="2"/>
          <w:highlight w:val="yellow"/>
        </w:rPr>
      </w:pPr>
    </w:p>
    <w:p w14:paraId="39446467"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Threats:</w:t>
      </w:r>
    </w:p>
    <w:p w14:paraId="0FCC8B21" w14:textId="77777777" w:rsidR="00F04879" w:rsidRPr="00F04879" w:rsidRDefault="00F04879" w:rsidP="00F04879">
      <w:pPr>
        <w:numPr>
          <w:ilvl w:val="0"/>
          <w:numId w:val="15"/>
        </w:numPr>
        <w:rPr>
          <w:rFonts w:cs="Arial"/>
          <w:szCs w:val="22"/>
          <w:highlight w:val="yellow"/>
        </w:rPr>
      </w:pPr>
      <w:r w:rsidRPr="00F04879">
        <w:rPr>
          <w:rFonts w:cs="Arial"/>
          <w:szCs w:val="22"/>
          <w:highlight w:val="yellow"/>
        </w:rPr>
        <w:t>Current COVID-19 crisis has shaken the market and may have unforeseen consequences (please refer to the Market Overview discussion).</w:t>
      </w:r>
    </w:p>
    <w:p w14:paraId="35021DF2" w14:textId="77777777" w:rsidR="00F04879" w:rsidRPr="00F04879" w:rsidRDefault="00F04879" w:rsidP="00F04879">
      <w:pPr>
        <w:numPr>
          <w:ilvl w:val="0"/>
          <w:numId w:val="15"/>
        </w:numPr>
        <w:rPr>
          <w:rFonts w:eastAsia="Calibri" w:cs="Arial"/>
          <w:color w:val="000000"/>
          <w:szCs w:val="22"/>
          <w:highlight w:val="yellow"/>
        </w:rPr>
      </w:pPr>
      <w:r w:rsidRPr="00F04879">
        <w:rPr>
          <w:rFonts w:cs="Arial"/>
          <w:szCs w:val="22"/>
          <w:highlight w:val="yellow"/>
        </w:rPr>
        <w:t>Mortgages of all kinds continue may be more difficult to obtain due to the pandemic, and by extension, investor required rates of return have to rise in correspondence with this added financing risk, as well as the greater economic risk.</w:t>
      </w:r>
    </w:p>
    <w:p w14:paraId="70A4A4F3" w14:textId="77777777" w:rsidR="00F04879" w:rsidRDefault="00F04879" w:rsidP="006807F5">
      <w:pPr>
        <w:pStyle w:val="Footer"/>
        <w:tabs>
          <w:tab w:val="clear" w:pos="4320"/>
          <w:tab w:val="clear" w:pos="8640"/>
        </w:tabs>
        <w:rPr>
          <w:rFonts w:cs="Arial"/>
          <w:szCs w:val="22"/>
        </w:rPr>
      </w:pPr>
    </w:p>
    <w:p w14:paraId="51CE206E" w14:textId="77777777" w:rsidR="0061753F" w:rsidRDefault="0061753F" w:rsidP="0061753F">
      <w:pPr>
        <w:pStyle w:val="Footer"/>
        <w:tabs>
          <w:tab w:val="clear" w:pos="4320"/>
          <w:tab w:val="clear" w:pos="8640"/>
        </w:tabs>
        <w:rPr>
          <w:rFonts w:eastAsia="Calibri" w:cs="Arial"/>
          <w:color w:val="000000"/>
          <w:kern w:val="20"/>
          <w:szCs w:val="22"/>
        </w:rPr>
      </w:pPr>
    </w:p>
    <w:p w14:paraId="2195A833" w14:textId="097B1480" w:rsidR="0061753F" w:rsidRDefault="0061753F" w:rsidP="0061753F">
      <w:pPr>
        <w:pStyle w:val="Footer"/>
        <w:tabs>
          <w:tab w:val="clear" w:pos="4320"/>
          <w:tab w:val="clear" w:pos="8640"/>
        </w:tabs>
        <w:rPr>
          <w:rFonts w:eastAsia="Calibri" w:cs="Arial"/>
          <w:color w:val="000000"/>
          <w:kern w:val="20"/>
          <w:szCs w:val="22"/>
        </w:rPr>
        <w:sectPr w:rsidR="0061753F" w:rsidSect="00376BB1">
          <w:headerReference w:type="default" r:id="rId12"/>
          <w:footerReference w:type="default" r:id="rId13"/>
          <w:pgSz w:w="12240" w:h="15840" w:code="1"/>
          <w:pgMar w:top="1440" w:right="1440" w:bottom="1440" w:left="1440" w:header="720" w:footer="720" w:gutter="0"/>
          <w:cols w:space="720"/>
          <w:docGrid w:linePitch="360"/>
        </w:sectPr>
      </w:pPr>
    </w:p>
    <w:p w14:paraId="05807066" w14:textId="0E1DA027" w:rsidR="0061753F" w:rsidRDefault="0061753F" w:rsidP="0061753F">
      <w:pPr>
        <w:pStyle w:val="Footer"/>
        <w:tabs>
          <w:tab w:val="clear" w:pos="4320"/>
          <w:tab w:val="clear" w:pos="8640"/>
        </w:tabs>
        <w:rPr>
          <w:rFonts w:eastAsia="Calibri" w:cs="Arial"/>
          <w:color w:val="000000"/>
          <w:kern w:val="20"/>
          <w:szCs w:val="22"/>
        </w:rPr>
      </w:pPr>
    </w:p>
    <w:sectPr w:rsidR="0061753F" w:rsidSect="00376BB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C8AD0" w14:textId="77777777" w:rsidR="005B69E2" w:rsidRDefault="005B69E2">
      <w:r>
        <w:separator/>
      </w:r>
    </w:p>
  </w:endnote>
  <w:endnote w:type="continuationSeparator" w:id="0">
    <w:p w14:paraId="2ABADA31" w14:textId="77777777" w:rsidR="005B69E2" w:rsidRDefault="005B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31525134"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2B73E6">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F42B6">
      <w:rPr>
        <w:rFonts w:cs="Segoe UI"/>
        <w:bCs/>
        <w:iCs/>
        <w:kern w:val="0"/>
        <w:sz w:val="20"/>
        <w:szCs w:val="18"/>
      </w:rPr>
      <w:t>${</w:t>
    </w:r>
    <w:proofErr w:type="spellStart"/>
    <w:r w:rsidRPr="00BF42B6">
      <w:rPr>
        <w:rFonts w:cs="Segoe UI"/>
        <w:bCs/>
        <w:iCs/>
        <w:kern w:val="0"/>
        <w:sz w:val="20"/>
        <w:szCs w:val="18"/>
      </w:rPr>
      <w:t>reportname</w:t>
    </w:r>
    <w:proofErr w:type="spellEnd"/>
    <w:r w:rsidRPr="00BF42B6">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3425F" w14:textId="77777777" w:rsidR="005B69E2" w:rsidRDefault="005B69E2">
      <w:r>
        <w:separator/>
      </w:r>
    </w:p>
  </w:footnote>
  <w:footnote w:type="continuationSeparator" w:id="0">
    <w:p w14:paraId="755BD5D4" w14:textId="77777777" w:rsidR="005B69E2" w:rsidRDefault="005B6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468"/>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41941151" w:rsidR="00782513" w:rsidRPr="002B73E6" w:rsidRDefault="008B2CF2" w:rsidP="00782513">
          <w:pPr>
            <w:pStyle w:val="ValbridgeHeader"/>
            <w:spacing w:before="120" w:line="240" w:lineRule="auto"/>
            <w:rPr>
              <w:rFonts w:asciiTheme="minorHAnsi" w:hAnsiTheme="minorHAnsi"/>
              <w:noProof/>
              <w:color w:val="auto"/>
              <w:sz w:val="20"/>
            </w:rPr>
          </w:pPr>
          <w:r w:rsidRPr="002B73E6">
            <w:rPr>
              <w:rFonts w:asciiTheme="minorHAnsi" w:hAnsiTheme="minorHAnsi"/>
              <w:noProof/>
              <w:color w:val="auto"/>
              <w:sz w:val="20"/>
            </w:rPr>
            <w:t>${</w:t>
          </w:r>
          <w:r w:rsidR="002B73E6" w:rsidRPr="002B73E6">
            <w:rPr>
              <w:rFonts w:asciiTheme="minorHAnsi" w:hAnsiTheme="minorHAnsi"/>
              <w:noProof/>
              <w:color w:val="auto"/>
              <w:sz w:val="20"/>
            </w:rPr>
            <w:t>cappropname</w:t>
          </w:r>
          <w:r w:rsidRPr="002B73E6">
            <w:rPr>
              <w:rFonts w:asciiTheme="minorHAnsi" w:hAnsiTheme="minorHAnsi"/>
              <w:noProof/>
              <w:color w:val="auto"/>
              <w:sz w:val="20"/>
            </w:rPr>
            <w:t>}</w:t>
          </w:r>
        </w:p>
        <w:p w14:paraId="207A6F81" w14:textId="1E51BB15" w:rsidR="00DB2E0D" w:rsidRPr="00883365" w:rsidRDefault="0061753F" w:rsidP="00492705">
          <w:pPr>
            <w:pStyle w:val="ValbridgeHeader"/>
            <w:spacing w:line="240" w:lineRule="auto"/>
            <w:rPr>
              <w:rFonts w:ascii="Arial Narrow" w:hAnsi="Arial Narrow" w:cs="Arial"/>
            </w:rPr>
          </w:pPr>
          <w:r>
            <w:rPr>
              <w:rFonts w:asciiTheme="minorHAnsi" w:hAnsiTheme="minorHAnsi"/>
              <w:color w:val="auto"/>
              <w:sz w:val="20"/>
            </w:rPr>
            <w:t>RECONCILIATION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27A"/>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6584"/>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46A"/>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B7DC3"/>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32E"/>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3E6"/>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34C"/>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4F90"/>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1B9D"/>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14"/>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69E2"/>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53F"/>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7F5"/>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156A"/>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83B"/>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C8E"/>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80F"/>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7"/>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2B6"/>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ECA"/>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C2C"/>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0C8"/>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5CC"/>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C5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69E"/>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A8E"/>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879"/>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0D4"/>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6CD8DC48634221BFF3C6BD9AFBFB6D"/>
        <w:category>
          <w:name w:val="General"/>
          <w:gallery w:val="placeholder"/>
        </w:category>
        <w:types>
          <w:type w:val="bbPlcHdr"/>
        </w:types>
        <w:behaviors>
          <w:behavior w:val="content"/>
        </w:behaviors>
        <w:guid w:val="{29F63534-27F0-4ACF-9C44-B430026E06B4}"/>
      </w:docPartPr>
      <w:docPartBody>
        <w:p w:rsidR="00C4745D" w:rsidRDefault="00670C65" w:rsidP="00670C65">
          <w:pPr>
            <w:pStyle w:val="9D6CD8DC48634221BFF3C6BD9AFBFB6D"/>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30F92"/>
    <w:rsid w:val="003B4CCF"/>
    <w:rsid w:val="003E5D39"/>
    <w:rsid w:val="0043779A"/>
    <w:rsid w:val="00473976"/>
    <w:rsid w:val="004C6EC4"/>
    <w:rsid w:val="00670C65"/>
    <w:rsid w:val="00693BF4"/>
    <w:rsid w:val="00761599"/>
    <w:rsid w:val="009612AA"/>
    <w:rsid w:val="00AB204C"/>
    <w:rsid w:val="00B32517"/>
    <w:rsid w:val="00BC4F80"/>
    <w:rsid w:val="00BD1F56"/>
    <w:rsid w:val="00C43866"/>
    <w:rsid w:val="00C4745D"/>
    <w:rsid w:val="00CD21B6"/>
    <w:rsid w:val="00D04789"/>
    <w:rsid w:val="00D64F54"/>
    <w:rsid w:val="00F350F0"/>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C65"/>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28DD729962ED4A0489880C9486F64AEA">
    <w:name w:val="28DD729962ED4A0489880C9486F64AEA"/>
    <w:rsid w:val="00473976"/>
  </w:style>
  <w:style w:type="paragraph" w:customStyle="1" w:styleId="66608FE4F821463E895AE86CCD3CE01B">
    <w:name w:val="66608FE4F821463E895AE86CCD3CE01B"/>
    <w:rsid w:val="00473976"/>
  </w:style>
  <w:style w:type="paragraph" w:customStyle="1" w:styleId="45B7E5F307314935806930C1B0990124">
    <w:name w:val="45B7E5F307314935806930C1B0990124"/>
    <w:rsid w:val="00473976"/>
  </w:style>
  <w:style w:type="paragraph" w:customStyle="1" w:styleId="AA88A83221384235B181C623A1D2D404">
    <w:name w:val="AA88A83221384235B181C623A1D2D404"/>
    <w:rsid w:val="00473976"/>
  </w:style>
  <w:style w:type="paragraph" w:customStyle="1" w:styleId="51CA25D643B342A48CFFE689A6FE94FC">
    <w:name w:val="51CA25D643B342A48CFFE689A6FE94FC"/>
    <w:rsid w:val="00670C65"/>
  </w:style>
  <w:style w:type="paragraph" w:customStyle="1" w:styleId="CD7F8B68B6AC410B826AE0432455B20C">
    <w:name w:val="CD7F8B68B6AC410B826AE0432455B20C"/>
    <w:rsid w:val="00670C65"/>
  </w:style>
  <w:style w:type="paragraph" w:customStyle="1" w:styleId="6D3A996A394B4DA59CEF06274A0B9C58">
    <w:name w:val="6D3A996A394B4DA59CEF06274A0B9C58"/>
    <w:rsid w:val="00670C65"/>
  </w:style>
  <w:style w:type="paragraph" w:customStyle="1" w:styleId="7B275A2AE3344D85A37A3B8FD32D8721">
    <w:name w:val="7B275A2AE3344D85A37A3B8FD32D8721"/>
    <w:rsid w:val="00670C65"/>
  </w:style>
  <w:style w:type="paragraph" w:customStyle="1" w:styleId="8493C13D906748A0A783F794A29E1179">
    <w:name w:val="8493C13D906748A0A783F794A29E1179"/>
    <w:rsid w:val="00670C65"/>
  </w:style>
  <w:style w:type="paragraph" w:customStyle="1" w:styleId="36232A2B2F5944FB8F3CEB76FD25B11E">
    <w:name w:val="36232A2B2F5944FB8F3CEB76FD25B11E"/>
    <w:rsid w:val="00670C65"/>
  </w:style>
  <w:style w:type="paragraph" w:customStyle="1" w:styleId="59DC9D0F6C4448188DD27E4BE5F93134">
    <w:name w:val="59DC9D0F6C4448188DD27E4BE5F93134"/>
    <w:rsid w:val="00670C65"/>
  </w:style>
  <w:style w:type="paragraph" w:customStyle="1" w:styleId="257BEAF8D258483E90104F6819B4F773">
    <w:name w:val="257BEAF8D258483E90104F6819B4F773"/>
    <w:rsid w:val="00670C65"/>
  </w:style>
  <w:style w:type="paragraph" w:customStyle="1" w:styleId="CD8C0BE2C6CA448BB87EABAD459CBEE7">
    <w:name w:val="CD8C0BE2C6CA448BB87EABAD459CBEE7"/>
    <w:rsid w:val="00670C65"/>
  </w:style>
  <w:style w:type="paragraph" w:customStyle="1" w:styleId="AB12B25B4D644DE587BB41347BAF331B">
    <w:name w:val="AB12B25B4D644DE587BB41347BAF331B"/>
    <w:rsid w:val="00670C65"/>
  </w:style>
  <w:style w:type="paragraph" w:customStyle="1" w:styleId="C4B97C6827594A61977E64E531847B4B">
    <w:name w:val="C4B97C6827594A61977E64E531847B4B"/>
    <w:rsid w:val="00670C65"/>
  </w:style>
  <w:style w:type="paragraph" w:customStyle="1" w:styleId="C3388771DEDB4E09AFE2723B409DE915">
    <w:name w:val="C3388771DEDB4E09AFE2723B409DE915"/>
    <w:rsid w:val="00670C65"/>
  </w:style>
  <w:style w:type="paragraph" w:customStyle="1" w:styleId="CD38C74F5E0D4D488735976D347F9D2E">
    <w:name w:val="CD38C74F5E0D4D488735976D347F9D2E"/>
    <w:rsid w:val="00670C65"/>
  </w:style>
  <w:style w:type="paragraph" w:customStyle="1" w:styleId="DB53DAFFCD8E470586ECF07B4B182E8F">
    <w:name w:val="DB53DAFFCD8E470586ECF07B4B182E8F"/>
    <w:rsid w:val="00670C65"/>
  </w:style>
  <w:style w:type="paragraph" w:customStyle="1" w:styleId="B2033638BD204F91AADC59BD8736612D">
    <w:name w:val="B2033638BD204F91AADC59BD8736612D"/>
    <w:rsid w:val="00670C65"/>
  </w:style>
  <w:style w:type="paragraph" w:customStyle="1" w:styleId="68F955A240DC426D9243F10707AD536E">
    <w:name w:val="68F955A240DC426D9243F10707AD536E"/>
    <w:rsid w:val="00670C65"/>
  </w:style>
  <w:style w:type="paragraph" w:customStyle="1" w:styleId="DB67DBF83A6E4B659C19F2F1A707A0AA">
    <w:name w:val="DB67DBF83A6E4B659C19F2F1A707A0AA"/>
    <w:rsid w:val="00670C65"/>
  </w:style>
  <w:style w:type="paragraph" w:customStyle="1" w:styleId="B51F751749034AF5B612D6046B778AB4">
    <w:name w:val="B51F751749034AF5B612D6046B778AB4"/>
    <w:rsid w:val="00670C65"/>
  </w:style>
  <w:style w:type="paragraph" w:customStyle="1" w:styleId="9D6CD8DC48634221BFF3C6BD9AFBFB6D">
    <w:name w:val="9D6CD8DC48634221BFF3C6BD9AFBFB6D"/>
    <w:rsid w:val="00670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BB606-4636-462D-BD5E-DE53E77EB8BB}">
  <ds:schemaRefs>
    <ds:schemaRef ds:uri="http://schemas.openxmlformats.org/officeDocument/2006/bibliography"/>
  </ds:schemaRefs>
</ds:datastoreItem>
</file>

<file path=customXml/itemProps4.xml><?xml version="1.0" encoding="utf-8"?>
<ds:datastoreItem xmlns:ds="http://schemas.openxmlformats.org/officeDocument/2006/customXml" ds:itemID="{99298B2E-06B4-4641-8090-26F861ED3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10719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2020-06-09T20:56:00Z</dcterms:created>
  <dcterms:modified xsi:type="dcterms:W3CDTF">2020-06-13T23:35:00Z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