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61753F">
        <w:trPr>
          <w:trHeight w:hRule="exact" w:val="590"/>
        </w:trPr>
        <w:tc>
          <w:tcPr>
            <w:tcW w:w="936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2AD86158" w14:textId="77777777" w:rsidR="0061753F" w:rsidRPr="00F166AD" w:rsidRDefault="0061753F" w:rsidP="0061753F">
      <w:pPr>
        <w:pStyle w:val="Heading20"/>
        <w:rPr>
          <w:rFonts w:asciiTheme="minorHAnsi" w:hAnsiTheme="minorHAnsi" w:cs="Arial"/>
          <w:b w:val="0"/>
          <w:color w:val="1E4959"/>
          <w:spacing w:val="0"/>
          <w:kern w:val="20"/>
          <w:sz w:val="28"/>
          <w:szCs w:val="22"/>
        </w:rPr>
      </w:pPr>
      <w:r w:rsidRPr="00F166AD">
        <w:rPr>
          <w:rFonts w:asciiTheme="minorHAnsi" w:hAnsiTheme="minorHAnsi" w:cs="Arial"/>
          <w:b w:val="0"/>
          <w:color w:val="1E4959"/>
          <w:spacing w:val="0"/>
          <w:kern w:val="20"/>
          <w:sz w:val="28"/>
          <w:szCs w:val="22"/>
        </w:rPr>
        <w:t>Summary of Value Indications</w:t>
      </w:r>
    </w:p>
    <w:p w14:paraId="4A1B43CF" w14:textId="77777777" w:rsidR="0061753F" w:rsidRPr="00F166AD" w:rsidRDefault="0061753F" w:rsidP="0061753F">
      <w:pPr>
        <w:suppressAutoHyphens/>
        <w:rPr>
          <w:rFonts w:cs="Arial"/>
          <w:szCs w:val="22"/>
        </w:rPr>
      </w:pPr>
      <w:r w:rsidRPr="00F166AD">
        <w:rPr>
          <w:rFonts w:cs="Arial"/>
          <w:szCs w:val="22"/>
        </w:rPr>
        <w:t xml:space="preserve">The reconciliation of value indications is the final step in the appraisal process and involves the reviewing and weighing of the individual valuation techniques in relationship to their substantiation by market data, and the reliability and applicability of each valuation technique to the subject project. The reconciliation criteria are appropriateness, accuracy, and quantity of evidence. </w:t>
      </w:r>
    </w:p>
    <w:p w14:paraId="13054A0C" w14:textId="77777777" w:rsidR="0061753F" w:rsidRPr="00F166AD" w:rsidRDefault="0061753F" w:rsidP="0061753F">
      <w:pPr>
        <w:rPr>
          <w:rFonts w:cs="Arial"/>
          <w:szCs w:val="22"/>
        </w:rPr>
      </w:pPr>
    </w:p>
    <w:p w14:paraId="4CF66CC6" w14:textId="45B893FE" w:rsidR="0061753F" w:rsidRPr="00FC4800" w:rsidRDefault="0061753F" w:rsidP="0061753F">
      <w:pPr>
        <w:rPr>
          <w:rFonts w:cs="Arial"/>
          <w:szCs w:val="22"/>
        </w:rPr>
      </w:pPr>
      <w:r w:rsidRPr="00185C85">
        <w:rPr>
          <w:rFonts w:cs="Arial"/>
          <w:szCs w:val="22"/>
        </w:rPr>
        <w:t>Only the Sales Comparison and Income Capitalization Approaches to value were utilized in this assignment, each involving separate and distinct techniques. The Cost Approach was omitted due to its inapplicability in this assignment</w:t>
      </w:r>
      <w:r w:rsidRPr="00FC4800">
        <w:rPr>
          <w:rFonts w:cs="Arial"/>
          <w:szCs w:val="22"/>
        </w:rPr>
        <w:t xml:space="preserve">. Based on the two selected methods of appraisal, the estimated </w:t>
      </w:r>
      <w:r>
        <w:rPr>
          <w:rFonts w:cs="Arial"/>
          <w:b/>
          <w:szCs w:val="22"/>
        </w:rPr>
        <w:t>s</w:t>
      </w:r>
      <w:r w:rsidRPr="00FC4800">
        <w:rPr>
          <w:rFonts w:cs="Arial"/>
          <w:b/>
          <w:szCs w:val="22"/>
        </w:rPr>
        <w:t>tabilized market values</w:t>
      </w:r>
      <w:r>
        <w:rPr>
          <w:rFonts w:cs="Arial"/>
          <w:szCs w:val="22"/>
        </w:rPr>
        <w:t xml:space="preserve"> </w:t>
      </w:r>
      <w:r w:rsidRPr="00FC4800">
        <w:rPr>
          <w:rFonts w:cs="Arial"/>
          <w:szCs w:val="22"/>
        </w:rPr>
        <w:t xml:space="preserve">of the </w:t>
      </w:r>
      <w:r w:rsidRPr="00F920D4">
        <w:rPr>
          <w:rFonts w:cs="Arial"/>
          <w:szCs w:val="22"/>
        </w:rPr>
        <w:t>fee simple</w:t>
      </w:r>
      <w:r w:rsidRPr="000754FA">
        <w:rPr>
          <w:rFonts w:cs="Arial"/>
          <w:szCs w:val="22"/>
        </w:rPr>
        <w:t xml:space="preserve"> interest in the </w:t>
      </w:r>
      <w:r w:rsidRPr="00813190">
        <w:rPr>
          <w:rFonts w:cs="Arial"/>
          <w:b/>
          <w:szCs w:val="22"/>
        </w:rPr>
        <w:t xml:space="preserve">subject </w:t>
      </w:r>
      <w:r>
        <w:rPr>
          <w:rFonts w:cs="Arial"/>
          <w:b/>
          <w:szCs w:val="22"/>
        </w:rPr>
        <w:t>property</w:t>
      </w:r>
      <w:r w:rsidRPr="00FC4800">
        <w:rPr>
          <w:rFonts w:cs="Arial"/>
          <w:szCs w:val="22"/>
        </w:rPr>
        <w:t xml:space="preserve"> </w:t>
      </w:r>
      <w:r w:rsidR="00DD7C5D">
        <w:rPr>
          <w:rFonts w:cs="Arial"/>
          <w:szCs w:val="22"/>
        </w:rPr>
        <w:t>(</w:t>
      </w:r>
      <w:sdt>
        <w:sdtPr>
          <w:rPr>
            <w:rFonts w:cs="Arial"/>
            <w:szCs w:val="22"/>
            <w:highlight w:val="green"/>
          </w:rPr>
          <w:alias w:val="Assumptions"/>
          <w:tag w:val="Assumptions"/>
          <w:id w:val="-1440517349"/>
          <w:placeholder>
            <w:docPart w:val="DefaultPlaceholder_-1854013438"/>
          </w:placeholder>
          <w:dropDownList>
            <w:listItem w:value="Choose an item."/>
            <w:listItem w:displayText="assuming the curing of the noted items of deferred maintenance" w:value="assuming the curing of the noted items of deferred maintenance"/>
            <w:listItem w:displayText="assuming the completion or renovations" w:value="assuming the completion or renovations"/>
            <w:listItem w:displayText="assuming completion of repairs" w:value="assuming completion of repairs"/>
          </w:dropDownList>
        </w:sdtPr>
        <w:sdtEndPr/>
        <w:sdtContent>
          <w:r w:rsidR="00DD7C5D" w:rsidRPr="001B7DC3">
            <w:rPr>
              <w:rFonts w:cs="Arial"/>
              <w:szCs w:val="22"/>
              <w:highlight w:val="green"/>
            </w:rPr>
            <w:t>assuming the curing of the noted items of deferred maintenance</w:t>
          </w:r>
        </w:sdtContent>
      </w:sdt>
      <w:r w:rsidR="00DD7C5D" w:rsidRPr="00166AF1">
        <w:rPr>
          <w:rFonts w:cs="Arial"/>
          <w:szCs w:val="22"/>
        </w:rPr>
        <w:t>)</w:t>
      </w:r>
      <w:r w:rsidR="00DD7C5D">
        <w:rPr>
          <w:rFonts w:cs="Arial"/>
          <w:szCs w:val="22"/>
        </w:rPr>
        <w:t xml:space="preserve"> </w:t>
      </w:r>
      <w:r w:rsidRPr="00FC4800">
        <w:rPr>
          <w:rFonts w:cs="Arial"/>
          <w:szCs w:val="22"/>
        </w:rPr>
        <w:t>are</w:t>
      </w:r>
      <w:r w:rsidRPr="00FC4800">
        <w:rPr>
          <w:rFonts w:cs="Arial"/>
          <w:iCs/>
          <w:szCs w:val="22"/>
        </w:rPr>
        <w:t xml:space="preserve"> as follows:</w:t>
      </w:r>
    </w:p>
    <w:p w14:paraId="24B7CD89" w14:textId="77777777" w:rsidR="0061753F" w:rsidRPr="00F166AD" w:rsidRDefault="0061753F" w:rsidP="0061753F">
      <w:pPr>
        <w:pStyle w:val="ListParagraph"/>
        <w:ind w:left="0"/>
        <w:rPr>
          <w:rFonts w:cs="Arial"/>
          <w:kern w:val="20"/>
          <w:szCs w:val="22"/>
        </w:rPr>
      </w:pPr>
    </w:p>
    <w:tbl>
      <w:tblPr>
        <w:tblW w:w="94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38"/>
        <w:gridCol w:w="1530"/>
        <w:gridCol w:w="1440"/>
        <w:gridCol w:w="2160"/>
      </w:tblGrid>
      <w:tr w:rsidR="0061753F" w:rsidRPr="00F166AD" w14:paraId="6D640CB1" w14:textId="77777777" w:rsidTr="00A16296">
        <w:tc>
          <w:tcPr>
            <w:tcW w:w="4338" w:type="dxa"/>
            <w:tcBorders>
              <w:top w:val="nil"/>
              <w:left w:val="nil"/>
              <w:bottom w:val="single" w:sz="24" w:space="0" w:color="3FB44F"/>
              <w:right w:val="nil"/>
            </w:tcBorders>
            <w:shd w:val="clear" w:color="auto" w:fill="1E4959"/>
          </w:tcPr>
          <w:p w14:paraId="3A54BFEF" w14:textId="77777777" w:rsidR="0061753F" w:rsidRPr="00F166AD" w:rsidRDefault="0061753F" w:rsidP="00A16296">
            <w:pPr>
              <w:tabs>
                <w:tab w:val="left" w:pos="3960"/>
              </w:tabs>
              <w:spacing w:after="60" w:line="20" w:lineRule="atLeast"/>
              <w:jc w:val="left"/>
              <w:rPr>
                <w:rFonts w:cs="Arial"/>
                <w:b/>
                <w:smallCaps/>
                <w:color w:val="FFFFFF" w:themeColor="background1"/>
                <w:szCs w:val="22"/>
              </w:rPr>
            </w:pPr>
            <w:r w:rsidRPr="00F166AD">
              <w:rPr>
                <w:rFonts w:cs="Arial"/>
                <w:b/>
                <w:smallCaps/>
                <w:color w:val="FFFFFF" w:themeColor="background1"/>
                <w:szCs w:val="22"/>
              </w:rPr>
              <w:br/>
              <w:t>Valuation Approach</w:t>
            </w:r>
          </w:p>
        </w:tc>
        <w:tc>
          <w:tcPr>
            <w:tcW w:w="1530" w:type="dxa"/>
            <w:tcBorders>
              <w:top w:val="nil"/>
              <w:left w:val="nil"/>
              <w:bottom w:val="single" w:sz="24" w:space="0" w:color="3FB44F"/>
              <w:right w:val="nil"/>
            </w:tcBorders>
            <w:shd w:val="clear" w:color="auto" w:fill="1E4959"/>
          </w:tcPr>
          <w:p w14:paraId="60541262"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1440" w:type="dxa"/>
            <w:tcBorders>
              <w:top w:val="nil"/>
              <w:left w:val="nil"/>
              <w:bottom w:val="single" w:sz="24" w:space="0" w:color="3FB44F"/>
              <w:right w:val="nil"/>
            </w:tcBorders>
            <w:shd w:val="clear" w:color="auto" w:fill="1E4959"/>
          </w:tcPr>
          <w:p w14:paraId="14521C49"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2160" w:type="dxa"/>
            <w:tcBorders>
              <w:top w:val="nil"/>
              <w:left w:val="nil"/>
              <w:bottom w:val="single" w:sz="24" w:space="0" w:color="3FB44F"/>
              <w:right w:val="nil"/>
            </w:tcBorders>
            <w:shd w:val="clear" w:color="auto" w:fill="1E4959"/>
          </w:tcPr>
          <w:p w14:paraId="2D13D877"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r w:rsidRPr="00F166AD">
              <w:rPr>
                <w:rFonts w:cs="Arial"/>
                <w:b/>
                <w:smallCaps/>
                <w:color w:val="FFFFFF" w:themeColor="background1"/>
                <w:szCs w:val="22"/>
              </w:rPr>
              <w:t>Value</w:t>
            </w:r>
            <w:r w:rsidRPr="00F166AD">
              <w:rPr>
                <w:rFonts w:cs="Arial"/>
                <w:b/>
                <w:smallCaps/>
                <w:color w:val="FFFFFF" w:themeColor="background1"/>
                <w:szCs w:val="22"/>
              </w:rPr>
              <w:br/>
              <w:t>Conclusion</w:t>
            </w:r>
          </w:p>
        </w:tc>
      </w:tr>
      <w:tr w:rsidR="0061753F" w:rsidRPr="00F166AD" w14:paraId="49FDFA02" w14:textId="77777777" w:rsidTr="00A16296">
        <w:trPr>
          <w:trHeight w:val="507"/>
        </w:trPr>
        <w:tc>
          <w:tcPr>
            <w:tcW w:w="4338" w:type="dxa"/>
            <w:tcBorders>
              <w:top w:val="single" w:sz="24" w:space="0" w:color="3FB44F"/>
              <w:left w:val="nil"/>
              <w:bottom w:val="single" w:sz="6" w:space="0" w:color="auto"/>
              <w:right w:val="nil"/>
            </w:tcBorders>
          </w:tcPr>
          <w:p w14:paraId="3247DCBC" w14:textId="77777777" w:rsidR="0061753F" w:rsidRPr="00F166AD" w:rsidRDefault="0061753F" w:rsidP="00A16296">
            <w:pPr>
              <w:tabs>
                <w:tab w:val="left" w:pos="3960"/>
              </w:tabs>
              <w:spacing w:before="120"/>
              <w:jc w:val="left"/>
              <w:rPr>
                <w:rFonts w:cs="Arial"/>
                <w:b/>
                <w:szCs w:val="22"/>
              </w:rPr>
            </w:pPr>
            <w:r w:rsidRPr="00F166AD">
              <w:rPr>
                <w:rFonts w:cs="Arial"/>
                <w:b/>
                <w:szCs w:val="22"/>
              </w:rPr>
              <w:t>COST APPROACH</w:t>
            </w:r>
          </w:p>
        </w:tc>
        <w:tc>
          <w:tcPr>
            <w:tcW w:w="1530" w:type="dxa"/>
            <w:tcBorders>
              <w:top w:val="single" w:sz="24" w:space="0" w:color="3FB44F"/>
              <w:left w:val="nil"/>
              <w:bottom w:val="single" w:sz="6" w:space="0" w:color="auto"/>
              <w:right w:val="nil"/>
            </w:tcBorders>
          </w:tcPr>
          <w:p w14:paraId="09EBEAA6" w14:textId="77777777" w:rsidR="0061753F" w:rsidRPr="00F166AD" w:rsidRDefault="0061753F" w:rsidP="00A16296">
            <w:pPr>
              <w:tabs>
                <w:tab w:val="left" w:pos="3960"/>
              </w:tabs>
              <w:spacing w:before="60"/>
              <w:jc w:val="left"/>
              <w:rPr>
                <w:rFonts w:cs="Arial"/>
                <w:szCs w:val="22"/>
              </w:rPr>
            </w:pPr>
          </w:p>
        </w:tc>
        <w:tc>
          <w:tcPr>
            <w:tcW w:w="1440" w:type="dxa"/>
            <w:tcBorders>
              <w:top w:val="single" w:sz="24" w:space="0" w:color="3FB44F"/>
              <w:left w:val="nil"/>
              <w:bottom w:val="single" w:sz="6" w:space="0" w:color="auto"/>
              <w:right w:val="single" w:sz="6" w:space="0" w:color="auto"/>
            </w:tcBorders>
          </w:tcPr>
          <w:p w14:paraId="3A958752" w14:textId="77777777" w:rsidR="0061753F" w:rsidRPr="00F166AD" w:rsidRDefault="0061753F" w:rsidP="00A16296">
            <w:pPr>
              <w:tabs>
                <w:tab w:val="left" w:pos="3960"/>
              </w:tabs>
              <w:spacing w:before="60"/>
              <w:jc w:val="right"/>
              <w:rPr>
                <w:rFonts w:cs="Arial"/>
                <w:szCs w:val="22"/>
              </w:rPr>
            </w:pPr>
          </w:p>
        </w:tc>
        <w:tc>
          <w:tcPr>
            <w:tcW w:w="2160" w:type="dxa"/>
            <w:tcBorders>
              <w:top w:val="single" w:sz="24" w:space="0" w:color="3FB44F"/>
              <w:left w:val="nil"/>
              <w:bottom w:val="single" w:sz="6" w:space="0" w:color="auto"/>
              <w:right w:val="nil"/>
            </w:tcBorders>
            <w:vAlign w:val="center"/>
          </w:tcPr>
          <w:p w14:paraId="1575244A" w14:textId="0E82D828" w:rsidR="0061753F" w:rsidRPr="00F166AD" w:rsidRDefault="00A64C87" w:rsidP="00A16296">
            <w:pPr>
              <w:tabs>
                <w:tab w:val="left" w:pos="3960"/>
              </w:tabs>
              <w:spacing w:before="60" w:after="120"/>
              <w:jc w:val="center"/>
              <w:rPr>
                <w:rFonts w:cs="Arial"/>
                <w:b/>
                <w:szCs w:val="22"/>
              </w:rPr>
            </w:pPr>
            <w:r>
              <w:rPr>
                <w:rFonts w:cs="Arial"/>
                <w:b/>
                <w:szCs w:val="22"/>
              </w:rPr>
              <w:t>Not Applicable</w:t>
            </w:r>
            <w:r w:rsidR="0061753F">
              <w:rPr>
                <w:rFonts w:cs="Arial"/>
                <w:b/>
                <w:szCs w:val="22"/>
              </w:rPr>
              <w:t xml:space="preserve"> </w:t>
            </w:r>
          </w:p>
        </w:tc>
      </w:tr>
      <w:tr w:rsidR="0061753F" w:rsidRPr="00F166AD" w14:paraId="269CDC32" w14:textId="77777777" w:rsidTr="00A16296">
        <w:trPr>
          <w:trHeight w:val="80"/>
        </w:trPr>
        <w:tc>
          <w:tcPr>
            <w:tcW w:w="4338" w:type="dxa"/>
            <w:tcBorders>
              <w:top w:val="single" w:sz="6" w:space="0" w:color="auto"/>
              <w:left w:val="nil"/>
              <w:bottom w:val="single" w:sz="6" w:space="0" w:color="auto"/>
              <w:right w:val="nil"/>
            </w:tcBorders>
          </w:tcPr>
          <w:p w14:paraId="2F6CF160" w14:textId="77777777" w:rsidR="0061753F" w:rsidRPr="00F166AD" w:rsidRDefault="0061753F" w:rsidP="00A16296">
            <w:pPr>
              <w:tabs>
                <w:tab w:val="left" w:pos="3960"/>
              </w:tabs>
              <w:spacing w:before="120" w:line="360" w:lineRule="auto"/>
              <w:rPr>
                <w:rFonts w:cs="Arial"/>
                <w:b/>
                <w:szCs w:val="22"/>
              </w:rPr>
            </w:pPr>
            <w:r w:rsidRPr="00F166AD">
              <w:rPr>
                <w:rFonts w:cs="Arial"/>
                <w:b/>
                <w:szCs w:val="22"/>
              </w:rPr>
              <w:t>SALES COMPARISON APPROACH</w:t>
            </w:r>
          </w:p>
        </w:tc>
        <w:tc>
          <w:tcPr>
            <w:tcW w:w="1530" w:type="dxa"/>
            <w:tcBorders>
              <w:top w:val="single" w:sz="6" w:space="0" w:color="auto"/>
              <w:left w:val="nil"/>
              <w:bottom w:val="single" w:sz="6" w:space="0" w:color="auto"/>
              <w:right w:val="nil"/>
            </w:tcBorders>
          </w:tcPr>
          <w:p w14:paraId="0174B0C4" w14:textId="77777777" w:rsidR="0061753F" w:rsidRPr="00F166AD"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single" w:sz="6" w:space="0" w:color="auto"/>
              <w:right w:val="single" w:sz="6" w:space="0" w:color="auto"/>
            </w:tcBorders>
          </w:tcPr>
          <w:p w14:paraId="74AE0E37" w14:textId="77777777" w:rsidR="0061753F" w:rsidRPr="00F166AD"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single" w:sz="6" w:space="0" w:color="auto"/>
              <w:right w:val="nil"/>
            </w:tcBorders>
          </w:tcPr>
          <w:p w14:paraId="54644AF8" w14:textId="0AF7CD1B" w:rsidR="0061753F" w:rsidRPr="005111EA"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w:t>
            </w:r>
            <w:r w:rsidR="00C14ECA">
              <w:rPr>
                <w:rFonts w:cs="Arial"/>
                <w:b/>
                <w:szCs w:val="22"/>
                <w:highlight w:val="yellow"/>
              </w:rPr>
              <w:t>__</w:t>
            </w:r>
            <w:r w:rsidRPr="0061753F">
              <w:rPr>
                <w:rFonts w:cs="Arial"/>
                <w:b/>
                <w:szCs w:val="22"/>
                <w:highlight w:val="yellow"/>
              </w:rPr>
              <w:t>___</w:t>
            </w:r>
          </w:p>
        </w:tc>
      </w:tr>
      <w:tr w:rsidR="0061753F" w:rsidRPr="009519CB" w14:paraId="08FC5D6F" w14:textId="77777777" w:rsidTr="00A16296">
        <w:trPr>
          <w:trHeight w:val="80"/>
        </w:trPr>
        <w:tc>
          <w:tcPr>
            <w:tcW w:w="4338" w:type="dxa"/>
            <w:tcBorders>
              <w:top w:val="single" w:sz="6" w:space="0" w:color="auto"/>
              <w:left w:val="nil"/>
              <w:bottom w:val="double" w:sz="6" w:space="0" w:color="auto"/>
              <w:right w:val="nil"/>
            </w:tcBorders>
          </w:tcPr>
          <w:p w14:paraId="6AB8244E" w14:textId="77777777" w:rsidR="0061753F" w:rsidRPr="009519CB" w:rsidRDefault="0061753F" w:rsidP="00A16296">
            <w:pPr>
              <w:tabs>
                <w:tab w:val="left" w:pos="3960"/>
              </w:tabs>
              <w:spacing w:before="120" w:line="360" w:lineRule="auto"/>
              <w:rPr>
                <w:rFonts w:cs="Arial"/>
                <w:b/>
                <w:szCs w:val="22"/>
              </w:rPr>
            </w:pPr>
            <w:r w:rsidRPr="009519CB">
              <w:rPr>
                <w:rFonts w:cs="Arial"/>
                <w:b/>
                <w:szCs w:val="22"/>
              </w:rPr>
              <w:t xml:space="preserve">INCOME APPROACH </w:t>
            </w:r>
          </w:p>
        </w:tc>
        <w:tc>
          <w:tcPr>
            <w:tcW w:w="1530" w:type="dxa"/>
            <w:tcBorders>
              <w:top w:val="single" w:sz="6" w:space="0" w:color="auto"/>
              <w:left w:val="nil"/>
              <w:bottom w:val="double" w:sz="6" w:space="0" w:color="auto"/>
              <w:right w:val="nil"/>
            </w:tcBorders>
          </w:tcPr>
          <w:p w14:paraId="3555C2BE" w14:textId="77777777" w:rsidR="0061753F" w:rsidRPr="009519CB"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double" w:sz="6" w:space="0" w:color="auto"/>
              <w:right w:val="single" w:sz="6" w:space="0" w:color="auto"/>
            </w:tcBorders>
          </w:tcPr>
          <w:p w14:paraId="361CB6E9" w14:textId="77777777" w:rsidR="0061753F" w:rsidRPr="009519CB"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double" w:sz="6" w:space="0" w:color="auto"/>
              <w:right w:val="nil"/>
            </w:tcBorders>
          </w:tcPr>
          <w:p w14:paraId="06A1D1DA" w14:textId="71727788" w:rsidR="0061753F" w:rsidRPr="00EE3761"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$_______</w:t>
            </w:r>
            <w:r w:rsidR="00C14ECA">
              <w:rPr>
                <w:rFonts w:cs="Arial"/>
                <w:b/>
                <w:szCs w:val="22"/>
                <w:highlight w:val="yellow"/>
              </w:rPr>
              <w:t>__</w:t>
            </w:r>
            <w:r w:rsidRPr="0061753F">
              <w:rPr>
                <w:rFonts w:cs="Arial"/>
                <w:b/>
                <w:szCs w:val="22"/>
                <w:highlight w:val="yellow"/>
              </w:rPr>
              <w:t>__</w:t>
            </w:r>
          </w:p>
        </w:tc>
      </w:tr>
    </w:tbl>
    <w:p w14:paraId="525EF849" w14:textId="09BFD13E" w:rsidR="00DD7C5D" w:rsidRDefault="00DD7C5D" w:rsidP="00DD7C5D">
      <w:pPr>
        <w:rPr>
          <w:rFonts w:cs="Segoe UI"/>
        </w:rPr>
      </w:pPr>
    </w:p>
    <w:p w14:paraId="0BB7FC6F" w14:textId="6750F483" w:rsidR="00DD7C5D" w:rsidRDefault="00DD7C5D" w:rsidP="0061753F">
      <w:pPr>
        <w:rPr>
          <w:rFonts w:cs="Segoe UI"/>
        </w:rPr>
      </w:pPr>
    </w:p>
    <w:p w14:paraId="75FF6513" w14:textId="311606A5" w:rsidR="00DD7C5D" w:rsidRPr="00DD7C5D" w:rsidRDefault="00DD7C5D" w:rsidP="00DD7C5D">
      <w:pPr>
        <w:rPr>
          <w:rFonts w:cs="Segoe UI"/>
          <w:b/>
          <w:bCs/>
        </w:rPr>
      </w:pPr>
      <w:r w:rsidRPr="005054EB">
        <w:rPr>
          <w:rFonts w:cs="Segoe UI"/>
          <w:b/>
          <w:bCs/>
          <w:highlight w:val="green"/>
        </w:rPr>
        <w:t xml:space="preserve">Option </w:t>
      </w:r>
      <w:r w:rsidR="001B7DC3" w:rsidRPr="005054EB">
        <w:rPr>
          <w:rFonts w:cs="Segoe UI"/>
          <w:b/>
          <w:bCs/>
          <w:highlight w:val="green"/>
        </w:rPr>
        <w:t>1</w:t>
      </w:r>
      <w:r w:rsidRPr="005054EB">
        <w:rPr>
          <w:rFonts w:cs="Segoe UI"/>
          <w:b/>
          <w:bCs/>
          <w:highlight w:val="green"/>
        </w:rPr>
        <w:t xml:space="preserve"> – Concluded As Is (Deferred Maintenance</w:t>
      </w:r>
      <w:r w:rsidR="005054EB">
        <w:rPr>
          <w:rFonts w:cs="Segoe UI"/>
          <w:b/>
          <w:bCs/>
          <w:highlight w:val="green"/>
        </w:rPr>
        <w:t xml:space="preserve"> / Repairs</w:t>
      </w:r>
      <w:r w:rsidRPr="005054EB">
        <w:rPr>
          <w:rFonts w:cs="Segoe UI"/>
          <w:b/>
          <w:bCs/>
          <w:highlight w:val="green"/>
        </w:rPr>
        <w:t>)</w:t>
      </w:r>
    </w:p>
    <w:p w14:paraId="3871FE87" w14:textId="77777777" w:rsidR="00DD7C5D" w:rsidRPr="002B55EE" w:rsidRDefault="00DD7C5D" w:rsidP="00DD7C5D">
      <w:pPr>
        <w:pStyle w:val="Heading20"/>
        <w:rPr>
          <w:rFonts w:asciiTheme="minorHAnsi" w:hAnsiTheme="minorHAnsi" w:cs="Arial"/>
          <w:b w:val="0"/>
          <w:color w:val="1E4959"/>
          <w:spacing w:val="0"/>
          <w:kern w:val="20"/>
          <w:sz w:val="28"/>
          <w:szCs w:val="22"/>
        </w:rPr>
      </w:pPr>
      <w:r w:rsidRPr="002B55EE">
        <w:rPr>
          <w:rFonts w:asciiTheme="minorHAnsi" w:hAnsiTheme="minorHAnsi" w:cs="Arial"/>
          <w:b w:val="0"/>
          <w:color w:val="1E4959"/>
          <w:spacing w:val="0"/>
          <w:kern w:val="20"/>
          <w:sz w:val="28"/>
          <w:szCs w:val="22"/>
        </w:rPr>
        <w:t>Concluded Stabilized Market Value</w:t>
      </w:r>
    </w:p>
    <w:p w14:paraId="083E58F0" w14:textId="77777777" w:rsidR="00DD7C5D" w:rsidRPr="005558CA" w:rsidRDefault="00DD7C5D" w:rsidP="00DD7C5D">
      <w:r w:rsidRPr="005054EB">
        <w:rPr>
          <w:highlight w:val="yellow"/>
        </w:rPr>
        <w:t>Due to the subject status as an owner-occupied property, the mostly likely potential purchaser would be a partial owner-user (as is currently the case). Hence, primary emphasis is placed on the Sales Comparison Approach. Overall, the market data presented and analyzed via the Income Approach provided reasonably good back-up support for the Sales Comparison Approach, but only secondary emphasis is placed on this approach due to the lack of a long-term leases for the property.</w:t>
      </w:r>
      <w:r w:rsidRPr="005558CA">
        <w:t xml:space="preserve"> </w:t>
      </w:r>
    </w:p>
    <w:p w14:paraId="60EB6CBE" w14:textId="77777777" w:rsidR="00DD7C5D" w:rsidRPr="005558CA" w:rsidRDefault="00DD7C5D" w:rsidP="00DD7C5D">
      <w:pPr>
        <w:suppressAutoHyphens/>
      </w:pPr>
    </w:p>
    <w:p w14:paraId="42B78F9D" w14:textId="7A5F8151" w:rsidR="00DD7C5D" w:rsidRPr="00D7083B" w:rsidRDefault="00DD7C5D" w:rsidP="00DD7C5D">
      <w:pPr>
        <w:rPr>
          <w:rFonts w:cs="Arial"/>
          <w:szCs w:val="22"/>
        </w:rPr>
      </w:pPr>
      <w:r w:rsidRPr="005558CA">
        <w:rPr>
          <w:rFonts w:cs="Arial"/>
          <w:szCs w:val="22"/>
        </w:rPr>
        <w:t>Based</w:t>
      </w:r>
      <w:r w:rsidRPr="00D7083B">
        <w:rPr>
          <w:rFonts w:cs="Arial"/>
          <w:szCs w:val="22"/>
        </w:rPr>
        <w:t xml:space="preserve"> on the </w:t>
      </w:r>
      <w:r w:rsidRPr="00E74DEC">
        <w:rPr>
          <w:rFonts w:cs="Arial"/>
          <w:szCs w:val="22"/>
        </w:rPr>
        <w:t xml:space="preserve">research, analyses and conclusions contained within this report, it is the appraiser’s opinion that the </w:t>
      </w:r>
      <w:r w:rsidRPr="00E74DEC">
        <w:rPr>
          <w:rFonts w:cs="Arial"/>
          <w:b/>
          <w:szCs w:val="22"/>
        </w:rPr>
        <w:t xml:space="preserve">concluded </w:t>
      </w:r>
      <w:r>
        <w:rPr>
          <w:rFonts w:cs="Arial"/>
          <w:b/>
          <w:szCs w:val="22"/>
        </w:rPr>
        <w:t>stabilized</w:t>
      </w:r>
      <w:r w:rsidRPr="00E74DEC">
        <w:rPr>
          <w:rFonts w:cs="Arial"/>
          <w:b/>
          <w:szCs w:val="22"/>
        </w:rPr>
        <w:t xml:space="preserve"> market </w:t>
      </w:r>
      <w:r w:rsidRPr="0079183E">
        <w:rPr>
          <w:rFonts w:cs="Arial"/>
          <w:b/>
          <w:szCs w:val="22"/>
        </w:rPr>
        <w:t xml:space="preserve">value </w:t>
      </w:r>
      <w:r w:rsidRPr="0079183E">
        <w:rPr>
          <w:rFonts w:cs="Arial"/>
          <w:szCs w:val="22"/>
        </w:rPr>
        <w:t xml:space="preserve">of the </w:t>
      </w:r>
      <w:sdt>
        <w:sdtPr>
          <w:rPr>
            <w:rFonts w:cs="Arial"/>
            <w:szCs w:val="22"/>
            <w:highlight w:val="green"/>
          </w:rPr>
          <w:alias w:val="Property Interest"/>
          <w:tag w:val="Property Interest"/>
          <w:id w:val="97071755"/>
          <w:placeholder>
            <w:docPart w:val="28DD729962ED4A0489880C9486F64AEA"/>
          </w:placeholder>
          <w:dropDownList>
            <w:listItem w:value="Choose an item."/>
            <w:listItem w:displayText="fee simple" w:value="fee simple"/>
            <w:listItem w:displayText="leased fee" w:value="leased fee"/>
          </w:dropDownList>
        </w:sdtPr>
        <w:sdtEndPr/>
        <w:sdtContent>
          <w:r w:rsidR="001B7DC3">
            <w:rPr>
              <w:rFonts w:cs="Arial"/>
              <w:szCs w:val="22"/>
              <w:highlight w:val="green"/>
            </w:rPr>
            <w:t>fee simple</w:t>
          </w:r>
        </w:sdtContent>
      </w:sdt>
      <w:r>
        <w:rPr>
          <w:rFonts w:cs="Arial"/>
          <w:szCs w:val="22"/>
        </w:rPr>
        <w:t xml:space="preserve"> </w:t>
      </w:r>
      <w:r w:rsidRPr="0079183E">
        <w:rPr>
          <w:rFonts w:cs="Arial"/>
          <w:szCs w:val="22"/>
        </w:rPr>
        <w:t xml:space="preserve">interest in the </w:t>
      </w:r>
      <w:r w:rsidRPr="001B7DC3">
        <w:rPr>
          <w:rFonts w:cs="Arial"/>
          <w:b/>
          <w:bCs/>
          <w:szCs w:val="22"/>
        </w:rPr>
        <w:t>subject property</w:t>
      </w:r>
      <w:r w:rsidRPr="0079183E">
        <w:rPr>
          <w:rFonts w:cs="Arial"/>
          <w:szCs w:val="22"/>
        </w:rPr>
        <w:t xml:space="preserve"> </w:t>
      </w:r>
      <w:r w:rsidR="001B7DC3">
        <w:rPr>
          <w:rFonts w:cs="Arial"/>
          <w:szCs w:val="22"/>
        </w:rPr>
        <w:t>(</w:t>
      </w:r>
      <w:sdt>
        <w:sdtPr>
          <w:rPr>
            <w:rFonts w:cs="Arial"/>
            <w:szCs w:val="22"/>
            <w:highlight w:val="green"/>
          </w:rPr>
          <w:alias w:val="Assumptions"/>
          <w:tag w:val="Assumptions"/>
          <w:id w:val="208312883"/>
          <w:placeholder>
            <w:docPart w:val="51CA25D643B342A48CFFE689A6FE94FC"/>
          </w:placeholder>
          <w:dropDownList>
            <w:listItem w:value="Choose an item."/>
            <w:listItem w:displayText="assuming the curing of the noted items of deferred maintenance" w:value="assuming the curing of the noted items of deferred maintenance"/>
            <w:listItem w:displayText="assuming the completion or renovations" w:value="assuming the completion or renovations"/>
            <w:listItem w:displayText="assuming completion of repairs" w:value="assuming completion of repairs"/>
          </w:dropDownList>
        </w:sdtPr>
        <w:sdtEndPr/>
        <w:sdtContent>
          <w:r w:rsidR="001B7DC3" w:rsidRPr="001B7DC3">
            <w:rPr>
              <w:rFonts w:cs="Arial"/>
              <w:szCs w:val="22"/>
              <w:highlight w:val="green"/>
            </w:rPr>
            <w:t>assuming the curing of the noted items of deferred maintenance</w:t>
          </w:r>
        </w:sdtContent>
      </w:sdt>
      <w:r w:rsidR="001B7DC3" w:rsidRPr="00166AF1">
        <w:rPr>
          <w:rFonts w:cs="Arial"/>
          <w:szCs w:val="22"/>
        </w:rPr>
        <w:t>)</w:t>
      </w:r>
      <w:r w:rsidR="001B7DC3">
        <w:rPr>
          <w:rFonts w:cs="Arial"/>
          <w:szCs w:val="22"/>
        </w:rPr>
        <w:t xml:space="preserve"> </w:t>
      </w:r>
      <w:r>
        <w:rPr>
          <w:rFonts w:cs="Arial"/>
          <w:szCs w:val="22"/>
        </w:rPr>
        <w:t>is as follows</w:t>
      </w:r>
      <w:r w:rsidRPr="0079183E">
        <w:rPr>
          <w:rFonts w:cs="Arial"/>
          <w:szCs w:val="22"/>
        </w:rPr>
        <w:t>:</w:t>
      </w:r>
    </w:p>
    <w:p w14:paraId="170D44AB" w14:textId="77777777" w:rsidR="00DD7C5D" w:rsidRPr="00975A26" w:rsidRDefault="00DD7C5D" w:rsidP="00DD7C5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90"/>
        <w:gridCol w:w="1779"/>
      </w:tblGrid>
      <w:tr w:rsidR="00DD7C5D" w:rsidRPr="000754FA" w14:paraId="371345F7" w14:textId="77777777" w:rsidTr="00DD7C5D">
        <w:trPr>
          <w:jc w:val="center"/>
        </w:trPr>
        <w:tc>
          <w:tcPr>
            <w:tcW w:w="5490" w:type="dxa"/>
            <w:tcBorders>
              <w:bottom w:val="single" w:sz="24" w:space="0" w:color="3FB44F"/>
            </w:tcBorders>
            <w:shd w:val="clear" w:color="auto" w:fill="1E4959"/>
          </w:tcPr>
          <w:p w14:paraId="7310044C" w14:textId="77777777" w:rsidR="00DD7C5D" w:rsidRPr="000754FA" w:rsidRDefault="00DD7C5D"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779" w:type="dxa"/>
            <w:tcBorders>
              <w:bottom w:val="single" w:sz="24" w:space="0" w:color="3FB44F"/>
            </w:tcBorders>
            <w:shd w:val="clear" w:color="auto" w:fill="1E4959"/>
          </w:tcPr>
          <w:p w14:paraId="4881CFF2" w14:textId="77777777" w:rsidR="00DD7C5D" w:rsidRPr="000754FA" w:rsidRDefault="00DD7C5D" w:rsidP="00A16296">
            <w:pPr>
              <w:widowControl w:val="0"/>
              <w:tabs>
                <w:tab w:val="left" w:pos="0"/>
                <w:tab w:val="left" w:pos="259"/>
                <w:tab w:val="left" w:pos="518"/>
              </w:tabs>
              <w:spacing w:line="273" w:lineRule="exact"/>
              <w:jc w:val="right"/>
              <w:rPr>
                <w:rFonts w:cs="Arial"/>
                <w:szCs w:val="22"/>
              </w:rPr>
            </w:pPr>
          </w:p>
        </w:tc>
      </w:tr>
      <w:tr w:rsidR="00DD7C5D" w:rsidRPr="00061DC5" w14:paraId="40CA7A3F" w14:textId="77777777" w:rsidTr="00DD7C5D">
        <w:trPr>
          <w:jc w:val="center"/>
        </w:trPr>
        <w:tc>
          <w:tcPr>
            <w:tcW w:w="5490" w:type="dxa"/>
            <w:tcBorders>
              <w:top w:val="single" w:sz="6" w:space="0" w:color="auto"/>
              <w:bottom w:val="double" w:sz="4" w:space="0" w:color="auto"/>
              <w:right w:val="single" w:sz="6" w:space="0" w:color="auto"/>
            </w:tcBorders>
          </w:tcPr>
          <w:p w14:paraId="796FE068" w14:textId="41C19700" w:rsidR="00DD7C5D" w:rsidRPr="005558CA" w:rsidRDefault="00DD7C5D" w:rsidP="00A16296">
            <w:pPr>
              <w:pStyle w:val="Footer"/>
              <w:tabs>
                <w:tab w:val="clear" w:pos="4320"/>
                <w:tab w:val="clear" w:pos="8640"/>
                <w:tab w:val="left" w:pos="0"/>
                <w:tab w:val="left" w:pos="259"/>
                <w:tab w:val="left" w:pos="518"/>
              </w:tabs>
              <w:spacing w:line="440" w:lineRule="exact"/>
              <w:rPr>
                <w:rFonts w:cs="Segoe UI"/>
                <w:b/>
              </w:rPr>
            </w:pPr>
            <w:r w:rsidRPr="005558CA">
              <w:rPr>
                <w:rFonts w:cs="Segoe UI"/>
                <w:b/>
              </w:rPr>
              <w:t xml:space="preserve">Concluded </w:t>
            </w:r>
            <w:r>
              <w:rPr>
                <w:rFonts w:cs="Segoe UI"/>
                <w:b/>
              </w:rPr>
              <w:t xml:space="preserve">Stabilized </w:t>
            </w:r>
            <w:r w:rsidRPr="005558CA">
              <w:rPr>
                <w:rFonts w:cs="Segoe UI"/>
                <w:b/>
              </w:rPr>
              <w:t>Market Value</w:t>
            </w:r>
          </w:p>
        </w:tc>
        <w:tc>
          <w:tcPr>
            <w:tcW w:w="1779" w:type="dxa"/>
            <w:tcBorders>
              <w:top w:val="single" w:sz="6" w:space="0" w:color="auto"/>
              <w:left w:val="nil"/>
              <w:bottom w:val="double" w:sz="4" w:space="0" w:color="auto"/>
            </w:tcBorders>
          </w:tcPr>
          <w:p w14:paraId="5400E127" w14:textId="0CF55790" w:rsidR="00DD7C5D" w:rsidRPr="00061DC5" w:rsidRDefault="00DD7C5D" w:rsidP="00A16296">
            <w:pPr>
              <w:widowControl w:val="0"/>
              <w:tabs>
                <w:tab w:val="left" w:pos="0"/>
                <w:tab w:val="left" w:pos="259"/>
                <w:tab w:val="left" w:pos="518"/>
              </w:tabs>
              <w:spacing w:after="58" w:line="480" w:lineRule="exact"/>
              <w:jc w:val="center"/>
              <w:rPr>
                <w:rFonts w:cs="Arial"/>
                <w:szCs w:val="22"/>
              </w:rPr>
            </w:pPr>
            <w:r w:rsidRPr="0061753F">
              <w:rPr>
                <w:rFonts w:cs="Arial"/>
                <w:b/>
                <w:szCs w:val="22"/>
                <w:highlight w:val="yellow"/>
              </w:rPr>
              <w:t>$____</w:t>
            </w:r>
            <w:r>
              <w:rPr>
                <w:rFonts w:cs="Arial"/>
                <w:b/>
                <w:szCs w:val="22"/>
                <w:highlight w:val="yellow"/>
              </w:rPr>
              <w:t>___</w:t>
            </w:r>
            <w:r w:rsidRPr="0061753F">
              <w:rPr>
                <w:rFonts w:cs="Arial"/>
                <w:b/>
                <w:szCs w:val="22"/>
                <w:highlight w:val="yellow"/>
              </w:rPr>
              <w:t>_____</w:t>
            </w:r>
          </w:p>
        </w:tc>
      </w:tr>
    </w:tbl>
    <w:p w14:paraId="32C09E00" w14:textId="77777777" w:rsidR="00DD7C5D" w:rsidRDefault="00DD7C5D" w:rsidP="00DD7C5D">
      <w:pPr>
        <w:rPr>
          <w:rFonts w:cs="Segoe UI"/>
        </w:rPr>
      </w:pPr>
    </w:p>
    <w:p w14:paraId="4637F50E" w14:textId="77777777" w:rsidR="00DD7C5D" w:rsidRPr="00AD4358" w:rsidRDefault="00DD7C5D" w:rsidP="00DD7C5D">
      <w:pPr>
        <w:pStyle w:val="Heading20"/>
        <w:rPr>
          <w:rFonts w:asciiTheme="minorHAnsi" w:hAnsiTheme="minorHAnsi" w:cs="Arial"/>
          <w:b w:val="0"/>
          <w:color w:val="1E4959"/>
          <w:spacing w:val="0"/>
          <w:kern w:val="20"/>
          <w:sz w:val="28"/>
          <w:szCs w:val="22"/>
        </w:rPr>
      </w:pPr>
      <w:r w:rsidRPr="00AD4358">
        <w:rPr>
          <w:rFonts w:asciiTheme="minorHAnsi" w:hAnsiTheme="minorHAnsi" w:cs="Arial"/>
          <w:b w:val="0"/>
          <w:color w:val="1E4959"/>
          <w:spacing w:val="0"/>
          <w:kern w:val="20"/>
          <w:sz w:val="28"/>
          <w:szCs w:val="22"/>
        </w:rPr>
        <w:lastRenderedPageBreak/>
        <w:t>Concluded As Is Market Value</w:t>
      </w:r>
    </w:p>
    <w:p w14:paraId="6BC0EEAD" w14:textId="77777777" w:rsidR="00DD7C5D" w:rsidRPr="00AD4358" w:rsidRDefault="00DD7C5D" w:rsidP="00DD7C5D">
      <w:r w:rsidRPr="00980CDF">
        <w:t>The subject stabilized value conclusion assumed that the noted deferred maintenance (</w:t>
      </w:r>
      <w:r w:rsidRPr="001B7DC3">
        <w:rPr>
          <w:rFonts w:cs="Arial"/>
          <w:szCs w:val="22"/>
          <w:highlight w:val="yellow"/>
        </w:rPr>
        <w:t>carpeting and interior paint</w:t>
      </w:r>
      <w:r w:rsidRPr="001B7DC3">
        <w:rPr>
          <w:highlight w:val="yellow"/>
        </w:rPr>
        <w:t>, plus contingency, etc.</w:t>
      </w:r>
      <w:r w:rsidRPr="00980CDF">
        <w:t xml:space="preserve">) has been cured.  </w:t>
      </w:r>
      <w:r w:rsidRPr="00980CDF">
        <w:rPr>
          <w:rFonts w:cs="Arial"/>
          <w:szCs w:val="22"/>
        </w:rPr>
        <w:t xml:space="preserve">Based on the conclusions contained within the Improvements Description, the total cost of cure these items was estimated at </w:t>
      </w:r>
      <w:r w:rsidRPr="00DD7C5D">
        <w:rPr>
          <w:rFonts w:cs="Arial"/>
          <w:szCs w:val="22"/>
          <w:highlight w:val="yellow"/>
        </w:rPr>
        <w:t>$50,000</w:t>
      </w:r>
      <w:r w:rsidRPr="00980CDF">
        <w:rPr>
          <w:rFonts w:cs="Arial"/>
          <w:szCs w:val="22"/>
        </w:rPr>
        <w:t xml:space="preserve"> which will be taken as a deduction against the concluded stabilized value in arriving at the final as is market value.</w:t>
      </w:r>
    </w:p>
    <w:p w14:paraId="639165D2" w14:textId="77777777" w:rsidR="00DD7C5D" w:rsidRPr="00AD4358" w:rsidRDefault="00DD7C5D" w:rsidP="00DD7C5D"/>
    <w:p w14:paraId="5BFC169C" w14:textId="6A06780C" w:rsidR="00DD7C5D" w:rsidRPr="00AD4358" w:rsidRDefault="00DD7C5D" w:rsidP="00DD7C5D">
      <w:r w:rsidRPr="00AD4358">
        <w:t xml:space="preserve">Based on the preceding, the </w:t>
      </w:r>
      <w:r w:rsidR="00F46396">
        <w:rPr>
          <w:b/>
        </w:rPr>
        <w:t>f</w:t>
      </w:r>
      <w:r w:rsidRPr="00AD4358">
        <w:rPr>
          <w:b/>
        </w:rPr>
        <w:t xml:space="preserve">inal </w:t>
      </w:r>
      <w:r w:rsidR="00F46396">
        <w:rPr>
          <w:b/>
        </w:rPr>
        <w:t>c</w:t>
      </w:r>
      <w:r w:rsidRPr="00AD4358">
        <w:rPr>
          <w:b/>
        </w:rPr>
        <w:t xml:space="preserve">oncluded </w:t>
      </w:r>
      <w:r w:rsidR="00F46396">
        <w:rPr>
          <w:b/>
        </w:rPr>
        <w:t>a</w:t>
      </w:r>
      <w:r w:rsidRPr="00AD4358">
        <w:rPr>
          <w:b/>
        </w:rPr>
        <w:t xml:space="preserve">s </w:t>
      </w:r>
      <w:r w:rsidR="00F46396">
        <w:rPr>
          <w:b/>
        </w:rPr>
        <w:t>i</w:t>
      </w:r>
      <w:r w:rsidRPr="00AD4358">
        <w:rPr>
          <w:b/>
        </w:rPr>
        <w:t xml:space="preserve">s </w:t>
      </w:r>
      <w:r w:rsidR="00F46396">
        <w:rPr>
          <w:b/>
        </w:rPr>
        <w:t>m</w:t>
      </w:r>
      <w:r w:rsidRPr="00AD4358">
        <w:rPr>
          <w:b/>
        </w:rPr>
        <w:t xml:space="preserve">arket </w:t>
      </w:r>
      <w:r w:rsidR="00F46396">
        <w:rPr>
          <w:b/>
        </w:rPr>
        <w:t>v</w:t>
      </w:r>
      <w:r w:rsidRPr="00AD4358">
        <w:rPr>
          <w:b/>
        </w:rPr>
        <w:t>alue</w:t>
      </w:r>
      <w:r w:rsidRPr="00AD4358">
        <w:t xml:space="preserve"> of the </w:t>
      </w:r>
      <w:sdt>
        <w:sdtPr>
          <w:rPr>
            <w:rFonts w:cs="Arial"/>
            <w:szCs w:val="22"/>
            <w:highlight w:val="green"/>
          </w:rPr>
          <w:alias w:val="Property Interest"/>
          <w:tag w:val="Property Interest"/>
          <w:id w:val="542869182"/>
          <w:placeholder>
            <w:docPart w:val="66608FE4F821463E895AE86CCD3CE01B"/>
          </w:placeholder>
          <w:dropDownList>
            <w:listItem w:value="Choose an item."/>
            <w:listItem w:displayText="fee simple" w:value="fee simple"/>
            <w:listItem w:displayText="leased fee" w:value="leased fee"/>
          </w:dropDownList>
        </w:sdtPr>
        <w:sdtEndPr/>
        <w:sdtContent>
          <w:r w:rsidR="001B7DC3">
            <w:rPr>
              <w:rFonts w:cs="Arial"/>
              <w:szCs w:val="22"/>
              <w:highlight w:val="green"/>
            </w:rPr>
            <w:t>fee simple</w:t>
          </w:r>
        </w:sdtContent>
      </w:sdt>
      <w:r>
        <w:rPr>
          <w:rFonts w:cs="Arial"/>
          <w:szCs w:val="22"/>
        </w:rPr>
        <w:t xml:space="preserve"> </w:t>
      </w:r>
      <w:r w:rsidRPr="00AD4358">
        <w:t xml:space="preserve">interest in the subject property, as of </w:t>
      </w:r>
      <w:r w:rsidR="00FD17F1">
        <w:t>${eff_date_vale}</w:t>
      </w:r>
      <w:r>
        <w:t>,</w:t>
      </w:r>
      <w:r w:rsidRPr="00AD4358">
        <w:t xml:space="preserve"> is as follows: </w:t>
      </w:r>
    </w:p>
    <w:p w14:paraId="70FC3908" w14:textId="77777777" w:rsidR="00DD7C5D" w:rsidRPr="00AD4358" w:rsidRDefault="00DD7C5D" w:rsidP="00DD7C5D"/>
    <w:tbl>
      <w:tblPr>
        <w:tblW w:w="0" w:type="auto"/>
        <w:jc w:val="center"/>
        <w:tblLayout w:type="fixed"/>
        <w:tblCellMar>
          <w:left w:w="153" w:type="dxa"/>
          <w:right w:w="153" w:type="dxa"/>
        </w:tblCellMar>
        <w:tblLook w:val="0000" w:firstRow="0" w:lastRow="0" w:firstColumn="0" w:lastColumn="0" w:noHBand="0" w:noVBand="0"/>
      </w:tblPr>
      <w:tblGrid>
        <w:gridCol w:w="5940"/>
        <w:gridCol w:w="2205"/>
      </w:tblGrid>
      <w:tr w:rsidR="00DD7C5D" w:rsidRPr="00AD4358" w14:paraId="6652BF72" w14:textId="77777777" w:rsidTr="00DD7C5D">
        <w:trPr>
          <w:jc w:val="center"/>
        </w:trPr>
        <w:tc>
          <w:tcPr>
            <w:tcW w:w="5940" w:type="dxa"/>
            <w:tcBorders>
              <w:bottom w:val="single" w:sz="24" w:space="0" w:color="3FB44F"/>
            </w:tcBorders>
            <w:shd w:val="clear" w:color="auto" w:fill="1E4959"/>
          </w:tcPr>
          <w:p w14:paraId="1724EA5C" w14:textId="77777777" w:rsidR="00DD7C5D" w:rsidRPr="00AD4358" w:rsidRDefault="00DD7C5D"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2205" w:type="dxa"/>
            <w:tcBorders>
              <w:bottom w:val="single" w:sz="24" w:space="0" w:color="3FB44F"/>
            </w:tcBorders>
            <w:shd w:val="clear" w:color="auto" w:fill="1E4959"/>
          </w:tcPr>
          <w:p w14:paraId="7E3F8809" w14:textId="77777777" w:rsidR="00DD7C5D" w:rsidRPr="00AD4358" w:rsidRDefault="00DD7C5D" w:rsidP="00A16296">
            <w:pPr>
              <w:widowControl w:val="0"/>
              <w:tabs>
                <w:tab w:val="left" w:pos="0"/>
                <w:tab w:val="left" w:pos="259"/>
                <w:tab w:val="left" w:pos="518"/>
              </w:tabs>
              <w:spacing w:line="273" w:lineRule="exact"/>
              <w:jc w:val="right"/>
              <w:rPr>
                <w:rFonts w:cs="Arial"/>
                <w:szCs w:val="22"/>
              </w:rPr>
            </w:pPr>
          </w:p>
        </w:tc>
      </w:tr>
      <w:tr w:rsidR="00DD7C5D" w:rsidRPr="00AD4358" w14:paraId="46A0157D" w14:textId="77777777" w:rsidTr="00DD7C5D">
        <w:trPr>
          <w:jc w:val="center"/>
        </w:trPr>
        <w:tc>
          <w:tcPr>
            <w:tcW w:w="5940" w:type="dxa"/>
            <w:tcBorders>
              <w:top w:val="single" w:sz="24" w:space="0" w:color="3FB44F"/>
              <w:right w:val="single" w:sz="6" w:space="0" w:color="auto"/>
            </w:tcBorders>
          </w:tcPr>
          <w:p w14:paraId="0F877420" w14:textId="77777777" w:rsidR="00DD7C5D" w:rsidRPr="00AD4358" w:rsidRDefault="00DD7C5D" w:rsidP="00A16296">
            <w:pPr>
              <w:spacing w:before="240"/>
            </w:pPr>
            <w:r w:rsidRPr="00AD4358">
              <w:t xml:space="preserve">Concluded Stabilized Market Value </w:t>
            </w:r>
          </w:p>
        </w:tc>
        <w:tc>
          <w:tcPr>
            <w:tcW w:w="2205" w:type="dxa"/>
            <w:tcBorders>
              <w:top w:val="single" w:sz="24" w:space="0" w:color="3FB44F"/>
              <w:left w:val="nil"/>
            </w:tcBorders>
          </w:tcPr>
          <w:p w14:paraId="5A7E9ED4" w14:textId="769D5C60" w:rsidR="00DD7C5D" w:rsidRPr="001D4D10" w:rsidRDefault="00DD7C5D" w:rsidP="00A16296">
            <w:pPr>
              <w:spacing w:before="240"/>
              <w:jc w:val="center"/>
            </w:pPr>
            <w:r w:rsidRPr="00F46396">
              <w:rPr>
                <w:highlight w:val="yellow"/>
              </w:rPr>
              <w:t>$___________</w:t>
            </w:r>
          </w:p>
        </w:tc>
      </w:tr>
      <w:tr w:rsidR="00DD7C5D" w:rsidRPr="00AD4358" w14:paraId="7E335C02" w14:textId="77777777" w:rsidTr="00DD7C5D">
        <w:trPr>
          <w:jc w:val="center"/>
        </w:trPr>
        <w:tc>
          <w:tcPr>
            <w:tcW w:w="5940" w:type="dxa"/>
            <w:tcBorders>
              <w:right w:val="single" w:sz="6" w:space="0" w:color="auto"/>
            </w:tcBorders>
          </w:tcPr>
          <w:p w14:paraId="28A74592" w14:textId="701E0BF8" w:rsidR="00DD7C5D" w:rsidRPr="00AD4358" w:rsidRDefault="00DD7C5D" w:rsidP="00DD7C5D">
            <w:pPr>
              <w:spacing w:before="240"/>
            </w:pPr>
            <w:r w:rsidRPr="002341F0">
              <w:rPr>
                <w:rFonts w:cs="Arial"/>
                <w:b/>
                <w:szCs w:val="22"/>
                <w:highlight w:val="green"/>
              </w:rPr>
              <w:t xml:space="preserve">Less:  </w:t>
            </w:r>
            <w:sdt>
              <w:sdtPr>
                <w:rPr>
                  <w:rFonts w:cs="Arial"/>
                  <w:b/>
                  <w:szCs w:val="22"/>
                  <w:highlight w:val="green"/>
                </w:rPr>
                <w:alias w:val="Absorption Costs - Cost to Cure"/>
                <w:tag w:val="Absorption Costs - Cost to Cure"/>
                <w:id w:val="362862716"/>
                <w:placeholder>
                  <w:docPart w:val="45B7E5F307314935806930C1B0990124"/>
                </w:placeholder>
                <w:dropDownList>
                  <w:listItem w:value="Choose an item."/>
                  <w:listItem w:displayText="Cost to Cure Deferred Maintenance" w:value="Cost to Cure Deferred Maintenance"/>
                  <w:listItem w:displayText="Cost to Complete Renovation" w:value="Cost to Complete Renovation"/>
                  <w:listItem w:displayText="Cost to Complete Repairs" w:value="Cost to Complete Repairs"/>
                </w:dropDownList>
              </w:sdtPr>
              <w:sdtEndPr/>
              <w:sdtContent>
                <w:r w:rsidRPr="002341F0">
                  <w:rPr>
                    <w:rFonts w:cs="Arial"/>
                    <w:b/>
                    <w:szCs w:val="22"/>
                    <w:highlight w:val="green"/>
                  </w:rPr>
                  <w:t>Cost to Cure Deferred Maintenance</w:t>
                </w:r>
              </w:sdtContent>
            </w:sdt>
            <w:r w:rsidRPr="00A0771A">
              <w:rPr>
                <w:rFonts w:cs="Arial"/>
                <w:b/>
                <w:szCs w:val="22"/>
              </w:rPr>
              <w:t xml:space="preserve"> </w:t>
            </w:r>
          </w:p>
        </w:tc>
        <w:tc>
          <w:tcPr>
            <w:tcW w:w="2205" w:type="dxa"/>
            <w:tcBorders>
              <w:left w:val="nil"/>
            </w:tcBorders>
          </w:tcPr>
          <w:p w14:paraId="3424ADFC" w14:textId="658D8721" w:rsidR="00DD7C5D" w:rsidRPr="00DD7C5D" w:rsidRDefault="00DD7C5D" w:rsidP="00DD7C5D">
            <w:pPr>
              <w:spacing w:before="240"/>
              <w:jc w:val="center"/>
              <w:rPr>
                <w:bCs/>
              </w:rPr>
            </w:pPr>
            <w:r w:rsidRPr="00DD7C5D">
              <w:rPr>
                <w:rFonts w:cs="Arial"/>
                <w:bCs/>
                <w:color w:val="FF0000"/>
                <w:szCs w:val="22"/>
                <w:highlight w:val="yellow"/>
              </w:rPr>
              <w:t xml:space="preserve">   ($100,000)</w:t>
            </w:r>
          </w:p>
        </w:tc>
      </w:tr>
      <w:tr w:rsidR="00DD7C5D" w:rsidRPr="00AD4358" w14:paraId="37B7E7DB" w14:textId="77777777" w:rsidTr="00DD7C5D">
        <w:trPr>
          <w:jc w:val="center"/>
        </w:trPr>
        <w:tc>
          <w:tcPr>
            <w:tcW w:w="5940" w:type="dxa"/>
            <w:tcBorders>
              <w:top w:val="single" w:sz="4" w:space="0" w:color="auto"/>
              <w:bottom w:val="double" w:sz="6" w:space="0" w:color="auto"/>
              <w:right w:val="single" w:sz="6" w:space="0" w:color="auto"/>
            </w:tcBorders>
            <w:vAlign w:val="center"/>
          </w:tcPr>
          <w:p w14:paraId="7B47268E" w14:textId="77777777" w:rsidR="00DD7C5D" w:rsidRPr="00AD4358" w:rsidRDefault="00DD7C5D" w:rsidP="00A16296">
            <w:pPr>
              <w:spacing w:before="240"/>
              <w:jc w:val="left"/>
              <w:rPr>
                <w:b/>
              </w:rPr>
            </w:pPr>
            <w:r w:rsidRPr="00AD4358">
              <w:rPr>
                <w:b/>
              </w:rPr>
              <w:t xml:space="preserve">Concluded As Is Market Value </w:t>
            </w:r>
          </w:p>
        </w:tc>
        <w:tc>
          <w:tcPr>
            <w:tcW w:w="2205" w:type="dxa"/>
            <w:tcBorders>
              <w:top w:val="single" w:sz="4" w:space="0" w:color="auto"/>
              <w:left w:val="nil"/>
              <w:bottom w:val="double" w:sz="6" w:space="0" w:color="auto"/>
            </w:tcBorders>
            <w:vAlign w:val="center"/>
          </w:tcPr>
          <w:p w14:paraId="739F0CB8" w14:textId="6E20D489" w:rsidR="00DD7C5D" w:rsidRPr="001D4D10" w:rsidRDefault="00DD7C5D" w:rsidP="00A16296">
            <w:pPr>
              <w:spacing w:before="240"/>
              <w:jc w:val="center"/>
              <w:rPr>
                <w:b/>
              </w:rPr>
            </w:pPr>
            <w:r w:rsidRPr="0061753F">
              <w:rPr>
                <w:rFonts w:cs="Arial"/>
                <w:b/>
                <w:szCs w:val="22"/>
                <w:highlight w:val="yellow"/>
              </w:rPr>
              <w:t>$____</w:t>
            </w:r>
            <w:r>
              <w:rPr>
                <w:rFonts w:cs="Arial"/>
                <w:b/>
                <w:szCs w:val="22"/>
                <w:highlight w:val="yellow"/>
              </w:rPr>
              <w:t>___</w:t>
            </w:r>
            <w:r w:rsidRPr="0061753F">
              <w:rPr>
                <w:rFonts w:cs="Arial"/>
                <w:b/>
                <w:szCs w:val="22"/>
                <w:highlight w:val="yellow"/>
              </w:rPr>
              <w:t>_____</w:t>
            </w:r>
          </w:p>
        </w:tc>
      </w:tr>
    </w:tbl>
    <w:p w14:paraId="25467D86" w14:textId="77777777" w:rsidR="00DD7C5D" w:rsidRPr="00AD4358" w:rsidRDefault="00DD7C5D" w:rsidP="00DD7C5D"/>
    <w:p w14:paraId="1C4A43AA" w14:textId="6E2D365A" w:rsidR="00DD7C5D" w:rsidRPr="00AD4358" w:rsidRDefault="00DD7C5D" w:rsidP="00DD7C5D">
      <w:pPr>
        <w:rPr>
          <w:rFonts w:cs="Arial"/>
          <w:szCs w:val="22"/>
        </w:rPr>
      </w:pPr>
      <w:r w:rsidRPr="00AD4358">
        <w:rPr>
          <w:rFonts w:cs="Arial"/>
          <w:szCs w:val="22"/>
        </w:rPr>
        <w:t xml:space="preserve">The above-cited as is market value equates to </w:t>
      </w:r>
      <w:r w:rsidRPr="001B7DC3">
        <w:rPr>
          <w:rFonts w:cs="Arial"/>
          <w:szCs w:val="22"/>
          <w:highlight w:val="yellow"/>
        </w:rPr>
        <w:t>$</w:t>
      </w:r>
      <w:r w:rsidR="001B7DC3">
        <w:rPr>
          <w:rFonts w:cs="Arial"/>
          <w:szCs w:val="22"/>
          <w:highlight w:val="yellow"/>
        </w:rPr>
        <w:t>____.___</w:t>
      </w:r>
      <w:r w:rsidRPr="001B7DC3">
        <w:rPr>
          <w:rFonts w:cs="Arial"/>
          <w:szCs w:val="22"/>
          <w:highlight w:val="yellow"/>
        </w:rPr>
        <w:t xml:space="preserve"> per SF </w:t>
      </w:r>
      <w:sdt>
        <w:sdtPr>
          <w:rPr>
            <w:rFonts w:cs="Arial"/>
            <w:szCs w:val="22"/>
            <w:highlight w:val="green"/>
          </w:rPr>
          <w:alias w:val="GBA - NRA - GLA"/>
          <w:tag w:val="GBA - NRA - GLA"/>
          <w:id w:val="871346847"/>
          <w:placeholder>
            <w:docPart w:val="DefaultPlaceholder_-1854013438"/>
          </w:placeholder>
          <w:dropDownList>
            <w:listItem w:value="Choose an item."/>
            <w:listItem w:displayText="GBA" w:value="GBA"/>
            <w:listItem w:displayText="NRA" w:value="NRA"/>
            <w:listItem w:displayText="GLA" w:value="GLA"/>
          </w:dropDownList>
        </w:sdtPr>
        <w:sdtEndPr/>
        <w:sdtContent>
          <w:r w:rsidR="001B7DC3">
            <w:rPr>
              <w:rFonts w:cs="Arial"/>
              <w:szCs w:val="22"/>
              <w:highlight w:val="green"/>
            </w:rPr>
            <w:t>GBA</w:t>
          </w:r>
        </w:sdtContent>
      </w:sdt>
      <w:r w:rsidRPr="00AD4358">
        <w:rPr>
          <w:rFonts w:cs="Arial"/>
          <w:szCs w:val="22"/>
        </w:rPr>
        <w:t xml:space="preserve">, and while falling near </w:t>
      </w:r>
      <w:r>
        <w:rPr>
          <w:rFonts w:cs="Arial"/>
          <w:szCs w:val="22"/>
        </w:rPr>
        <w:t xml:space="preserve">the lower end of the </w:t>
      </w:r>
      <w:r w:rsidRPr="00AD4358">
        <w:rPr>
          <w:rFonts w:cs="Arial"/>
          <w:szCs w:val="22"/>
        </w:rPr>
        <w:t xml:space="preserve">range </w:t>
      </w:r>
      <w:r>
        <w:rPr>
          <w:rFonts w:cs="Arial"/>
          <w:szCs w:val="22"/>
        </w:rPr>
        <w:t>indicated by the</w:t>
      </w:r>
      <w:r w:rsidRPr="00AD4358">
        <w:rPr>
          <w:rFonts w:cs="Arial"/>
          <w:szCs w:val="22"/>
        </w:rPr>
        <w:t xml:space="preserve"> comparables provided in the Sales Comparison Approach, </w:t>
      </w:r>
      <w:r>
        <w:rPr>
          <w:rFonts w:cs="Arial"/>
          <w:szCs w:val="22"/>
        </w:rPr>
        <w:t xml:space="preserve">and is </w:t>
      </w:r>
      <w:r w:rsidRPr="00AD4358">
        <w:rPr>
          <w:rFonts w:cs="Arial"/>
          <w:szCs w:val="22"/>
        </w:rPr>
        <w:t xml:space="preserve">still considered reasonable </w:t>
      </w:r>
      <w:r>
        <w:rPr>
          <w:rFonts w:cs="Arial"/>
          <w:szCs w:val="22"/>
        </w:rPr>
        <w:t>given the subject’s physical and locational characteristics</w:t>
      </w:r>
      <w:r w:rsidRPr="00AD4358">
        <w:rPr>
          <w:rFonts w:cs="Arial"/>
          <w:szCs w:val="22"/>
        </w:rPr>
        <w:t>.</w:t>
      </w:r>
      <w:r>
        <w:rPr>
          <w:rFonts w:cs="Arial"/>
          <w:szCs w:val="22"/>
        </w:rPr>
        <w:t xml:space="preserve"> </w:t>
      </w:r>
      <w:r w:rsidRPr="001B7DC3">
        <w:rPr>
          <w:rFonts w:cs="Arial"/>
          <w:szCs w:val="22"/>
          <w:highlight w:val="yellow"/>
        </w:rPr>
        <w:t>Further, this concluded as is market value matches the pending subject sale price, which suggests the pending sale price is at market</w:t>
      </w:r>
      <w:r>
        <w:rPr>
          <w:rFonts w:cs="Arial"/>
          <w:szCs w:val="22"/>
        </w:rPr>
        <w:t>.</w:t>
      </w:r>
    </w:p>
    <w:p w14:paraId="5E118EB3" w14:textId="77777777" w:rsidR="00DD7C5D" w:rsidRPr="00975A26" w:rsidRDefault="00DD7C5D" w:rsidP="0061753F">
      <w:pPr>
        <w:rPr>
          <w:rFonts w:cs="Segoe UI"/>
        </w:rPr>
      </w:pPr>
    </w:p>
    <w:p w14:paraId="351A4C36" w14:textId="77777777" w:rsidR="0061753F" w:rsidRPr="000754FA" w:rsidRDefault="0061753F" w:rsidP="0061753F">
      <w:pPr>
        <w:pStyle w:val="Heading30"/>
        <w:spacing w:line="228" w:lineRule="auto"/>
        <w:rPr>
          <w:rFonts w:cs="Arial"/>
          <w:b/>
          <w:color w:val="1E4959"/>
          <w:kern w:val="20"/>
          <w:sz w:val="24"/>
          <w:szCs w:val="22"/>
        </w:rPr>
      </w:pPr>
      <w:r w:rsidRPr="000754FA">
        <w:rPr>
          <w:rFonts w:cs="Arial"/>
          <w:color w:val="1E4959"/>
          <w:kern w:val="20"/>
          <w:sz w:val="24"/>
          <w:szCs w:val="22"/>
        </w:rPr>
        <w:t>Extraordinary Assumptions:</w:t>
      </w:r>
    </w:p>
    <w:p w14:paraId="4CEA9134" w14:textId="77777777" w:rsidR="0061753F" w:rsidRPr="000754FA" w:rsidRDefault="0061753F" w:rsidP="0061753F">
      <w:pPr>
        <w:pStyle w:val="ListParagraph"/>
        <w:numPr>
          <w:ilvl w:val="0"/>
          <w:numId w:val="26"/>
        </w:numPr>
        <w:rPr>
          <w:rFonts w:cs="Arial"/>
          <w:kern w:val="20"/>
          <w:szCs w:val="22"/>
        </w:rPr>
      </w:pPr>
      <w:r>
        <w:rPr>
          <w:rFonts w:eastAsia="Times New Roman"/>
        </w:rPr>
        <w:t>None</w:t>
      </w:r>
      <w:r w:rsidRPr="007D73DD">
        <w:rPr>
          <w:rFonts w:eastAsia="Times New Roman"/>
        </w:rPr>
        <w:t>.</w:t>
      </w:r>
    </w:p>
    <w:p w14:paraId="5DD14CB5" w14:textId="77777777" w:rsidR="0061753F" w:rsidRPr="000754FA" w:rsidRDefault="0061753F" w:rsidP="0061753F">
      <w:pPr>
        <w:pStyle w:val="Heading30"/>
        <w:spacing w:line="228" w:lineRule="auto"/>
        <w:rPr>
          <w:rFonts w:cs="Arial"/>
          <w:b/>
          <w:color w:val="1E4959"/>
          <w:kern w:val="20"/>
          <w:sz w:val="24"/>
          <w:szCs w:val="22"/>
        </w:rPr>
      </w:pPr>
      <w:r w:rsidRPr="000754FA">
        <w:rPr>
          <w:rFonts w:cs="Arial"/>
          <w:color w:val="1E4959"/>
          <w:kern w:val="20"/>
          <w:sz w:val="24"/>
          <w:szCs w:val="22"/>
        </w:rPr>
        <w:t>Hypothetical Conditions:</w:t>
      </w:r>
    </w:p>
    <w:p w14:paraId="4178AD45" w14:textId="77777777" w:rsidR="0061753F" w:rsidRPr="000754FA" w:rsidRDefault="0061753F" w:rsidP="0061753F">
      <w:pPr>
        <w:pStyle w:val="ListParagraph"/>
        <w:numPr>
          <w:ilvl w:val="0"/>
          <w:numId w:val="26"/>
        </w:numPr>
        <w:spacing w:after="120"/>
        <w:contextualSpacing w:val="0"/>
        <w:rPr>
          <w:rFonts w:cs="Arial"/>
          <w:kern w:val="20"/>
          <w:szCs w:val="22"/>
        </w:rPr>
      </w:pPr>
      <w:r w:rsidRPr="000754FA">
        <w:rPr>
          <w:rFonts w:cs="Arial"/>
          <w:kern w:val="20"/>
          <w:szCs w:val="22"/>
        </w:rPr>
        <w:t>None.</w:t>
      </w:r>
    </w:p>
    <w:p w14:paraId="4D9C1106" w14:textId="77777777" w:rsidR="0061753F" w:rsidRPr="009B6E44" w:rsidRDefault="0061753F" w:rsidP="0061753F">
      <w:pPr>
        <w:keepNext/>
        <w:keepLines/>
        <w:spacing w:before="260"/>
        <w:outlineLvl w:val="1"/>
        <w:rPr>
          <w:rFonts w:cs="Arial"/>
          <w:iCs/>
          <w:color w:val="1E4959"/>
          <w:sz w:val="28"/>
          <w:szCs w:val="22"/>
        </w:rPr>
      </w:pPr>
      <w:r w:rsidRPr="009B6E44">
        <w:rPr>
          <w:rFonts w:cs="Arial"/>
          <w:iCs/>
          <w:color w:val="1E4959"/>
          <w:sz w:val="28"/>
          <w:szCs w:val="22"/>
        </w:rPr>
        <w:t>Exposure Time and Marketing Periods</w:t>
      </w:r>
    </w:p>
    <w:p w14:paraId="2C851B75" w14:textId="1B034AB0" w:rsidR="0061753F" w:rsidRDefault="0061753F" w:rsidP="0061753F">
      <w:pPr>
        <w:pStyle w:val="Footer"/>
        <w:tabs>
          <w:tab w:val="clear" w:pos="4320"/>
          <w:tab w:val="clear" w:pos="8640"/>
        </w:tabs>
        <w:rPr>
          <w:rFonts w:eastAsia="Calibri" w:cs="Arial"/>
          <w:color w:val="000000"/>
          <w:kern w:val="20"/>
          <w:szCs w:val="22"/>
        </w:rPr>
      </w:pPr>
      <w:r w:rsidRPr="00E30AC7">
        <w:rPr>
          <w:rFonts w:eastAsia="Calibri" w:cs="Arial"/>
          <w:color w:val="000000"/>
          <w:kern w:val="20"/>
          <w:szCs w:val="22"/>
        </w:rPr>
        <w:t xml:space="preserve">Based on statistical information about days on market, escrow length, and marketing times gathered through national investor surveys, sales verification, and interviews of market participants, marketing and exposure time estimates of </w:t>
      </w:r>
      <w:r w:rsidRPr="00E30AC7">
        <w:rPr>
          <w:rFonts w:eastAsia="Calibri" w:cs="Arial"/>
          <w:color w:val="000000"/>
          <w:kern w:val="20"/>
          <w:szCs w:val="22"/>
          <w:u w:val="single"/>
        </w:rPr>
        <w:t>+</w:t>
      </w:r>
      <w:r w:rsidRPr="00E30AC7">
        <w:rPr>
          <w:rFonts w:eastAsia="Calibri" w:cs="Arial"/>
          <w:color w:val="000000"/>
          <w:kern w:val="20"/>
          <w:szCs w:val="22"/>
        </w:rPr>
        <w:t>12 months, respectively, are considered reasonable and appropriate for the subject property</w:t>
      </w:r>
      <w:r w:rsidRPr="009B6E44">
        <w:rPr>
          <w:rFonts w:eastAsia="Calibri" w:cs="Arial"/>
          <w:color w:val="000000"/>
          <w:kern w:val="20"/>
          <w:szCs w:val="22"/>
        </w:rPr>
        <w:t>.</w:t>
      </w:r>
    </w:p>
    <w:p w14:paraId="6854F70F" w14:textId="77777777" w:rsidR="008E61CC" w:rsidRDefault="008E61CC" w:rsidP="0061753F">
      <w:pPr>
        <w:pStyle w:val="Footer"/>
        <w:tabs>
          <w:tab w:val="clear" w:pos="4320"/>
          <w:tab w:val="clear" w:pos="8640"/>
        </w:tabs>
        <w:rPr>
          <w:rFonts w:eastAsia="Calibri" w:cs="Arial"/>
          <w:color w:val="000000"/>
          <w:kern w:val="20"/>
          <w:szCs w:val="22"/>
        </w:rPr>
      </w:pPr>
    </w:p>
    <w:p w14:paraId="68671AF3" w14:textId="77777777" w:rsidR="008E61CC" w:rsidRPr="00F04879" w:rsidRDefault="008E61CC" w:rsidP="008E61CC">
      <w:pPr>
        <w:pStyle w:val="Heading20"/>
        <w:rPr>
          <w:rFonts w:asciiTheme="minorHAnsi" w:hAnsiTheme="minorHAnsi" w:cs="Arial"/>
          <w:b w:val="0"/>
          <w:color w:val="1E4959"/>
          <w:spacing w:val="0"/>
          <w:kern w:val="20"/>
          <w:sz w:val="28"/>
          <w:szCs w:val="22"/>
          <w:highlight w:val="yellow"/>
        </w:rPr>
      </w:pPr>
      <w:bookmarkStart w:id="0" w:name="_Toc434335228"/>
      <w:bookmarkStart w:id="1" w:name="_Toc438119877"/>
      <w:r w:rsidRPr="00F04879">
        <w:rPr>
          <w:rFonts w:asciiTheme="minorHAnsi" w:hAnsiTheme="minorHAnsi" w:cs="Arial"/>
          <w:b w:val="0"/>
          <w:color w:val="1E4959"/>
          <w:spacing w:val="0"/>
          <w:kern w:val="20"/>
          <w:sz w:val="28"/>
          <w:szCs w:val="22"/>
          <w:highlight w:val="yellow"/>
        </w:rPr>
        <w:t>SWOT ANALYSIS</w:t>
      </w:r>
    </w:p>
    <w:bookmarkEnd w:id="0"/>
    <w:bookmarkEnd w:id="1"/>
    <w:p w14:paraId="5681CD7E" w14:textId="77777777" w:rsidR="008E61CC" w:rsidRPr="00F04879" w:rsidRDefault="008E61CC" w:rsidP="008E61CC">
      <w:pPr>
        <w:pStyle w:val="Heading30"/>
        <w:spacing w:before="120" w:line="228" w:lineRule="auto"/>
        <w:rPr>
          <w:rFonts w:cs="Arial"/>
          <w:b/>
          <w:color w:val="1E4959"/>
          <w:kern w:val="20"/>
          <w:sz w:val="28"/>
          <w:szCs w:val="22"/>
          <w:highlight w:val="yellow"/>
        </w:rPr>
      </w:pPr>
      <w:r w:rsidRPr="00F04879">
        <w:rPr>
          <w:rFonts w:cs="Arial"/>
          <w:color w:val="1E4959"/>
          <w:kern w:val="20"/>
          <w:sz w:val="24"/>
          <w:szCs w:val="22"/>
          <w:highlight w:val="yellow"/>
        </w:rPr>
        <w:t>Strengths:</w:t>
      </w:r>
    </w:p>
    <w:p w14:paraId="4CB54638" w14:textId="77777777" w:rsidR="008E61CC" w:rsidRPr="00F04879" w:rsidRDefault="008E61CC" w:rsidP="008E61CC">
      <w:pPr>
        <w:numPr>
          <w:ilvl w:val="0"/>
          <w:numId w:val="15"/>
        </w:numPr>
        <w:rPr>
          <w:highlight w:val="yellow"/>
        </w:rPr>
      </w:pPr>
      <w:r w:rsidRPr="00F04879">
        <w:rPr>
          <w:highlight w:val="yellow"/>
        </w:rPr>
        <w:t xml:space="preserve">Newer, good quality construction in good condition (less repair and maintenance expenses). </w:t>
      </w:r>
    </w:p>
    <w:p w14:paraId="6153BE50" w14:textId="77777777" w:rsidR="008E61CC" w:rsidRPr="00F04879" w:rsidRDefault="008E61CC" w:rsidP="008E61CC">
      <w:pPr>
        <w:numPr>
          <w:ilvl w:val="0"/>
          <w:numId w:val="15"/>
        </w:numPr>
        <w:rPr>
          <w:highlight w:val="yellow"/>
        </w:rPr>
      </w:pPr>
      <w:r w:rsidRPr="00F04879">
        <w:rPr>
          <w:highlight w:val="yellow"/>
        </w:rPr>
        <w:t xml:space="preserve">Good, nearby highway access and retail proximity location within an established, newer industrial park. </w:t>
      </w:r>
    </w:p>
    <w:p w14:paraId="64B8F973" w14:textId="77777777" w:rsidR="008E61CC" w:rsidRPr="00F04879" w:rsidRDefault="008E61CC" w:rsidP="008E61CC">
      <w:pPr>
        <w:numPr>
          <w:ilvl w:val="0"/>
          <w:numId w:val="15"/>
        </w:numPr>
        <w:rPr>
          <w:highlight w:val="yellow"/>
        </w:rPr>
      </w:pPr>
      <w:r w:rsidRPr="00F04879">
        <w:rPr>
          <w:highlight w:val="yellow"/>
        </w:rPr>
        <w:t>High demand, smaller warehouse bays ideal for a variety of small light manufacturing or wholesale warehouses uses.</w:t>
      </w:r>
    </w:p>
    <w:p w14:paraId="27468A52" w14:textId="77777777" w:rsidR="008E61CC" w:rsidRPr="00F04879" w:rsidRDefault="008E61CC" w:rsidP="008E61CC">
      <w:pPr>
        <w:numPr>
          <w:ilvl w:val="0"/>
          <w:numId w:val="15"/>
        </w:numPr>
        <w:rPr>
          <w:highlight w:val="yellow"/>
        </w:rPr>
      </w:pPr>
      <w:r w:rsidRPr="00F04879">
        <w:rPr>
          <w:highlight w:val="yellow"/>
        </w:rPr>
        <w:lastRenderedPageBreak/>
        <w:t>Smaller project site, is attractive to a wide pool of potential purchasers – including both investors and small, likely partial owner-users.</w:t>
      </w:r>
    </w:p>
    <w:p w14:paraId="58352196" w14:textId="77777777" w:rsidR="008E61CC" w:rsidRPr="00F04879" w:rsidRDefault="008E61CC" w:rsidP="008E61CC">
      <w:pPr>
        <w:numPr>
          <w:ilvl w:val="0"/>
          <w:numId w:val="15"/>
        </w:numPr>
        <w:rPr>
          <w:highlight w:val="yellow"/>
        </w:rPr>
      </w:pPr>
      <w:r w:rsidRPr="00F04879">
        <w:rPr>
          <w:highlight w:val="yellow"/>
        </w:rPr>
        <w:t>Current leases are longer term agreements with national tenants, with investor purchasers being attracted to the stability of the project cash flow.</w:t>
      </w:r>
    </w:p>
    <w:p w14:paraId="0956615F" w14:textId="77777777" w:rsidR="008E61CC" w:rsidRPr="00F04879" w:rsidRDefault="008E61CC" w:rsidP="008E61CC">
      <w:pPr>
        <w:rPr>
          <w:highlight w:val="yellow"/>
        </w:rPr>
      </w:pPr>
    </w:p>
    <w:p w14:paraId="51E21FE0" w14:textId="77777777" w:rsidR="008E61CC" w:rsidRPr="00F04879" w:rsidRDefault="008E61CC" w:rsidP="008E61CC">
      <w:pPr>
        <w:rPr>
          <w:rFonts w:cs="Arial"/>
          <w:bCs/>
          <w:color w:val="1E4959"/>
          <w:sz w:val="24"/>
          <w:szCs w:val="22"/>
          <w:highlight w:val="yellow"/>
          <w:u w:val="single"/>
        </w:rPr>
      </w:pPr>
      <w:r w:rsidRPr="00F04879">
        <w:rPr>
          <w:rFonts w:cs="Arial"/>
          <w:bCs/>
          <w:color w:val="1E4959"/>
          <w:sz w:val="24"/>
          <w:szCs w:val="22"/>
          <w:highlight w:val="yellow"/>
          <w:u w:val="single"/>
        </w:rPr>
        <w:t>Weaknesses:</w:t>
      </w:r>
    </w:p>
    <w:p w14:paraId="6AEDAE36" w14:textId="77777777" w:rsidR="008E61CC" w:rsidRPr="00F04879" w:rsidRDefault="008E61CC" w:rsidP="008E61CC">
      <w:pPr>
        <w:numPr>
          <w:ilvl w:val="0"/>
          <w:numId w:val="15"/>
        </w:numPr>
        <w:rPr>
          <w:highlight w:val="yellow"/>
        </w:rPr>
      </w:pPr>
      <w:r w:rsidRPr="00F04879">
        <w:rPr>
          <w:highlight w:val="yellow"/>
        </w:rPr>
        <w:t>None.</w:t>
      </w:r>
    </w:p>
    <w:p w14:paraId="3B4145A7" w14:textId="77777777" w:rsidR="008E61CC" w:rsidRPr="00F04879" w:rsidRDefault="008E61CC" w:rsidP="008E61CC">
      <w:pPr>
        <w:rPr>
          <w:highlight w:val="yellow"/>
        </w:rPr>
      </w:pPr>
    </w:p>
    <w:p w14:paraId="5219F135" w14:textId="77777777" w:rsidR="008E61CC" w:rsidRPr="00F04879" w:rsidRDefault="008E61CC" w:rsidP="008E61CC">
      <w:pPr>
        <w:rPr>
          <w:rFonts w:cs="Arial"/>
          <w:bCs/>
          <w:color w:val="1E4959"/>
          <w:sz w:val="24"/>
          <w:szCs w:val="22"/>
          <w:highlight w:val="yellow"/>
          <w:u w:val="single"/>
        </w:rPr>
      </w:pPr>
      <w:r w:rsidRPr="00F04879">
        <w:rPr>
          <w:rFonts w:cs="Arial"/>
          <w:bCs/>
          <w:color w:val="1E4959"/>
          <w:sz w:val="24"/>
          <w:szCs w:val="22"/>
          <w:highlight w:val="yellow"/>
          <w:u w:val="single"/>
        </w:rPr>
        <w:t>Opportunities:</w:t>
      </w:r>
    </w:p>
    <w:p w14:paraId="48475A6A" w14:textId="77777777" w:rsidR="008E61CC" w:rsidRPr="00F04879" w:rsidRDefault="008E61CC" w:rsidP="008E61CC">
      <w:pPr>
        <w:numPr>
          <w:ilvl w:val="0"/>
          <w:numId w:val="15"/>
        </w:numPr>
        <w:rPr>
          <w:kern w:val="24"/>
          <w:highlight w:val="yellow"/>
        </w:rPr>
      </w:pPr>
      <w:r w:rsidRPr="00F04879">
        <w:rPr>
          <w:kern w:val="24"/>
          <w:highlight w:val="yellow"/>
        </w:rPr>
        <w:t>Good long-term potential for a sale to an owner that may pay a premium for the property upon roll-over of the tenant leases.</w:t>
      </w:r>
    </w:p>
    <w:p w14:paraId="74647E61" w14:textId="77777777" w:rsidR="008E61CC" w:rsidRPr="00F04879" w:rsidRDefault="008E61CC" w:rsidP="008E61CC">
      <w:pPr>
        <w:rPr>
          <w:spacing w:val="-3"/>
          <w:kern w:val="2"/>
          <w:highlight w:val="yellow"/>
        </w:rPr>
      </w:pPr>
    </w:p>
    <w:p w14:paraId="4E514254" w14:textId="77777777" w:rsidR="008E61CC" w:rsidRPr="00F04879" w:rsidRDefault="008E61CC" w:rsidP="008E61CC">
      <w:pPr>
        <w:rPr>
          <w:rFonts w:cs="Arial"/>
          <w:bCs/>
          <w:color w:val="1E4959"/>
          <w:sz w:val="24"/>
          <w:szCs w:val="22"/>
          <w:highlight w:val="yellow"/>
          <w:u w:val="single"/>
        </w:rPr>
      </w:pPr>
      <w:r w:rsidRPr="00F04879">
        <w:rPr>
          <w:rFonts w:cs="Arial"/>
          <w:bCs/>
          <w:color w:val="1E4959"/>
          <w:sz w:val="24"/>
          <w:szCs w:val="22"/>
          <w:highlight w:val="yellow"/>
          <w:u w:val="single"/>
        </w:rPr>
        <w:t>Threats:</w:t>
      </w:r>
    </w:p>
    <w:p w14:paraId="1E6A6A5B" w14:textId="77777777" w:rsidR="008E61CC" w:rsidRPr="00F04879" w:rsidRDefault="008E61CC" w:rsidP="008E61CC">
      <w:pPr>
        <w:numPr>
          <w:ilvl w:val="0"/>
          <w:numId w:val="15"/>
        </w:numPr>
        <w:rPr>
          <w:rFonts w:cs="Arial"/>
          <w:szCs w:val="22"/>
          <w:highlight w:val="yellow"/>
        </w:rPr>
      </w:pPr>
      <w:r w:rsidRPr="00F04879">
        <w:rPr>
          <w:rFonts w:cs="Arial"/>
          <w:szCs w:val="22"/>
          <w:highlight w:val="yellow"/>
        </w:rPr>
        <w:t>Current COVID-19 crisis has shaken the market and may have unforeseen consequences (please refer to the Market Overview discussion).</w:t>
      </w:r>
    </w:p>
    <w:p w14:paraId="737EF6BA" w14:textId="77777777" w:rsidR="008E61CC" w:rsidRPr="00F04879" w:rsidRDefault="008E61CC" w:rsidP="008E61CC">
      <w:pPr>
        <w:numPr>
          <w:ilvl w:val="0"/>
          <w:numId w:val="15"/>
        </w:numPr>
        <w:rPr>
          <w:rFonts w:eastAsia="Calibri" w:cs="Arial"/>
          <w:color w:val="000000"/>
          <w:szCs w:val="22"/>
          <w:highlight w:val="yellow"/>
        </w:rPr>
      </w:pPr>
      <w:r w:rsidRPr="00F04879">
        <w:rPr>
          <w:rFonts w:cs="Arial"/>
          <w:szCs w:val="22"/>
          <w:highlight w:val="yellow"/>
        </w:rPr>
        <w:t>Mortgages of all kinds continue may be more difficult to obtain due to the pandemic, and by extension, investor required rates of return have to rise in correspondence with this added financing risk, as well as the greater economic risk.</w:t>
      </w:r>
    </w:p>
    <w:p w14:paraId="68CC3D52" w14:textId="77777777" w:rsidR="008E61CC" w:rsidRDefault="008E61CC" w:rsidP="008E61CC">
      <w:pPr>
        <w:pStyle w:val="Footer"/>
        <w:tabs>
          <w:tab w:val="clear" w:pos="4320"/>
          <w:tab w:val="clear" w:pos="8640"/>
        </w:tabs>
        <w:rPr>
          <w:rFonts w:cs="Arial"/>
          <w:szCs w:val="22"/>
        </w:rPr>
      </w:pPr>
    </w:p>
    <w:p w14:paraId="51CE206E" w14:textId="77777777" w:rsidR="0061753F" w:rsidRDefault="0061753F" w:rsidP="0061753F">
      <w:pPr>
        <w:pStyle w:val="Footer"/>
        <w:tabs>
          <w:tab w:val="clear" w:pos="4320"/>
          <w:tab w:val="clear" w:pos="8640"/>
        </w:tabs>
        <w:rPr>
          <w:rFonts w:eastAsia="Calibri" w:cs="Arial"/>
          <w:color w:val="000000"/>
          <w:kern w:val="20"/>
          <w:szCs w:val="22"/>
        </w:rPr>
      </w:pPr>
    </w:p>
    <w:p w14:paraId="2195A833" w14:textId="097B1480" w:rsidR="0061753F" w:rsidRDefault="0061753F" w:rsidP="0061753F">
      <w:pPr>
        <w:pStyle w:val="Footer"/>
        <w:tabs>
          <w:tab w:val="clear" w:pos="4320"/>
          <w:tab w:val="clear" w:pos="8640"/>
        </w:tabs>
        <w:rPr>
          <w:rFonts w:eastAsia="Calibri" w:cs="Arial"/>
          <w:color w:val="000000"/>
          <w:kern w:val="20"/>
          <w:szCs w:val="22"/>
        </w:rPr>
        <w:sectPr w:rsidR="0061753F" w:rsidSect="00376BB1">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pPr>
    </w:p>
    <w:p w14:paraId="05807066" w14:textId="0E1DA027" w:rsidR="0061753F" w:rsidRDefault="0061753F" w:rsidP="0061753F">
      <w:pPr>
        <w:pStyle w:val="Footer"/>
        <w:tabs>
          <w:tab w:val="clear" w:pos="4320"/>
          <w:tab w:val="clear" w:pos="8640"/>
        </w:tabs>
        <w:rPr>
          <w:rFonts w:eastAsia="Calibri" w:cs="Arial"/>
          <w:color w:val="000000"/>
          <w:kern w:val="20"/>
          <w:szCs w:val="22"/>
        </w:rPr>
      </w:pPr>
    </w:p>
    <w:sectPr w:rsidR="0061753F" w:rsidSect="00376BB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BC293" w14:textId="77777777" w:rsidR="005E3DD8" w:rsidRDefault="005E3DD8">
      <w:r>
        <w:separator/>
      </w:r>
    </w:p>
  </w:endnote>
  <w:endnote w:type="continuationSeparator" w:id="0">
    <w:p w14:paraId="46FB4855" w14:textId="77777777" w:rsidR="005E3DD8" w:rsidRDefault="005E3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E1149" w14:textId="77777777" w:rsidR="009548A1" w:rsidRDefault="00954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3D44B644"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9548A1">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0C5C58">
      <w:rPr>
        <w:rFonts w:cs="Segoe UI"/>
        <w:bCs/>
        <w:iCs/>
        <w:kern w:val="0"/>
        <w:sz w:val="20"/>
        <w:szCs w:val="18"/>
      </w:rPr>
      <w:t>${</w:t>
    </w:r>
    <w:proofErr w:type="spellStart"/>
    <w:r w:rsidRPr="000C5C58">
      <w:rPr>
        <w:rFonts w:cs="Segoe UI"/>
        <w:bCs/>
        <w:iCs/>
        <w:kern w:val="0"/>
        <w:sz w:val="20"/>
        <w:szCs w:val="18"/>
      </w:rPr>
      <w:t>reportname</w:t>
    </w:r>
    <w:proofErr w:type="spellEnd"/>
    <w:r w:rsidRPr="000C5C58">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ADED" w14:textId="77777777" w:rsidR="009548A1" w:rsidRDefault="0095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C7950" w14:textId="77777777" w:rsidR="005E3DD8" w:rsidRDefault="005E3DD8">
      <w:r>
        <w:separator/>
      </w:r>
    </w:p>
  </w:footnote>
  <w:footnote w:type="continuationSeparator" w:id="0">
    <w:p w14:paraId="7780CB0A" w14:textId="77777777" w:rsidR="005E3DD8" w:rsidRDefault="005E3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517B3" w14:textId="77777777" w:rsidR="009548A1" w:rsidRDefault="00954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468"/>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14D46FC7" w:rsidR="00782513" w:rsidRPr="009548A1" w:rsidRDefault="008B2CF2" w:rsidP="00782513">
          <w:pPr>
            <w:pStyle w:val="ValbridgeHeader"/>
            <w:spacing w:before="120" w:line="240" w:lineRule="auto"/>
            <w:rPr>
              <w:rFonts w:asciiTheme="minorHAnsi" w:hAnsiTheme="minorHAnsi"/>
              <w:noProof/>
              <w:color w:val="auto"/>
              <w:sz w:val="20"/>
            </w:rPr>
          </w:pPr>
          <w:r w:rsidRPr="009548A1">
            <w:rPr>
              <w:rFonts w:asciiTheme="minorHAnsi" w:hAnsiTheme="minorHAnsi"/>
              <w:noProof/>
              <w:color w:val="auto"/>
              <w:sz w:val="20"/>
            </w:rPr>
            <w:t>${</w:t>
          </w:r>
          <w:r w:rsidR="009548A1" w:rsidRPr="009548A1">
            <w:rPr>
              <w:rFonts w:asciiTheme="minorHAnsi" w:hAnsiTheme="minorHAnsi"/>
              <w:noProof/>
              <w:color w:val="auto"/>
              <w:sz w:val="20"/>
            </w:rPr>
            <w:t>cappropname</w:t>
          </w:r>
          <w:r w:rsidRPr="009548A1">
            <w:rPr>
              <w:rFonts w:asciiTheme="minorHAnsi" w:hAnsiTheme="minorHAnsi"/>
              <w:noProof/>
              <w:color w:val="auto"/>
              <w:sz w:val="20"/>
            </w:rPr>
            <w:t>}</w:t>
          </w:r>
        </w:p>
        <w:p w14:paraId="207A6F81" w14:textId="1E51BB15" w:rsidR="00DB2E0D" w:rsidRPr="00883365" w:rsidRDefault="0061753F" w:rsidP="00492705">
          <w:pPr>
            <w:pStyle w:val="ValbridgeHeader"/>
            <w:spacing w:line="240" w:lineRule="auto"/>
            <w:rPr>
              <w:rFonts w:ascii="Arial Narrow" w:hAnsi="Arial Narrow" w:cs="Arial"/>
            </w:rPr>
          </w:pPr>
          <w:r>
            <w:rPr>
              <w:rFonts w:asciiTheme="minorHAnsi" w:hAnsiTheme="minorHAnsi"/>
              <w:color w:val="auto"/>
              <w:sz w:val="20"/>
            </w:rPr>
            <w:t>RECONCILIATION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AAC14" w14:textId="77777777" w:rsidR="009548A1" w:rsidRDefault="0095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6584"/>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5C58"/>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46A"/>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B7DC3"/>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2E78"/>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4EB"/>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3DD8"/>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53F"/>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1CC"/>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8A1"/>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7"/>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ECA"/>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5CC"/>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C5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27E"/>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6D4"/>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396"/>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0D4"/>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7F1"/>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28DD729962ED4A0489880C9486F64AEA"/>
        <w:category>
          <w:name w:val="General"/>
          <w:gallery w:val="placeholder"/>
        </w:category>
        <w:types>
          <w:type w:val="bbPlcHdr"/>
        </w:types>
        <w:behaviors>
          <w:behavior w:val="content"/>
        </w:behaviors>
        <w:guid w:val="{24A6D049-AC6F-4BD4-A579-60F5DBDC6837}"/>
      </w:docPartPr>
      <w:docPartBody>
        <w:p w:rsidR="00670C65" w:rsidRDefault="00473976" w:rsidP="00473976">
          <w:pPr>
            <w:pStyle w:val="28DD729962ED4A0489880C9486F64AEA"/>
          </w:pPr>
          <w:r w:rsidRPr="00757513">
            <w:rPr>
              <w:rStyle w:val="PlaceholderText"/>
            </w:rPr>
            <w:t>Choose an item.</w:t>
          </w:r>
        </w:p>
      </w:docPartBody>
    </w:docPart>
    <w:docPart>
      <w:docPartPr>
        <w:name w:val="66608FE4F821463E895AE86CCD3CE01B"/>
        <w:category>
          <w:name w:val="General"/>
          <w:gallery w:val="placeholder"/>
        </w:category>
        <w:types>
          <w:type w:val="bbPlcHdr"/>
        </w:types>
        <w:behaviors>
          <w:behavior w:val="content"/>
        </w:behaviors>
        <w:guid w:val="{10E86F85-1E46-401B-A6CF-9AC6EECA83AB}"/>
      </w:docPartPr>
      <w:docPartBody>
        <w:p w:rsidR="00670C65" w:rsidRDefault="00473976" w:rsidP="00473976">
          <w:pPr>
            <w:pStyle w:val="66608FE4F821463E895AE86CCD3CE01B"/>
          </w:pPr>
          <w:r w:rsidRPr="00757513">
            <w:rPr>
              <w:rStyle w:val="PlaceholderText"/>
            </w:rPr>
            <w:t>Choose an item.</w:t>
          </w:r>
        </w:p>
      </w:docPartBody>
    </w:docPart>
    <w:docPart>
      <w:docPartPr>
        <w:name w:val="45B7E5F307314935806930C1B0990124"/>
        <w:category>
          <w:name w:val="General"/>
          <w:gallery w:val="placeholder"/>
        </w:category>
        <w:types>
          <w:type w:val="bbPlcHdr"/>
        </w:types>
        <w:behaviors>
          <w:behavior w:val="content"/>
        </w:behaviors>
        <w:guid w:val="{3DEA3B2B-178F-4C78-98B6-195DCFA99432}"/>
      </w:docPartPr>
      <w:docPartBody>
        <w:p w:rsidR="00670C65" w:rsidRDefault="00473976" w:rsidP="00473976">
          <w:pPr>
            <w:pStyle w:val="45B7E5F307314935806930C1B0990124"/>
          </w:pPr>
          <w:r w:rsidRPr="00AD1CD4">
            <w:rPr>
              <w:rStyle w:val="PlaceholderText"/>
            </w:rPr>
            <w:t>Choose an item.</w:t>
          </w:r>
        </w:p>
      </w:docPartBody>
    </w:docPart>
    <w:docPart>
      <w:docPartPr>
        <w:name w:val="51CA25D643B342A48CFFE689A6FE94FC"/>
        <w:category>
          <w:name w:val="General"/>
          <w:gallery w:val="placeholder"/>
        </w:category>
        <w:types>
          <w:type w:val="bbPlcHdr"/>
        </w:types>
        <w:behaviors>
          <w:behavior w:val="content"/>
        </w:behaviors>
        <w:guid w:val="{FFB5C88D-1C7B-4556-A627-62962F2A5D09}"/>
      </w:docPartPr>
      <w:docPartBody>
        <w:p w:rsidR="006C6ECB" w:rsidRDefault="00670C65" w:rsidP="00670C65">
          <w:pPr>
            <w:pStyle w:val="51CA25D643B342A48CFFE689A6FE94FC"/>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563DC"/>
    <w:rsid w:val="003B4CCF"/>
    <w:rsid w:val="003E5D39"/>
    <w:rsid w:val="0043779A"/>
    <w:rsid w:val="00473976"/>
    <w:rsid w:val="004C6EC4"/>
    <w:rsid w:val="0057263F"/>
    <w:rsid w:val="00670C65"/>
    <w:rsid w:val="00693BF4"/>
    <w:rsid w:val="006C6ECB"/>
    <w:rsid w:val="00761599"/>
    <w:rsid w:val="009612AA"/>
    <w:rsid w:val="00AB204C"/>
    <w:rsid w:val="00B32517"/>
    <w:rsid w:val="00BC4F80"/>
    <w:rsid w:val="00BD1F56"/>
    <w:rsid w:val="00C2192B"/>
    <w:rsid w:val="00C43866"/>
    <w:rsid w:val="00CD21B6"/>
    <w:rsid w:val="00D04789"/>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C65"/>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28DD729962ED4A0489880C9486F64AEA">
    <w:name w:val="28DD729962ED4A0489880C9486F64AEA"/>
    <w:rsid w:val="00473976"/>
  </w:style>
  <w:style w:type="paragraph" w:customStyle="1" w:styleId="66608FE4F821463E895AE86CCD3CE01B">
    <w:name w:val="66608FE4F821463E895AE86CCD3CE01B"/>
    <w:rsid w:val="00473976"/>
  </w:style>
  <w:style w:type="paragraph" w:customStyle="1" w:styleId="45B7E5F307314935806930C1B0990124">
    <w:name w:val="45B7E5F307314935806930C1B0990124"/>
    <w:rsid w:val="00473976"/>
  </w:style>
  <w:style w:type="paragraph" w:customStyle="1" w:styleId="AA88A83221384235B181C623A1D2D404">
    <w:name w:val="AA88A83221384235B181C623A1D2D404"/>
    <w:rsid w:val="00473976"/>
  </w:style>
  <w:style w:type="paragraph" w:customStyle="1" w:styleId="51CA25D643B342A48CFFE689A6FE94FC">
    <w:name w:val="51CA25D643B342A48CFFE689A6FE94FC"/>
    <w:rsid w:val="00670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F87D9D-E9CE-416E-8CA9-087D5ADE0E2C}">
  <ds:schemaRefs>
    <ds:schemaRef ds:uri="http://schemas.openxmlformats.org/officeDocument/2006/bibliography"/>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4716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2020-06-09T20:45:00Z</dcterms:created>
  <dcterms:modified xsi:type="dcterms:W3CDTF">2020-06-13T23:37:00Z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