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61753F">
        <w:trPr>
          <w:trHeight w:hRule="exact" w:val="590"/>
        </w:trPr>
        <w:tc>
          <w:tcPr>
            <w:tcW w:w="936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6ACA5635" w:rsidR="006028C1" w:rsidRPr="00E03623" w:rsidRDefault="0061753F" w:rsidP="006028C1">
                            <w:pPr>
                              <w:pStyle w:val="AddendaHeading"/>
                            </w:pPr>
                            <w:r>
                              <w:t>Reconciliation</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2AD86158" w14:textId="77777777" w:rsidR="0061753F" w:rsidRPr="00F166AD" w:rsidRDefault="0061753F" w:rsidP="0061753F">
      <w:pPr>
        <w:pStyle w:val="Heading20"/>
        <w:rPr>
          <w:rFonts w:asciiTheme="minorHAnsi" w:hAnsiTheme="minorHAnsi" w:cs="Arial"/>
          <w:b w:val="0"/>
          <w:color w:val="1E4959"/>
          <w:spacing w:val="0"/>
          <w:kern w:val="20"/>
          <w:sz w:val="28"/>
          <w:szCs w:val="22"/>
        </w:rPr>
      </w:pPr>
      <w:r w:rsidRPr="00F166AD">
        <w:rPr>
          <w:rFonts w:asciiTheme="minorHAnsi" w:hAnsiTheme="minorHAnsi" w:cs="Arial"/>
          <w:b w:val="0"/>
          <w:color w:val="1E4959"/>
          <w:spacing w:val="0"/>
          <w:kern w:val="20"/>
          <w:sz w:val="28"/>
          <w:szCs w:val="22"/>
        </w:rPr>
        <w:t>Summary of Value Indications</w:t>
      </w:r>
    </w:p>
    <w:p w14:paraId="4A1B43CF" w14:textId="77777777" w:rsidR="0061753F" w:rsidRPr="00F166AD" w:rsidRDefault="0061753F" w:rsidP="0061753F">
      <w:pPr>
        <w:suppressAutoHyphens/>
        <w:rPr>
          <w:rFonts w:cs="Arial"/>
          <w:szCs w:val="22"/>
        </w:rPr>
      </w:pPr>
      <w:r w:rsidRPr="00F166AD">
        <w:rPr>
          <w:rFonts w:cs="Arial"/>
          <w:szCs w:val="22"/>
        </w:rPr>
        <w:t xml:space="preserve">The reconciliation of value indications is the final step in the appraisal process and involves the reviewing and weighing of the individual valuation techniques in relationship to their substantiation by market data, and the reliability and applicability of each valuation technique to the subject project. The reconciliation criteria are appropriateness, accuracy, and quantity of evidence. </w:t>
      </w:r>
    </w:p>
    <w:p w14:paraId="13054A0C" w14:textId="77777777" w:rsidR="0061753F" w:rsidRPr="00F166AD" w:rsidRDefault="0061753F" w:rsidP="0061753F">
      <w:pPr>
        <w:rPr>
          <w:rFonts w:cs="Arial"/>
          <w:szCs w:val="22"/>
        </w:rPr>
      </w:pPr>
    </w:p>
    <w:p w14:paraId="4CF66CC6" w14:textId="28F508CF" w:rsidR="0061753F" w:rsidRPr="00FC4800" w:rsidRDefault="0061753F" w:rsidP="0061753F">
      <w:pPr>
        <w:rPr>
          <w:rFonts w:cs="Arial"/>
          <w:szCs w:val="22"/>
        </w:rPr>
      </w:pPr>
      <w:r w:rsidRPr="00185C85">
        <w:rPr>
          <w:rFonts w:cs="Arial"/>
          <w:szCs w:val="22"/>
        </w:rPr>
        <w:t>Only the Sales Comparison and Income Capitalization Approaches to value were utilized in this assignment, each involving separate and distinct techniques. The Cost Approach was omitted due to its inapplicability in this assignment</w:t>
      </w:r>
      <w:r w:rsidRPr="00FC4800">
        <w:rPr>
          <w:rFonts w:cs="Arial"/>
          <w:szCs w:val="22"/>
        </w:rPr>
        <w:t xml:space="preserve">. Based on the two selected methods of appraisal, the estimated </w:t>
      </w:r>
      <w:sdt>
        <w:sdtPr>
          <w:rPr>
            <w:rFonts w:cs="Arial"/>
            <w:b/>
            <w:szCs w:val="22"/>
            <w:highlight w:val="green"/>
          </w:rPr>
          <w:alias w:val="Stabilized"/>
          <w:tag w:val="Stabilized"/>
          <w:id w:val="1091655"/>
          <w:placeholder>
            <w:docPart w:val="DefaultPlaceholder_-1854013438"/>
          </w:placeholder>
          <w:dropDownList>
            <w:listItem w:value="Choose an item."/>
            <w:listItem w:displayText="stabilized" w:value="stabilized"/>
            <w:listItem w:displayText="prospective stabilized" w:value="prospective stabilized"/>
          </w:dropDownList>
        </w:sdtPr>
        <w:sdtEndPr/>
        <w:sdtContent>
          <w:r w:rsidR="00C90C2C">
            <w:rPr>
              <w:rFonts w:cs="Arial"/>
              <w:b/>
              <w:szCs w:val="22"/>
              <w:highlight w:val="green"/>
            </w:rPr>
            <w:t>stabilized</w:t>
          </w:r>
        </w:sdtContent>
      </w:sdt>
      <w:r w:rsidRPr="00FC4800">
        <w:rPr>
          <w:rFonts w:cs="Arial"/>
          <w:b/>
          <w:szCs w:val="22"/>
        </w:rPr>
        <w:t xml:space="preserve"> market values</w:t>
      </w:r>
      <w:r>
        <w:rPr>
          <w:rFonts w:cs="Arial"/>
          <w:szCs w:val="22"/>
        </w:rPr>
        <w:t xml:space="preserve"> </w:t>
      </w:r>
      <w:r w:rsidRPr="00FC4800">
        <w:rPr>
          <w:rFonts w:cs="Arial"/>
          <w:szCs w:val="22"/>
        </w:rPr>
        <w:t xml:space="preserve">of the </w:t>
      </w:r>
      <w:r w:rsidRPr="00F920D4">
        <w:rPr>
          <w:rFonts w:cs="Arial"/>
          <w:szCs w:val="22"/>
        </w:rPr>
        <w:t>fee simple</w:t>
      </w:r>
      <w:r w:rsidRPr="000754FA">
        <w:rPr>
          <w:rFonts w:cs="Arial"/>
          <w:szCs w:val="22"/>
        </w:rPr>
        <w:t xml:space="preserve"> interest in the </w:t>
      </w:r>
      <w:r w:rsidRPr="00813190">
        <w:rPr>
          <w:rFonts w:cs="Arial"/>
          <w:b/>
          <w:szCs w:val="22"/>
        </w:rPr>
        <w:t xml:space="preserve">subject </w:t>
      </w:r>
      <w:r>
        <w:rPr>
          <w:rFonts w:cs="Arial"/>
          <w:b/>
          <w:szCs w:val="22"/>
        </w:rPr>
        <w:t>property</w:t>
      </w:r>
      <w:r w:rsidR="00DD7C5D">
        <w:rPr>
          <w:rFonts w:cs="Arial"/>
          <w:szCs w:val="22"/>
        </w:rPr>
        <w:t xml:space="preserve"> </w:t>
      </w:r>
      <w:r w:rsidRPr="00FC4800">
        <w:rPr>
          <w:rFonts w:cs="Arial"/>
          <w:szCs w:val="22"/>
        </w:rPr>
        <w:t>are</w:t>
      </w:r>
      <w:r w:rsidRPr="00FC4800">
        <w:rPr>
          <w:rFonts w:cs="Arial"/>
          <w:iCs/>
          <w:szCs w:val="22"/>
        </w:rPr>
        <w:t xml:space="preserve"> as follows:</w:t>
      </w:r>
    </w:p>
    <w:p w14:paraId="24B7CD89" w14:textId="77777777" w:rsidR="0061753F" w:rsidRPr="00F166AD" w:rsidRDefault="0061753F" w:rsidP="0061753F">
      <w:pPr>
        <w:pStyle w:val="ListParagraph"/>
        <w:ind w:left="0"/>
        <w:rPr>
          <w:rFonts w:cs="Arial"/>
          <w:kern w:val="20"/>
          <w:szCs w:val="22"/>
        </w:rPr>
      </w:pPr>
    </w:p>
    <w:tbl>
      <w:tblPr>
        <w:tblW w:w="94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38"/>
        <w:gridCol w:w="1530"/>
        <w:gridCol w:w="1440"/>
        <w:gridCol w:w="2160"/>
      </w:tblGrid>
      <w:tr w:rsidR="0061753F" w:rsidRPr="00F166AD" w14:paraId="6D640CB1" w14:textId="77777777" w:rsidTr="00A16296">
        <w:tc>
          <w:tcPr>
            <w:tcW w:w="4338" w:type="dxa"/>
            <w:tcBorders>
              <w:top w:val="nil"/>
              <w:left w:val="nil"/>
              <w:bottom w:val="single" w:sz="24" w:space="0" w:color="3FB44F"/>
              <w:right w:val="nil"/>
            </w:tcBorders>
            <w:shd w:val="clear" w:color="auto" w:fill="1E4959"/>
          </w:tcPr>
          <w:p w14:paraId="3A54BFEF" w14:textId="77777777" w:rsidR="0061753F" w:rsidRPr="00F166AD" w:rsidRDefault="0061753F" w:rsidP="00A16296">
            <w:pPr>
              <w:tabs>
                <w:tab w:val="left" w:pos="3960"/>
              </w:tabs>
              <w:spacing w:after="60" w:line="20" w:lineRule="atLeast"/>
              <w:jc w:val="left"/>
              <w:rPr>
                <w:rFonts w:cs="Arial"/>
                <w:b/>
                <w:smallCaps/>
                <w:color w:val="FFFFFF" w:themeColor="background1"/>
                <w:szCs w:val="22"/>
              </w:rPr>
            </w:pPr>
            <w:r w:rsidRPr="00F166AD">
              <w:rPr>
                <w:rFonts w:cs="Arial"/>
                <w:b/>
                <w:smallCaps/>
                <w:color w:val="FFFFFF" w:themeColor="background1"/>
                <w:szCs w:val="22"/>
              </w:rPr>
              <w:br/>
              <w:t>Valuation Approach</w:t>
            </w:r>
          </w:p>
        </w:tc>
        <w:tc>
          <w:tcPr>
            <w:tcW w:w="1530" w:type="dxa"/>
            <w:tcBorders>
              <w:top w:val="nil"/>
              <w:left w:val="nil"/>
              <w:bottom w:val="single" w:sz="24" w:space="0" w:color="3FB44F"/>
              <w:right w:val="nil"/>
            </w:tcBorders>
            <w:shd w:val="clear" w:color="auto" w:fill="1E4959"/>
          </w:tcPr>
          <w:p w14:paraId="60541262"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1440" w:type="dxa"/>
            <w:tcBorders>
              <w:top w:val="nil"/>
              <w:left w:val="nil"/>
              <w:bottom w:val="single" w:sz="24" w:space="0" w:color="3FB44F"/>
              <w:right w:val="nil"/>
            </w:tcBorders>
            <w:shd w:val="clear" w:color="auto" w:fill="1E4959"/>
          </w:tcPr>
          <w:p w14:paraId="14521C49"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p>
        </w:tc>
        <w:tc>
          <w:tcPr>
            <w:tcW w:w="2160" w:type="dxa"/>
            <w:tcBorders>
              <w:top w:val="nil"/>
              <w:left w:val="nil"/>
              <w:bottom w:val="single" w:sz="24" w:space="0" w:color="3FB44F"/>
              <w:right w:val="nil"/>
            </w:tcBorders>
            <w:shd w:val="clear" w:color="auto" w:fill="1E4959"/>
          </w:tcPr>
          <w:p w14:paraId="2D13D877" w14:textId="77777777" w:rsidR="0061753F" w:rsidRPr="00F166AD" w:rsidRDefault="0061753F" w:rsidP="00A16296">
            <w:pPr>
              <w:tabs>
                <w:tab w:val="left" w:pos="3960"/>
              </w:tabs>
              <w:spacing w:after="60" w:line="20" w:lineRule="atLeast"/>
              <w:jc w:val="center"/>
              <w:rPr>
                <w:rFonts w:cs="Arial"/>
                <w:b/>
                <w:smallCaps/>
                <w:color w:val="FFFFFF" w:themeColor="background1"/>
                <w:szCs w:val="22"/>
              </w:rPr>
            </w:pPr>
            <w:r w:rsidRPr="00F166AD">
              <w:rPr>
                <w:rFonts w:cs="Arial"/>
                <w:b/>
                <w:smallCaps/>
                <w:color w:val="FFFFFF" w:themeColor="background1"/>
                <w:szCs w:val="22"/>
              </w:rPr>
              <w:t>Value</w:t>
            </w:r>
            <w:r w:rsidRPr="00F166AD">
              <w:rPr>
                <w:rFonts w:cs="Arial"/>
                <w:b/>
                <w:smallCaps/>
                <w:color w:val="FFFFFF" w:themeColor="background1"/>
                <w:szCs w:val="22"/>
              </w:rPr>
              <w:br/>
              <w:t>Conclusion</w:t>
            </w:r>
          </w:p>
        </w:tc>
      </w:tr>
      <w:tr w:rsidR="0061753F" w:rsidRPr="00F166AD" w14:paraId="49FDFA02" w14:textId="77777777" w:rsidTr="00A16296">
        <w:trPr>
          <w:trHeight w:val="507"/>
        </w:trPr>
        <w:tc>
          <w:tcPr>
            <w:tcW w:w="4338" w:type="dxa"/>
            <w:tcBorders>
              <w:top w:val="single" w:sz="24" w:space="0" w:color="3FB44F"/>
              <w:left w:val="nil"/>
              <w:bottom w:val="single" w:sz="6" w:space="0" w:color="auto"/>
              <w:right w:val="nil"/>
            </w:tcBorders>
          </w:tcPr>
          <w:p w14:paraId="3247DCBC" w14:textId="77777777" w:rsidR="0061753F" w:rsidRPr="00F166AD" w:rsidRDefault="0061753F" w:rsidP="00A16296">
            <w:pPr>
              <w:tabs>
                <w:tab w:val="left" w:pos="3960"/>
              </w:tabs>
              <w:spacing w:before="120"/>
              <w:jc w:val="left"/>
              <w:rPr>
                <w:rFonts w:cs="Arial"/>
                <w:b/>
                <w:szCs w:val="22"/>
              </w:rPr>
            </w:pPr>
            <w:r w:rsidRPr="00F166AD">
              <w:rPr>
                <w:rFonts w:cs="Arial"/>
                <w:b/>
                <w:szCs w:val="22"/>
              </w:rPr>
              <w:t>COST APPROACH</w:t>
            </w:r>
          </w:p>
        </w:tc>
        <w:tc>
          <w:tcPr>
            <w:tcW w:w="1530" w:type="dxa"/>
            <w:tcBorders>
              <w:top w:val="single" w:sz="24" w:space="0" w:color="3FB44F"/>
              <w:left w:val="nil"/>
              <w:bottom w:val="single" w:sz="6" w:space="0" w:color="auto"/>
              <w:right w:val="nil"/>
            </w:tcBorders>
          </w:tcPr>
          <w:p w14:paraId="09EBEAA6" w14:textId="77777777" w:rsidR="0061753F" w:rsidRPr="00F166AD" w:rsidRDefault="0061753F" w:rsidP="00A16296">
            <w:pPr>
              <w:tabs>
                <w:tab w:val="left" w:pos="3960"/>
              </w:tabs>
              <w:spacing w:before="60"/>
              <w:jc w:val="left"/>
              <w:rPr>
                <w:rFonts w:cs="Arial"/>
                <w:szCs w:val="22"/>
              </w:rPr>
            </w:pPr>
          </w:p>
        </w:tc>
        <w:tc>
          <w:tcPr>
            <w:tcW w:w="1440" w:type="dxa"/>
            <w:tcBorders>
              <w:top w:val="single" w:sz="24" w:space="0" w:color="3FB44F"/>
              <w:left w:val="nil"/>
              <w:bottom w:val="single" w:sz="6" w:space="0" w:color="auto"/>
              <w:right w:val="single" w:sz="6" w:space="0" w:color="auto"/>
            </w:tcBorders>
          </w:tcPr>
          <w:p w14:paraId="3A958752" w14:textId="77777777" w:rsidR="0061753F" w:rsidRPr="00F166AD" w:rsidRDefault="0061753F" w:rsidP="00A16296">
            <w:pPr>
              <w:tabs>
                <w:tab w:val="left" w:pos="3960"/>
              </w:tabs>
              <w:spacing w:before="60"/>
              <w:jc w:val="right"/>
              <w:rPr>
                <w:rFonts w:cs="Arial"/>
                <w:szCs w:val="22"/>
              </w:rPr>
            </w:pPr>
          </w:p>
        </w:tc>
        <w:tc>
          <w:tcPr>
            <w:tcW w:w="2160" w:type="dxa"/>
            <w:tcBorders>
              <w:top w:val="single" w:sz="24" w:space="0" w:color="3FB44F"/>
              <w:left w:val="nil"/>
              <w:bottom w:val="single" w:sz="6" w:space="0" w:color="auto"/>
              <w:right w:val="nil"/>
            </w:tcBorders>
            <w:vAlign w:val="center"/>
          </w:tcPr>
          <w:p w14:paraId="1575244A" w14:textId="0E82D828" w:rsidR="0061753F" w:rsidRPr="00F166AD" w:rsidRDefault="00A64C87" w:rsidP="00A16296">
            <w:pPr>
              <w:tabs>
                <w:tab w:val="left" w:pos="3960"/>
              </w:tabs>
              <w:spacing w:before="60" w:after="120"/>
              <w:jc w:val="center"/>
              <w:rPr>
                <w:rFonts w:cs="Arial"/>
                <w:b/>
                <w:szCs w:val="22"/>
              </w:rPr>
            </w:pPr>
            <w:r>
              <w:rPr>
                <w:rFonts w:cs="Arial"/>
                <w:b/>
                <w:szCs w:val="22"/>
              </w:rPr>
              <w:t>Not Applicable</w:t>
            </w:r>
            <w:r w:rsidR="0061753F">
              <w:rPr>
                <w:rFonts w:cs="Arial"/>
                <w:b/>
                <w:szCs w:val="22"/>
              </w:rPr>
              <w:t xml:space="preserve"> </w:t>
            </w:r>
          </w:p>
        </w:tc>
      </w:tr>
      <w:tr w:rsidR="0061753F" w:rsidRPr="00F166AD" w14:paraId="269CDC32" w14:textId="77777777" w:rsidTr="00A16296">
        <w:trPr>
          <w:trHeight w:val="80"/>
        </w:trPr>
        <w:tc>
          <w:tcPr>
            <w:tcW w:w="4338" w:type="dxa"/>
            <w:tcBorders>
              <w:top w:val="single" w:sz="6" w:space="0" w:color="auto"/>
              <w:left w:val="nil"/>
              <w:bottom w:val="single" w:sz="6" w:space="0" w:color="auto"/>
              <w:right w:val="nil"/>
            </w:tcBorders>
          </w:tcPr>
          <w:p w14:paraId="2F6CF160" w14:textId="77777777" w:rsidR="0061753F" w:rsidRPr="00F166AD" w:rsidRDefault="0061753F" w:rsidP="00A16296">
            <w:pPr>
              <w:tabs>
                <w:tab w:val="left" w:pos="3960"/>
              </w:tabs>
              <w:spacing w:before="120" w:line="360" w:lineRule="auto"/>
              <w:rPr>
                <w:rFonts w:cs="Arial"/>
                <w:b/>
                <w:szCs w:val="22"/>
              </w:rPr>
            </w:pPr>
            <w:r w:rsidRPr="00F166AD">
              <w:rPr>
                <w:rFonts w:cs="Arial"/>
                <w:b/>
                <w:szCs w:val="22"/>
              </w:rPr>
              <w:t>SALES COMPARISON APPROACH</w:t>
            </w:r>
          </w:p>
        </w:tc>
        <w:tc>
          <w:tcPr>
            <w:tcW w:w="1530" w:type="dxa"/>
            <w:tcBorders>
              <w:top w:val="single" w:sz="6" w:space="0" w:color="auto"/>
              <w:left w:val="nil"/>
              <w:bottom w:val="single" w:sz="6" w:space="0" w:color="auto"/>
              <w:right w:val="nil"/>
            </w:tcBorders>
          </w:tcPr>
          <w:p w14:paraId="0174B0C4" w14:textId="77777777" w:rsidR="0061753F" w:rsidRPr="00F166AD"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single" w:sz="6" w:space="0" w:color="auto"/>
              <w:right w:val="single" w:sz="6" w:space="0" w:color="auto"/>
            </w:tcBorders>
          </w:tcPr>
          <w:p w14:paraId="74AE0E37" w14:textId="77777777" w:rsidR="0061753F" w:rsidRPr="00F166AD"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single" w:sz="6" w:space="0" w:color="auto"/>
              <w:right w:val="nil"/>
            </w:tcBorders>
          </w:tcPr>
          <w:p w14:paraId="54644AF8" w14:textId="0AF7CD1B" w:rsidR="0061753F" w:rsidRPr="005111EA"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w:t>
            </w:r>
            <w:r w:rsidR="00C14ECA">
              <w:rPr>
                <w:rFonts w:cs="Arial"/>
                <w:b/>
                <w:szCs w:val="22"/>
                <w:highlight w:val="yellow"/>
              </w:rPr>
              <w:t>__</w:t>
            </w:r>
            <w:r w:rsidRPr="0061753F">
              <w:rPr>
                <w:rFonts w:cs="Arial"/>
                <w:b/>
                <w:szCs w:val="22"/>
                <w:highlight w:val="yellow"/>
              </w:rPr>
              <w:t>___</w:t>
            </w:r>
          </w:p>
        </w:tc>
      </w:tr>
      <w:tr w:rsidR="0061753F" w:rsidRPr="009519CB" w14:paraId="08FC5D6F" w14:textId="77777777" w:rsidTr="00A16296">
        <w:trPr>
          <w:trHeight w:val="80"/>
        </w:trPr>
        <w:tc>
          <w:tcPr>
            <w:tcW w:w="4338" w:type="dxa"/>
            <w:tcBorders>
              <w:top w:val="single" w:sz="6" w:space="0" w:color="auto"/>
              <w:left w:val="nil"/>
              <w:bottom w:val="double" w:sz="6" w:space="0" w:color="auto"/>
              <w:right w:val="nil"/>
            </w:tcBorders>
          </w:tcPr>
          <w:p w14:paraId="6AB8244E" w14:textId="77777777" w:rsidR="0061753F" w:rsidRPr="009519CB" w:rsidRDefault="0061753F" w:rsidP="00A16296">
            <w:pPr>
              <w:tabs>
                <w:tab w:val="left" w:pos="3960"/>
              </w:tabs>
              <w:spacing w:before="120" w:line="360" w:lineRule="auto"/>
              <w:rPr>
                <w:rFonts w:cs="Arial"/>
                <w:b/>
                <w:szCs w:val="22"/>
              </w:rPr>
            </w:pPr>
            <w:r w:rsidRPr="009519CB">
              <w:rPr>
                <w:rFonts w:cs="Arial"/>
                <w:b/>
                <w:szCs w:val="22"/>
              </w:rPr>
              <w:t xml:space="preserve">INCOME APPROACH </w:t>
            </w:r>
          </w:p>
        </w:tc>
        <w:tc>
          <w:tcPr>
            <w:tcW w:w="1530" w:type="dxa"/>
            <w:tcBorders>
              <w:top w:val="single" w:sz="6" w:space="0" w:color="auto"/>
              <w:left w:val="nil"/>
              <w:bottom w:val="double" w:sz="6" w:space="0" w:color="auto"/>
              <w:right w:val="nil"/>
            </w:tcBorders>
          </w:tcPr>
          <w:p w14:paraId="3555C2BE" w14:textId="77777777" w:rsidR="0061753F" w:rsidRPr="009519CB" w:rsidRDefault="0061753F" w:rsidP="00A16296">
            <w:pPr>
              <w:tabs>
                <w:tab w:val="left" w:pos="3960"/>
              </w:tabs>
              <w:spacing w:before="120" w:line="360" w:lineRule="auto"/>
              <w:jc w:val="left"/>
              <w:rPr>
                <w:rFonts w:cs="Arial"/>
                <w:szCs w:val="22"/>
              </w:rPr>
            </w:pPr>
          </w:p>
        </w:tc>
        <w:tc>
          <w:tcPr>
            <w:tcW w:w="1440" w:type="dxa"/>
            <w:tcBorders>
              <w:top w:val="single" w:sz="6" w:space="0" w:color="auto"/>
              <w:left w:val="nil"/>
              <w:bottom w:val="double" w:sz="6" w:space="0" w:color="auto"/>
              <w:right w:val="single" w:sz="6" w:space="0" w:color="auto"/>
            </w:tcBorders>
          </w:tcPr>
          <w:p w14:paraId="361CB6E9" w14:textId="77777777" w:rsidR="0061753F" w:rsidRPr="009519CB" w:rsidRDefault="0061753F" w:rsidP="00A16296">
            <w:pPr>
              <w:tabs>
                <w:tab w:val="left" w:pos="3960"/>
              </w:tabs>
              <w:spacing w:before="120" w:line="360" w:lineRule="auto"/>
              <w:jc w:val="center"/>
              <w:rPr>
                <w:rFonts w:cs="Arial"/>
                <w:b/>
                <w:szCs w:val="22"/>
              </w:rPr>
            </w:pPr>
          </w:p>
        </w:tc>
        <w:tc>
          <w:tcPr>
            <w:tcW w:w="2160" w:type="dxa"/>
            <w:tcBorders>
              <w:top w:val="single" w:sz="6" w:space="0" w:color="auto"/>
              <w:left w:val="nil"/>
              <w:bottom w:val="double" w:sz="6" w:space="0" w:color="auto"/>
              <w:right w:val="nil"/>
            </w:tcBorders>
          </w:tcPr>
          <w:p w14:paraId="06A1D1DA" w14:textId="71727788" w:rsidR="0061753F" w:rsidRPr="00EE3761" w:rsidRDefault="0061753F" w:rsidP="00A16296">
            <w:pPr>
              <w:tabs>
                <w:tab w:val="left" w:pos="3960"/>
              </w:tabs>
              <w:spacing w:before="120" w:line="360" w:lineRule="auto"/>
              <w:jc w:val="center"/>
              <w:rPr>
                <w:rFonts w:cs="Arial"/>
                <w:b/>
                <w:szCs w:val="22"/>
                <w:highlight w:val="yellow"/>
              </w:rPr>
            </w:pPr>
            <w:r w:rsidRPr="0061753F">
              <w:rPr>
                <w:rFonts w:cs="Arial"/>
                <w:b/>
                <w:szCs w:val="22"/>
                <w:highlight w:val="yellow"/>
              </w:rPr>
              <w:t>$_______</w:t>
            </w:r>
            <w:r w:rsidR="00C14ECA">
              <w:rPr>
                <w:rFonts w:cs="Arial"/>
                <w:b/>
                <w:szCs w:val="22"/>
                <w:highlight w:val="yellow"/>
              </w:rPr>
              <w:t>__</w:t>
            </w:r>
            <w:r w:rsidRPr="0061753F">
              <w:rPr>
                <w:rFonts w:cs="Arial"/>
                <w:b/>
                <w:szCs w:val="22"/>
                <w:highlight w:val="yellow"/>
              </w:rPr>
              <w:t>__</w:t>
            </w:r>
          </w:p>
        </w:tc>
      </w:tr>
    </w:tbl>
    <w:p w14:paraId="525EF849" w14:textId="09BFD13E" w:rsidR="00DD7C5D" w:rsidRDefault="00DD7C5D" w:rsidP="00DD7C5D">
      <w:pPr>
        <w:rPr>
          <w:rFonts w:cs="Segoe UI"/>
        </w:rPr>
      </w:pPr>
    </w:p>
    <w:p w14:paraId="307C4DDD" w14:textId="77777777" w:rsidR="00E52A8E" w:rsidRDefault="00E52A8E" w:rsidP="00E52A8E">
      <w:pPr>
        <w:rPr>
          <w:rFonts w:cs="Segoe UI"/>
        </w:rPr>
      </w:pPr>
    </w:p>
    <w:p w14:paraId="2BC3DE2B" w14:textId="77777777" w:rsidR="00E52A8E" w:rsidRPr="00DD7C5D" w:rsidRDefault="00E52A8E" w:rsidP="00E52A8E">
      <w:pPr>
        <w:rPr>
          <w:rFonts w:cs="Segoe UI"/>
          <w:b/>
          <w:bCs/>
        </w:rPr>
      </w:pPr>
      <w:r w:rsidRPr="0094083B">
        <w:rPr>
          <w:rFonts w:cs="Segoe UI"/>
          <w:b/>
          <w:bCs/>
          <w:highlight w:val="green"/>
        </w:rPr>
        <w:t>Option 1 – Concluded As Is (No Leasehold Interest)</w:t>
      </w:r>
    </w:p>
    <w:p w14:paraId="3018272C" w14:textId="1EC79336" w:rsidR="00E52A8E" w:rsidRPr="002B55EE" w:rsidRDefault="00E52A8E" w:rsidP="00E52A8E">
      <w:pPr>
        <w:pStyle w:val="Heading20"/>
        <w:rPr>
          <w:rFonts w:asciiTheme="minorHAnsi" w:hAnsiTheme="minorHAnsi" w:cs="Arial"/>
          <w:b w:val="0"/>
          <w:color w:val="1E4959"/>
          <w:spacing w:val="0"/>
          <w:kern w:val="20"/>
          <w:sz w:val="28"/>
          <w:szCs w:val="22"/>
        </w:rPr>
      </w:pPr>
      <w:r w:rsidRPr="002B55EE">
        <w:rPr>
          <w:rFonts w:asciiTheme="minorHAnsi" w:hAnsiTheme="minorHAnsi" w:cs="Arial"/>
          <w:b w:val="0"/>
          <w:color w:val="1E4959"/>
          <w:spacing w:val="0"/>
          <w:kern w:val="20"/>
          <w:sz w:val="28"/>
          <w:szCs w:val="22"/>
        </w:rPr>
        <w:t xml:space="preserve">Concluded </w:t>
      </w:r>
      <w:r>
        <w:rPr>
          <w:rFonts w:asciiTheme="minorHAnsi" w:hAnsiTheme="minorHAnsi" w:cs="Arial"/>
          <w:b w:val="0"/>
          <w:color w:val="1E4959"/>
          <w:spacing w:val="0"/>
          <w:kern w:val="20"/>
          <w:sz w:val="28"/>
          <w:szCs w:val="22"/>
        </w:rPr>
        <w:t>As Is</w:t>
      </w:r>
      <w:r w:rsidRPr="002B55EE">
        <w:rPr>
          <w:rFonts w:asciiTheme="minorHAnsi" w:hAnsiTheme="minorHAnsi" w:cs="Arial"/>
          <w:b w:val="0"/>
          <w:color w:val="1E4959"/>
          <w:spacing w:val="0"/>
          <w:kern w:val="20"/>
          <w:sz w:val="28"/>
          <w:szCs w:val="22"/>
        </w:rPr>
        <w:t xml:space="preserve"> Market Value</w:t>
      </w:r>
    </w:p>
    <w:p w14:paraId="29A389B8" w14:textId="77777777" w:rsidR="00E52A8E" w:rsidRPr="00E30CB4" w:rsidRDefault="00E52A8E" w:rsidP="00E52A8E">
      <w:pPr>
        <w:rPr>
          <w:rFonts w:cs="Arial"/>
          <w:szCs w:val="22"/>
        </w:rPr>
      </w:pPr>
      <w:r w:rsidRPr="00E52A8E">
        <w:rPr>
          <w:rFonts w:cs="Arial"/>
          <w:szCs w:val="22"/>
          <w:highlight w:val="yellow"/>
        </w:rPr>
        <w:t>Due to the strong appeal to an investor due to its leased status primary emphasis is placed on the Income Approach. Little weight is placed on the Sales Comparison Approach as the building is fully leased and thus, not available for an owner-occupant.  Note that the large spread in values is representative of the delta in pricing between what an owner / partial owner-user would be willing to pay for the subject property versus what an investor would be willing to pay as currently fully leased.  This spread is typical of the market and illustrates the challenge for investors in competing for industrial properties that are not encumbered by long-term leases  In effect, properties like the subject are worth more as vacant than as leased.  However, since the subject is a leased investment, primary emphasis must be placed on the Income Approach for reconciliation purposes.</w:t>
      </w:r>
    </w:p>
    <w:p w14:paraId="01E71D4E" w14:textId="77777777" w:rsidR="00E52A8E" w:rsidRDefault="00E52A8E" w:rsidP="00E52A8E">
      <w:pPr>
        <w:suppressAutoHyphens/>
      </w:pPr>
    </w:p>
    <w:p w14:paraId="1A5BFB6D" w14:textId="7F1E87E6" w:rsidR="00E52A8E" w:rsidRDefault="00E52A8E" w:rsidP="00E52A8E">
      <w:pPr>
        <w:suppressAutoHyphens/>
      </w:pPr>
      <w:r w:rsidRPr="00E52A8E">
        <w:t>Based on our market rent analysis, the contract rent</w:t>
      </w:r>
      <w:r>
        <w:t xml:space="preserve"> </w:t>
      </w:r>
      <w:r w:rsidRPr="00E52A8E">
        <w:t>for the subject tenant</w:t>
      </w:r>
      <w:r>
        <w:t xml:space="preserve"> </w:t>
      </w:r>
      <w:r w:rsidRPr="00E52A8E">
        <w:t>is</w:t>
      </w:r>
      <w:r>
        <w:t xml:space="preserve"> </w:t>
      </w:r>
      <w:r w:rsidRPr="00E52A8E">
        <w:t>considered reasonably close to market with no measurable leasehold interest noted.  Therefore, the market value of</w:t>
      </w:r>
      <w:r>
        <w:t xml:space="preserve"> </w:t>
      </w:r>
      <w:r w:rsidRPr="00E52A8E">
        <w:t>the subject leased fee and fee simple interests is considered equal to one-another.</w:t>
      </w:r>
    </w:p>
    <w:p w14:paraId="55C94004" w14:textId="77777777" w:rsidR="00E52A8E" w:rsidRPr="005558CA" w:rsidRDefault="00E52A8E" w:rsidP="00E52A8E">
      <w:pPr>
        <w:suppressAutoHyphens/>
      </w:pPr>
    </w:p>
    <w:p w14:paraId="5671F577" w14:textId="6BA79ACE" w:rsidR="00E52A8E" w:rsidRPr="00AD4358" w:rsidRDefault="00E52A8E" w:rsidP="00E52A8E">
      <w:r w:rsidRPr="00AD4358">
        <w:t xml:space="preserve">Based on the preceding, the </w:t>
      </w:r>
      <w:r>
        <w:rPr>
          <w:b/>
        </w:rPr>
        <w:t>f</w:t>
      </w:r>
      <w:r w:rsidRPr="00AD4358">
        <w:rPr>
          <w:b/>
        </w:rPr>
        <w:t xml:space="preserve">inal </w:t>
      </w:r>
      <w:r>
        <w:rPr>
          <w:b/>
        </w:rPr>
        <w:t>c</w:t>
      </w:r>
      <w:r w:rsidRPr="00AD4358">
        <w:rPr>
          <w:b/>
        </w:rPr>
        <w:t xml:space="preserve">oncluded </w:t>
      </w:r>
      <w:r>
        <w:rPr>
          <w:b/>
        </w:rPr>
        <w:t>a</w:t>
      </w:r>
      <w:r w:rsidRPr="00AD4358">
        <w:rPr>
          <w:b/>
        </w:rPr>
        <w:t xml:space="preserve">s </w:t>
      </w:r>
      <w:r>
        <w:rPr>
          <w:b/>
        </w:rPr>
        <w:t>i</w:t>
      </w:r>
      <w:r w:rsidRPr="00AD4358">
        <w:rPr>
          <w:b/>
        </w:rPr>
        <w:t xml:space="preserve">s </w:t>
      </w:r>
      <w:r>
        <w:rPr>
          <w:b/>
        </w:rPr>
        <w:t>m</w:t>
      </w:r>
      <w:r w:rsidRPr="00AD4358">
        <w:rPr>
          <w:b/>
        </w:rPr>
        <w:t xml:space="preserve">arket </w:t>
      </w:r>
      <w:r>
        <w:rPr>
          <w:b/>
        </w:rPr>
        <w:t>v</w:t>
      </w:r>
      <w:r w:rsidRPr="00AD4358">
        <w:rPr>
          <w:b/>
        </w:rPr>
        <w:t>alue</w:t>
      </w:r>
      <w:r w:rsidRPr="00AD4358">
        <w:t xml:space="preserve"> of the </w:t>
      </w:r>
      <w:sdt>
        <w:sdtPr>
          <w:rPr>
            <w:rFonts w:cs="Arial"/>
            <w:szCs w:val="22"/>
            <w:highlight w:val="green"/>
          </w:rPr>
          <w:alias w:val="Property Interest"/>
          <w:tag w:val="Property Interest"/>
          <w:id w:val="2050036897"/>
          <w:placeholder>
            <w:docPart w:val="7B275A2AE3344D85A37A3B8FD32D8721"/>
          </w:placeholder>
          <w:dropDownList>
            <w:listItem w:value="Choose an item."/>
            <w:listItem w:displayText="fee simple" w:value="fee simple"/>
            <w:listItem w:displayText="leased fee" w:value="leased fee"/>
          </w:dropDownList>
        </w:sdtPr>
        <w:sdtEndPr/>
        <w:sdtContent>
          <w:r>
            <w:rPr>
              <w:rFonts w:cs="Arial"/>
              <w:szCs w:val="22"/>
              <w:highlight w:val="green"/>
            </w:rPr>
            <w:t>fee simple</w:t>
          </w:r>
        </w:sdtContent>
      </w:sdt>
      <w:r>
        <w:rPr>
          <w:rFonts w:cs="Arial"/>
          <w:szCs w:val="22"/>
        </w:rPr>
        <w:t xml:space="preserve"> </w:t>
      </w:r>
      <w:r w:rsidRPr="00AD4358">
        <w:t xml:space="preserve">interest in the subject property, as of </w:t>
      </w:r>
      <w:r w:rsidR="00053A4C">
        <w:t>${</w:t>
      </w:r>
      <w:r w:rsidR="00053A4C" w:rsidRPr="00053A4C">
        <w:t>eff_date_value</w:t>
      </w:r>
      <w:r w:rsidR="00053A4C">
        <w:t>}</w:t>
      </w:r>
      <w:r>
        <w:t>,</w:t>
      </w:r>
      <w:r w:rsidRPr="00AD4358">
        <w:t xml:space="preserve"> is as follows: </w:t>
      </w:r>
    </w:p>
    <w:p w14:paraId="20FEEB80" w14:textId="510400B1" w:rsidR="00E52A8E" w:rsidRDefault="00E52A8E" w:rsidP="00E52A8E">
      <w:pPr>
        <w:rPr>
          <w:rFonts w:cs="Segoe UI"/>
        </w:rPr>
      </w:pPr>
    </w:p>
    <w:p w14:paraId="219B5DF8" w14:textId="6070BA80" w:rsidR="00354F90" w:rsidRDefault="00354F90" w:rsidP="00E52A8E">
      <w:pPr>
        <w:rPr>
          <w:rFonts w:cs="Segoe UI"/>
        </w:rPr>
      </w:pPr>
    </w:p>
    <w:p w14:paraId="4A23E263" w14:textId="77777777" w:rsidR="00354F90" w:rsidRPr="00975A26" w:rsidRDefault="00354F90" w:rsidP="00E52A8E">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90"/>
        <w:gridCol w:w="1779"/>
      </w:tblGrid>
      <w:tr w:rsidR="00E52A8E" w:rsidRPr="000754FA" w14:paraId="6AF6CCF5" w14:textId="77777777" w:rsidTr="00A16296">
        <w:trPr>
          <w:jc w:val="center"/>
        </w:trPr>
        <w:tc>
          <w:tcPr>
            <w:tcW w:w="5490" w:type="dxa"/>
            <w:tcBorders>
              <w:bottom w:val="single" w:sz="24" w:space="0" w:color="3FB44F"/>
            </w:tcBorders>
            <w:shd w:val="clear" w:color="auto" w:fill="1E4959"/>
          </w:tcPr>
          <w:p w14:paraId="6E9D5DE5" w14:textId="77777777" w:rsidR="00E52A8E" w:rsidRPr="000754FA" w:rsidRDefault="00E52A8E"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779" w:type="dxa"/>
            <w:tcBorders>
              <w:bottom w:val="single" w:sz="24" w:space="0" w:color="3FB44F"/>
            </w:tcBorders>
            <w:shd w:val="clear" w:color="auto" w:fill="1E4959"/>
          </w:tcPr>
          <w:p w14:paraId="26281693" w14:textId="77777777" w:rsidR="00E52A8E" w:rsidRPr="000754FA" w:rsidRDefault="00E52A8E" w:rsidP="00A16296">
            <w:pPr>
              <w:widowControl w:val="0"/>
              <w:tabs>
                <w:tab w:val="left" w:pos="0"/>
                <w:tab w:val="left" w:pos="259"/>
                <w:tab w:val="left" w:pos="518"/>
              </w:tabs>
              <w:spacing w:line="273" w:lineRule="exact"/>
              <w:jc w:val="right"/>
              <w:rPr>
                <w:rFonts w:cs="Arial"/>
                <w:szCs w:val="22"/>
              </w:rPr>
            </w:pPr>
          </w:p>
        </w:tc>
      </w:tr>
      <w:tr w:rsidR="00E52A8E" w:rsidRPr="00061DC5" w14:paraId="0ECB5615" w14:textId="77777777" w:rsidTr="00A16296">
        <w:trPr>
          <w:jc w:val="center"/>
        </w:trPr>
        <w:tc>
          <w:tcPr>
            <w:tcW w:w="5490" w:type="dxa"/>
            <w:tcBorders>
              <w:top w:val="single" w:sz="6" w:space="0" w:color="auto"/>
              <w:bottom w:val="double" w:sz="4" w:space="0" w:color="auto"/>
              <w:right w:val="single" w:sz="6" w:space="0" w:color="auto"/>
            </w:tcBorders>
          </w:tcPr>
          <w:p w14:paraId="1921BEC1" w14:textId="055A3161" w:rsidR="00E52A8E" w:rsidRPr="005558CA" w:rsidRDefault="00E52A8E" w:rsidP="00A16296">
            <w:pPr>
              <w:pStyle w:val="Footer"/>
              <w:tabs>
                <w:tab w:val="clear" w:pos="4320"/>
                <w:tab w:val="clear" w:pos="8640"/>
                <w:tab w:val="left" w:pos="0"/>
                <w:tab w:val="left" w:pos="259"/>
                <w:tab w:val="left" w:pos="518"/>
              </w:tabs>
              <w:spacing w:line="440" w:lineRule="exact"/>
              <w:rPr>
                <w:rFonts w:cs="Segoe UI"/>
                <w:b/>
              </w:rPr>
            </w:pPr>
            <w:r w:rsidRPr="005558CA">
              <w:rPr>
                <w:rFonts w:cs="Segoe UI"/>
                <w:b/>
              </w:rPr>
              <w:t xml:space="preserve">Concluded </w:t>
            </w:r>
            <w:r>
              <w:rPr>
                <w:rFonts w:cs="Segoe UI"/>
                <w:b/>
              </w:rPr>
              <w:t xml:space="preserve">As Is </w:t>
            </w:r>
            <w:r w:rsidRPr="005558CA">
              <w:rPr>
                <w:rFonts w:cs="Segoe UI"/>
                <w:b/>
              </w:rPr>
              <w:t>Market Value</w:t>
            </w:r>
          </w:p>
        </w:tc>
        <w:tc>
          <w:tcPr>
            <w:tcW w:w="1779" w:type="dxa"/>
            <w:tcBorders>
              <w:top w:val="single" w:sz="6" w:space="0" w:color="auto"/>
              <w:left w:val="nil"/>
              <w:bottom w:val="double" w:sz="4" w:space="0" w:color="auto"/>
            </w:tcBorders>
          </w:tcPr>
          <w:p w14:paraId="3E9FAD62" w14:textId="77777777" w:rsidR="00E52A8E" w:rsidRPr="00061DC5" w:rsidRDefault="00E52A8E" w:rsidP="00A16296">
            <w:pPr>
              <w:widowControl w:val="0"/>
              <w:tabs>
                <w:tab w:val="left" w:pos="0"/>
                <w:tab w:val="left" w:pos="259"/>
                <w:tab w:val="left" w:pos="518"/>
              </w:tabs>
              <w:spacing w:after="58" w:line="480" w:lineRule="exact"/>
              <w:jc w:val="center"/>
              <w:rPr>
                <w:rFonts w:cs="Arial"/>
                <w:szCs w:val="22"/>
              </w:rPr>
            </w:pPr>
            <w:r w:rsidRPr="0061753F">
              <w:rPr>
                <w:rFonts w:cs="Arial"/>
                <w:b/>
                <w:szCs w:val="22"/>
                <w:highlight w:val="yellow"/>
              </w:rPr>
              <w:t>$____</w:t>
            </w:r>
            <w:r>
              <w:rPr>
                <w:rFonts w:cs="Arial"/>
                <w:b/>
                <w:szCs w:val="22"/>
                <w:highlight w:val="yellow"/>
              </w:rPr>
              <w:t>___</w:t>
            </w:r>
            <w:r w:rsidRPr="0061753F">
              <w:rPr>
                <w:rFonts w:cs="Arial"/>
                <w:b/>
                <w:szCs w:val="22"/>
                <w:highlight w:val="yellow"/>
              </w:rPr>
              <w:t>_____</w:t>
            </w:r>
          </w:p>
        </w:tc>
      </w:tr>
    </w:tbl>
    <w:p w14:paraId="29B21010" w14:textId="3DBDB186" w:rsidR="00E52A8E" w:rsidRDefault="00E52A8E" w:rsidP="00E52A8E">
      <w:pPr>
        <w:rPr>
          <w:rFonts w:cs="Segoe UI"/>
        </w:rPr>
      </w:pPr>
    </w:p>
    <w:p w14:paraId="6B7E8C37" w14:textId="77777777" w:rsidR="006807F5" w:rsidRDefault="006807F5" w:rsidP="006807F5">
      <w:pPr>
        <w:rPr>
          <w:rFonts w:cs="Segoe UI"/>
        </w:rPr>
      </w:pPr>
    </w:p>
    <w:p w14:paraId="70D5FE02" w14:textId="00120E3A" w:rsidR="006807F5" w:rsidRPr="00DD7C5D" w:rsidRDefault="006807F5" w:rsidP="006807F5">
      <w:pPr>
        <w:rPr>
          <w:rFonts w:cs="Segoe UI"/>
          <w:b/>
          <w:bCs/>
        </w:rPr>
      </w:pPr>
      <w:r w:rsidRPr="0094083B">
        <w:rPr>
          <w:rFonts w:cs="Segoe UI"/>
          <w:b/>
          <w:bCs/>
          <w:highlight w:val="green"/>
        </w:rPr>
        <w:t>Option 2 – Concluded As Is (Measurable Leasehold Interest)</w:t>
      </w:r>
    </w:p>
    <w:p w14:paraId="3871FE87" w14:textId="77777777" w:rsidR="00DD7C5D" w:rsidRPr="002B55EE" w:rsidRDefault="00DD7C5D" w:rsidP="00DD7C5D">
      <w:pPr>
        <w:pStyle w:val="Heading20"/>
        <w:rPr>
          <w:rFonts w:asciiTheme="minorHAnsi" w:hAnsiTheme="minorHAnsi" w:cs="Arial"/>
          <w:b w:val="0"/>
          <w:color w:val="1E4959"/>
          <w:spacing w:val="0"/>
          <w:kern w:val="20"/>
          <w:sz w:val="28"/>
          <w:szCs w:val="22"/>
        </w:rPr>
      </w:pPr>
      <w:r w:rsidRPr="002B55EE">
        <w:rPr>
          <w:rFonts w:asciiTheme="minorHAnsi" w:hAnsiTheme="minorHAnsi" w:cs="Arial"/>
          <w:b w:val="0"/>
          <w:color w:val="1E4959"/>
          <w:spacing w:val="0"/>
          <w:kern w:val="20"/>
          <w:sz w:val="28"/>
          <w:szCs w:val="22"/>
        </w:rPr>
        <w:t>Concluded Stabilized Market Value</w:t>
      </w:r>
    </w:p>
    <w:p w14:paraId="237CBF87" w14:textId="77777777" w:rsidR="006807F5" w:rsidRDefault="006807F5" w:rsidP="006807F5">
      <w:pPr>
        <w:rPr>
          <w:rFonts w:cs="Arial"/>
          <w:szCs w:val="22"/>
        </w:rPr>
      </w:pPr>
      <w:r w:rsidRPr="00B72FF6">
        <w:rPr>
          <w:rFonts w:cs="Arial"/>
          <w:szCs w:val="22"/>
        </w:rPr>
        <w:t>Primary emphasis is placed on the Income Approach due to the subject’s leased status (</w:t>
      </w:r>
      <w:r w:rsidRPr="006807F5">
        <w:rPr>
          <w:rFonts w:cs="Arial"/>
          <w:szCs w:val="22"/>
          <w:highlight w:val="yellow"/>
        </w:rPr>
        <w:t>2 years / 9 months remaining</w:t>
      </w:r>
      <w:r w:rsidRPr="00B72FF6">
        <w:rPr>
          <w:rFonts w:cs="Arial"/>
          <w:szCs w:val="22"/>
        </w:rPr>
        <w:t>), which is further supported given that the rent comparables, vacancy statistics, and cap rate data were also considered relatively reliable.  Note that if the subject property were vacant, it would have good owner-user appeal, and given the reasonable credibility of a number of the noted local improved sales to owner-owner-users would suggest that if the subject tenant were to vacate at the end of its lease, the reversionary sale potential of the subject would be closer to the value indicated via the Sales Comparison Approach. Discussions with local brokers indicate most owner users would only be willing to wait up to 12 months to buy / occupy a property like the subject</w:t>
      </w:r>
      <w:r w:rsidRPr="00354F90">
        <w:rPr>
          <w:rFonts w:cs="Arial"/>
          <w:szCs w:val="22"/>
          <w:highlight w:val="yellow"/>
        </w:rPr>
        <w:t>. Thus, since the tenant still has 2 years / 9 months remaining, only weak secondary emphasis is given to this method for reconciliation purposes</w:t>
      </w:r>
      <w:r w:rsidRPr="00B72FF6">
        <w:rPr>
          <w:rFonts w:cs="Arial"/>
          <w:szCs w:val="22"/>
        </w:rPr>
        <w:t>.</w:t>
      </w:r>
    </w:p>
    <w:p w14:paraId="03CC5173" w14:textId="77777777" w:rsidR="006807F5" w:rsidRDefault="006807F5" w:rsidP="006807F5">
      <w:pPr>
        <w:pStyle w:val="Style1"/>
        <w:widowControl/>
        <w:tabs>
          <w:tab w:val="clear" w:pos="4680"/>
        </w:tabs>
      </w:pPr>
    </w:p>
    <w:p w14:paraId="505D4D1E" w14:textId="37CBB2E8" w:rsidR="006807F5" w:rsidRDefault="006807F5" w:rsidP="006807F5">
      <w:pPr>
        <w:rPr>
          <w:rFonts w:ascii="Calibri" w:hAnsi="Calibri" w:cs="Calibri"/>
          <w:szCs w:val="22"/>
        </w:rPr>
      </w:pPr>
      <w:r>
        <w:t xml:space="preserve">As previously, discussed, </w:t>
      </w:r>
      <w:r w:rsidRPr="003664B6">
        <w:t>the tenant</w:t>
      </w:r>
      <w:r>
        <w:t>’</w:t>
      </w:r>
      <w:r w:rsidRPr="003664B6">
        <w:t xml:space="preserve">s contract rent and continued escalations are considered at </w:t>
      </w:r>
      <w:sdt>
        <w:sdtPr>
          <w:rPr>
            <w:highlight w:val="green"/>
          </w:rPr>
          <w:alias w:val="Above - Below"/>
          <w:tag w:val="Above - Below"/>
          <w:id w:val="-1208180669"/>
          <w:placeholder>
            <w:docPart w:val="DefaultPlaceholder_-1854013438"/>
          </w:placeholder>
          <w:dropDownList>
            <w:listItem w:value="Choose an item."/>
            <w:listItem w:displayText="below" w:value="below"/>
            <w:listItem w:displayText="above" w:value="above"/>
          </w:dropDownList>
        </w:sdtPr>
        <w:sdtEndPr/>
        <w:sdtContent>
          <w:r w:rsidRPr="006807F5">
            <w:rPr>
              <w:highlight w:val="green"/>
            </w:rPr>
            <w:t>below</w:t>
          </w:r>
        </w:sdtContent>
      </w:sdt>
      <w:r w:rsidRPr="003664B6">
        <w:t xml:space="preserve"> market with a measurable </w:t>
      </w:r>
      <w:sdt>
        <w:sdtPr>
          <w:rPr>
            <w:highlight w:val="green"/>
          </w:rPr>
          <w:alias w:val="LH Interest"/>
          <w:tag w:val="LH Interest"/>
          <w:id w:val="1966924468"/>
          <w:placeholder>
            <w:docPart w:val="DefaultPlaceholder_-1854013438"/>
          </w:placeholder>
          <w:dropDownList>
            <w:listItem w:value="Choose an item."/>
            <w:listItem w:displayText="positive" w:value="positive"/>
            <w:listItem w:displayText="negative" w:value="negative"/>
          </w:dropDownList>
        </w:sdtPr>
        <w:sdtEndPr/>
        <w:sdtContent>
          <w:r w:rsidRPr="006807F5">
            <w:rPr>
              <w:highlight w:val="green"/>
            </w:rPr>
            <w:t>positive</w:t>
          </w:r>
        </w:sdtContent>
      </w:sdt>
      <w:r w:rsidRPr="003664B6">
        <w:t xml:space="preserve"> leasehold interest noted. Therefore, the </w:t>
      </w:r>
      <w:r>
        <w:t xml:space="preserve">market </w:t>
      </w:r>
      <w:r w:rsidRPr="003664B6">
        <w:rPr>
          <w:rFonts w:ascii="Calibri" w:hAnsi="Calibri" w:cs="Calibri"/>
          <w:szCs w:val="22"/>
        </w:rPr>
        <w:t xml:space="preserve">value of fee simple interest is </w:t>
      </w:r>
      <w:sdt>
        <w:sdtPr>
          <w:rPr>
            <w:rFonts w:ascii="Calibri" w:hAnsi="Calibri" w:cs="Calibri"/>
            <w:szCs w:val="22"/>
            <w:highlight w:val="green"/>
          </w:rPr>
          <w:alias w:val="Greater or Less"/>
          <w:tag w:val="Greater or Less"/>
          <w:id w:val="959846180"/>
          <w:placeholder>
            <w:docPart w:val="DefaultPlaceholder_-1854013438"/>
          </w:placeholder>
          <w:dropDownList>
            <w:listItem w:value="Choose an item."/>
            <w:listItem w:displayText="greater" w:value="greater"/>
            <w:listItem w:displayText="less" w:value="less"/>
          </w:dropDownList>
        </w:sdtPr>
        <w:sdtEndPr/>
        <w:sdtContent>
          <w:r w:rsidRPr="006807F5">
            <w:rPr>
              <w:rFonts w:ascii="Calibri" w:hAnsi="Calibri" w:cs="Calibri"/>
              <w:szCs w:val="22"/>
              <w:highlight w:val="green"/>
            </w:rPr>
            <w:t>greater</w:t>
          </w:r>
        </w:sdtContent>
      </w:sdt>
      <w:r w:rsidRPr="003664B6">
        <w:rPr>
          <w:rFonts w:ascii="Calibri" w:hAnsi="Calibri" w:cs="Calibri"/>
          <w:szCs w:val="22"/>
        </w:rPr>
        <w:t xml:space="preserve"> than the leased fee interest.</w:t>
      </w:r>
    </w:p>
    <w:p w14:paraId="310DA691" w14:textId="77777777" w:rsidR="00E52A8E" w:rsidRPr="005558CA" w:rsidRDefault="00E52A8E" w:rsidP="00DD7C5D">
      <w:pPr>
        <w:suppressAutoHyphens/>
      </w:pPr>
    </w:p>
    <w:p w14:paraId="42B78F9D" w14:textId="11321274" w:rsidR="00DD7C5D" w:rsidRPr="00D7083B" w:rsidRDefault="00DD7C5D" w:rsidP="00DD7C5D">
      <w:pPr>
        <w:rPr>
          <w:rFonts w:cs="Arial"/>
          <w:szCs w:val="22"/>
        </w:rPr>
      </w:pPr>
      <w:r w:rsidRPr="005558CA">
        <w:rPr>
          <w:rFonts w:cs="Arial"/>
          <w:szCs w:val="22"/>
        </w:rPr>
        <w:t>Based</w:t>
      </w:r>
      <w:r w:rsidRPr="00D7083B">
        <w:rPr>
          <w:rFonts w:cs="Arial"/>
          <w:szCs w:val="22"/>
        </w:rPr>
        <w:t xml:space="preserve"> on the </w:t>
      </w:r>
      <w:r w:rsidRPr="00E74DEC">
        <w:rPr>
          <w:rFonts w:cs="Arial"/>
          <w:szCs w:val="22"/>
        </w:rPr>
        <w:t xml:space="preserve">research, analyses and conclusions contained within this report, it is the appraiser’s opinion that the </w:t>
      </w:r>
      <w:r w:rsidRPr="00E74DEC">
        <w:rPr>
          <w:rFonts w:cs="Arial"/>
          <w:b/>
          <w:szCs w:val="22"/>
        </w:rPr>
        <w:t xml:space="preserve">concluded </w:t>
      </w:r>
      <w:r>
        <w:rPr>
          <w:rFonts w:cs="Arial"/>
          <w:b/>
          <w:szCs w:val="22"/>
        </w:rPr>
        <w:t>stabilized</w:t>
      </w:r>
      <w:r w:rsidRPr="00E74DEC">
        <w:rPr>
          <w:rFonts w:cs="Arial"/>
          <w:b/>
          <w:szCs w:val="22"/>
        </w:rPr>
        <w:t xml:space="preserve"> market </w:t>
      </w:r>
      <w:r w:rsidRPr="0079183E">
        <w:rPr>
          <w:rFonts w:cs="Arial"/>
          <w:b/>
          <w:szCs w:val="22"/>
        </w:rPr>
        <w:t xml:space="preserve">value </w:t>
      </w:r>
      <w:r w:rsidRPr="0079183E">
        <w:rPr>
          <w:rFonts w:cs="Arial"/>
          <w:szCs w:val="22"/>
        </w:rPr>
        <w:t xml:space="preserve">of the </w:t>
      </w:r>
      <w:sdt>
        <w:sdtPr>
          <w:rPr>
            <w:rFonts w:cs="Arial"/>
            <w:szCs w:val="22"/>
            <w:highlight w:val="green"/>
          </w:rPr>
          <w:alias w:val="Property Interest"/>
          <w:tag w:val="Property Interest"/>
          <w:id w:val="97071755"/>
          <w:placeholder>
            <w:docPart w:val="28DD729962ED4A0489880C9486F64AEA"/>
          </w:placeholder>
          <w:dropDownList>
            <w:listItem w:value="Choose an item."/>
            <w:listItem w:displayText="fee simple" w:value="fee simple"/>
            <w:listItem w:displayText="leased fee" w:value="leased fee"/>
          </w:dropDownList>
        </w:sdtPr>
        <w:sdtEndPr/>
        <w:sdtContent>
          <w:r w:rsidR="001B7DC3">
            <w:rPr>
              <w:rFonts w:cs="Arial"/>
              <w:szCs w:val="22"/>
              <w:highlight w:val="green"/>
            </w:rPr>
            <w:t>fee simple</w:t>
          </w:r>
        </w:sdtContent>
      </w:sdt>
      <w:r>
        <w:rPr>
          <w:rFonts w:cs="Arial"/>
          <w:szCs w:val="22"/>
        </w:rPr>
        <w:t xml:space="preserve"> </w:t>
      </w:r>
      <w:r w:rsidRPr="0079183E">
        <w:rPr>
          <w:rFonts w:cs="Arial"/>
          <w:szCs w:val="22"/>
        </w:rPr>
        <w:t xml:space="preserve">interest in the </w:t>
      </w:r>
      <w:r w:rsidRPr="001B7DC3">
        <w:rPr>
          <w:rFonts w:cs="Arial"/>
          <w:b/>
          <w:bCs/>
          <w:szCs w:val="22"/>
        </w:rPr>
        <w:t>subject property</w:t>
      </w:r>
      <w:r w:rsidRPr="0079183E">
        <w:rPr>
          <w:rFonts w:cs="Arial"/>
          <w:szCs w:val="22"/>
        </w:rPr>
        <w:t xml:space="preserve"> </w:t>
      </w:r>
      <w:r>
        <w:rPr>
          <w:rFonts w:cs="Arial"/>
          <w:szCs w:val="22"/>
        </w:rPr>
        <w:t>is as follows</w:t>
      </w:r>
      <w:r w:rsidRPr="0079183E">
        <w:rPr>
          <w:rFonts w:cs="Arial"/>
          <w:szCs w:val="22"/>
        </w:rPr>
        <w:t>:</w:t>
      </w:r>
    </w:p>
    <w:p w14:paraId="170D44AB" w14:textId="77777777" w:rsidR="00DD7C5D" w:rsidRPr="00975A26" w:rsidRDefault="00DD7C5D" w:rsidP="00DD7C5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940"/>
        <w:gridCol w:w="2070"/>
      </w:tblGrid>
      <w:tr w:rsidR="00DD7C5D" w:rsidRPr="000754FA" w14:paraId="371345F7" w14:textId="77777777" w:rsidTr="006807F5">
        <w:trPr>
          <w:jc w:val="center"/>
        </w:trPr>
        <w:tc>
          <w:tcPr>
            <w:tcW w:w="5940" w:type="dxa"/>
            <w:tcBorders>
              <w:bottom w:val="single" w:sz="24" w:space="0" w:color="3FB44F"/>
            </w:tcBorders>
            <w:shd w:val="clear" w:color="auto" w:fill="1E4959"/>
          </w:tcPr>
          <w:p w14:paraId="7310044C" w14:textId="77777777" w:rsidR="00DD7C5D" w:rsidRPr="000754FA" w:rsidRDefault="00DD7C5D"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2070" w:type="dxa"/>
            <w:tcBorders>
              <w:bottom w:val="single" w:sz="24" w:space="0" w:color="3FB44F"/>
            </w:tcBorders>
            <w:shd w:val="clear" w:color="auto" w:fill="1E4959"/>
          </w:tcPr>
          <w:p w14:paraId="4881CFF2" w14:textId="77777777" w:rsidR="00DD7C5D" w:rsidRPr="000754FA" w:rsidRDefault="00DD7C5D" w:rsidP="00A16296">
            <w:pPr>
              <w:widowControl w:val="0"/>
              <w:tabs>
                <w:tab w:val="left" w:pos="0"/>
                <w:tab w:val="left" w:pos="259"/>
                <w:tab w:val="left" w:pos="518"/>
              </w:tabs>
              <w:spacing w:line="273" w:lineRule="exact"/>
              <w:jc w:val="right"/>
              <w:rPr>
                <w:rFonts w:cs="Arial"/>
                <w:szCs w:val="22"/>
              </w:rPr>
            </w:pPr>
          </w:p>
        </w:tc>
      </w:tr>
      <w:tr w:rsidR="00DD7C5D" w:rsidRPr="00061DC5" w14:paraId="40CA7A3F" w14:textId="77777777" w:rsidTr="006807F5">
        <w:trPr>
          <w:jc w:val="center"/>
        </w:trPr>
        <w:tc>
          <w:tcPr>
            <w:tcW w:w="5940" w:type="dxa"/>
            <w:tcBorders>
              <w:top w:val="single" w:sz="6" w:space="0" w:color="auto"/>
              <w:bottom w:val="double" w:sz="4" w:space="0" w:color="auto"/>
              <w:right w:val="single" w:sz="6" w:space="0" w:color="auto"/>
            </w:tcBorders>
          </w:tcPr>
          <w:p w14:paraId="796FE068" w14:textId="53BA13EC" w:rsidR="00DD7C5D" w:rsidRPr="005558CA" w:rsidRDefault="00DD7C5D" w:rsidP="00A16296">
            <w:pPr>
              <w:pStyle w:val="Footer"/>
              <w:tabs>
                <w:tab w:val="clear" w:pos="4320"/>
                <w:tab w:val="clear" w:pos="8640"/>
                <w:tab w:val="left" w:pos="0"/>
                <w:tab w:val="left" w:pos="259"/>
                <w:tab w:val="left" w:pos="518"/>
              </w:tabs>
              <w:spacing w:line="440" w:lineRule="exact"/>
              <w:rPr>
                <w:rFonts w:cs="Segoe UI"/>
                <w:b/>
              </w:rPr>
            </w:pPr>
            <w:r w:rsidRPr="005558CA">
              <w:rPr>
                <w:rFonts w:cs="Segoe UI"/>
                <w:b/>
              </w:rPr>
              <w:t xml:space="preserve">Concluded </w:t>
            </w:r>
            <w:r>
              <w:rPr>
                <w:rFonts w:cs="Segoe UI"/>
                <w:b/>
              </w:rPr>
              <w:t xml:space="preserve">Stabilized </w:t>
            </w:r>
            <w:r w:rsidRPr="005558CA">
              <w:rPr>
                <w:rFonts w:cs="Segoe UI"/>
                <w:b/>
              </w:rPr>
              <w:t>Market Value</w:t>
            </w:r>
            <w:r w:rsidR="006807F5" w:rsidRPr="006551F9">
              <w:rPr>
                <w:b/>
              </w:rPr>
              <w:t>- Fee Simple</w:t>
            </w:r>
          </w:p>
        </w:tc>
        <w:tc>
          <w:tcPr>
            <w:tcW w:w="2070" w:type="dxa"/>
            <w:tcBorders>
              <w:top w:val="single" w:sz="6" w:space="0" w:color="auto"/>
              <w:left w:val="nil"/>
              <w:bottom w:val="double" w:sz="4" w:space="0" w:color="auto"/>
            </w:tcBorders>
          </w:tcPr>
          <w:p w14:paraId="5400E127" w14:textId="0CF55790" w:rsidR="00DD7C5D" w:rsidRPr="00061DC5" w:rsidRDefault="00DD7C5D" w:rsidP="00A16296">
            <w:pPr>
              <w:widowControl w:val="0"/>
              <w:tabs>
                <w:tab w:val="left" w:pos="0"/>
                <w:tab w:val="left" w:pos="259"/>
                <w:tab w:val="left" w:pos="518"/>
              </w:tabs>
              <w:spacing w:after="58" w:line="480" w:lineRule="exact"/>
              <w:jc w:val="center"/>
              <w:rPr>
                <w:rFonts w:cs="Arial"/>
                <w:szCs w:val="22"/>
              </w:rPr>
            </w:pPr>
            <w:r w:rsidRPr="0061753F">
              <w:rPr>
                <w:rFonts w:cs="Arial"/>
                <w:b/>
                <w:szCs w:val="22"/>
                <w:highlight w:val="yellow"/>
              </w:rPr>
              <w:t>$____</w:t>
            </w:r>
            <w:r>
              <w:rPr>
                <w:rFonts w:cs="Arial"/>
                <w:b/>
                <w:szCs w:val="22"/>
                <w:highlight w:val="yellow"/>
              </w:rPr>
              <w:t>___</w:t>
            </w:r>
            <w:r w:rsidRPr="0061753F">
              <w:rPr>
                <w:rFonts w:cs="Arial"/>
                <w:b/>
                <w:szCs w:val="22"/>
                <w:highlight w:val="yellow"/>
              </w:rPr>
              <w:t>_____</w:t>
            </w:r>
          </w:p>
        </w:tc>
      </w:tr>
    </w:tbl>
    <w:p w14:paraId="3F816798" w14:textId="77777777" w:rsidR="006807F5" w:rsidRPr="00E30CB4" w:rsidRDefault="006807F5" w:rsidP="006807F5">
      <w:pPr>
        <w:pStyle w:val="Heading20"/>
        <w:rPr>
          <w:rFonts w:asciiTheme="minorHAnsi" w:hAnsiTheme="minorHAnsi" w:cs="Arial"/>
          <w:b w:val="0"/>
          <w:color w:val="1E4959"/>
          <w:spacing w:val="0"/>
          <w:kern w:val="20"/>
          <w:sz w:val="28"/>
          <w:szCs w:val="22"/>
        </w:rPr>
      </w:pPr>
      <w:r w:rsidRPr="00144E07">
        <w:rPr>
          <w:rFonts w:asciiTheme="minorHAnsi" w:hAnsiTheme="minorHAnsi" w:cs="Arial"/>
          <w:b w:val="0"/>
          <w:color w:val="1E4959"/>
          <w:spacing w:val="0"/>
          <w:kern w:val="20"/>
          <w:sz w:val="28"/>
          <w:szCs w:val="22"/>
        </w:rPr>
        <w:t>As Is Leased Fee Valuation</w:t>
      </w:r>
    </w:p>
    <w:p w14:paraId="62700D8E" w14:textId="1F97FAF8" w:rsidR="006807F5" w:rsidRPr="00144E07" w:rsidRDefault="006807F5" w:rsidP="006807F5">
      <w:pPr>
        <w:pStyle w:val="Style1"/>
        <w:widowControl/>
        <w:tabs>
          <w:tab w:val="clear" w:pos="4680"/>
        </w:tabs>
        <w:rPr>
          <w:rFonts w:cs="Segoe UI"/>
          <w:szCs w:val="22"/>
        </w:rPr>
      </w:pPr>
      <w:r>
        <w:t xml:space="preserve">As previously noted, </w:t>
      </w:r>
      <w:r>
        <w:rPr>
          <w:rFonts w:cs="Segoe UI"/>
          <w:szCs w:val="22"/>
        </w:rPr>
        <w:t>t</w:t>
      </w:r>
      <w:r w:rsidRPr="00144E07">
        <w:rPr>
          <w:rFonts w:cs="Segoe UI"/>
          <w:szCs w:val="22"/>
        </w:rPr>
        <w:t>he as is market value of the leased fee interest in the subject property represents the value of the subject property encumbered by the</w:t>
      </w:r>
      <w:r>
        <w:rPr>
          <w:rFonts w:cs="Segoe UI"/>
          <w:szCs w:val="22"/>
        </w:rPr>
        <w:t xml:space="preserve"> current arm’s length, </w:t>
      </w:r>
      <w:r w:rsidRPr="00144E07">
        <w:rPr>
          <w:rFonts w:cs="Segoe UI"/>
          <w:szCs w:val="22"/>
        </w:rPr>
        <w:t xml:space="preserve">tenant lease which </w:t>
      </w:r>
      <w:r>
        <w:rPr>
          <w:rFonts w:cs="Segoe UI"/>
          <w:szCs w:val="22"/>
        </w:rPr>
        <w:t>was</w:t>
      </w:r>
      <w:r w:rsidRPr="00144E07">
        <w:rPr>
          <w:rFonts w:cs="Segoe UI"/>
          <w:szCs w:val="22"/>
        </w:rPr>
        <w:t xml:space="preserve"> determined to be at </w:t>
      </w:r>
      <w:sdt>
        <w:sdtPr>
          <w:rPr>
            <w:rFonts w:cs="Segoe UI"/>
            <w:szCs w:val="22"/>
            <w:highlight w:val="green"/>
          </w:rPr>
          <w:alias w:val="Above or Below"/>
          <w:tag w:val="Above or Below"/>
          <w:id w:val="1661425412"/>
          <w:placeholder>
            <w:docPart w:val="DefaultPlaceholder_-1854013438"/>
          </w:placeholder>
          <w:dropDownList>
            <w:listItem w:value="Choose an item."/>
            <w:listItem w:displayText="a below " w:value="a below "/>
            <w:listItem w:displayText="an above" w:value="an above"/>
          </w:dropDownList>
        </w:sdtPr>
        <w:sdtEndPr/>
        <w:sdtContent>
          <w:r w:rsidR="00E0069E">
            <w:rPr>
              <w:rFonts w:cs="Segoe UI"/>
              <w:szCs w:val="22"/>
              <w:highlight w:val="green"/>
            </w:rPr>
            <w:t xml:space="preserve">a below </w:t>
          </w:r>
        </w:sdtContent>
      </w:sdt>
      <w:r w:rsidRPr="00144E07">
        <w:rPr>
          <w:rFonts w:cs="Segoe UI"/>
          <w:szCs w:val="22"/>
        </w:rPr>
        <w:t xml:space="preserve"> market rent resulting in a </w:t>
      </w:r>
      <w:r>
        <w:rPr>
          <w:rFonts w:cs="Segoe UI"/>
          <w:szCs w:val="22"/>
        </w:rPr>
        <w:t xml:space="preserve">measurable </w:t>
      </w:r>
      <w:sdt>
        <w:sdtPr>
          <w:rPr>
            <w:highlight w:val="green"/>
          </w:rPr>
          <w:alias w:val="LH Interest"/>
          <w:tag w:val="LH Interest"/>
          <w:id w:val="-1983837695"/>
          <w:placeholder>
            <w:docPart w:val="8493C13D906748A0A783F794A29E1179"/>
          </w:placeholder>
          <w:dropDownList>
            <w:listItem w:value="Choose an item."/>
            <w:listItem w:displayText="positive" w:value="positive"/>
            <w:listItem w:displayText="negative" w:value="negative"/>
          </w:dropDownList>
        </w:sdtPr>
        <w:sdtEndPr/>
        <w:sdtContent>
          <w:r w:rsidRPr="006807F5">
            <w:rPr>
              <w:highlight w:val="green"/>
            </w:rPr>
            <w:t>positive</w:t>
          </w:r>
        </w:sdtContent>
      </w:sdt>
      <w:r w:rsidRPr="003664B6">
        <w:t xml:space="preserve"> </w:t>
      </w:r>
      <w:r w:rsidRPr="00144E07">
        <w:rPr>
          <w:rFonts w:cs="Segoe UI"/>
          <w:szCs w:val="22"/>
        </w:rPr>
        <w:t>leasehold interest.</w:t>
      </w:r>
      <w:r>
        <w:rPr>
          <w:rFonts w:cs="Segoe UI"/>
          <w:szCs w:val="22"/>
        </w:rPr>
        <w:t xml:space="preserve"> </w:t>
      </w:r>
      <w:r w:rsidRPr="00144E07">
        <w:rPr>
          <w:rFonts w:cs="Segoe UI"/>
          <w:szCs w:val="22"/>
        </w:rPr>
        <w:t xml:space="preserve">The as is market value of the subject property is estimated by </w:t>
      </w:r>
      <w:sdt>
        <w:sdtPr>
          <w:rPr>
            <w:rFonts w:cs="Segoe UI"/>
            <w:szCs w:val="22"/>
            <w:highlight w:val="green"/>
          </w:rPr>
          <w:alias w:val="Add or Deduct"/>
          <w:tag w:val="Add or Deduct"/>
          <w:id w:val="1703049433"/>
          <w:placeholder>
            <w:docPart w:val="DefaultPlaceholder_-1854013438"/>
          </w:placeholder>
          <w:dropDownList>
            <w:listItem w:value="Choose an item."/>
            <w:listItem w:displayText="deducting" w:value="deducting"/>
            <w:listItem w:displayText="adding" w:value="adding"/>
          </w:dropDownList>
        </w:sdtPr>
        <w:sdtEndPr/>
        <w:sdtContent>
          <w:r w:rsidRPr="00E0069E">
            <w:rPr>
              <w:rFonts w:cs="Segoe UI"/>
              <w:szCs w:val="22"/>
              <w:highlight w:val="green"/>
            </w:rPr>
            <w:t>deducting</w:t>
          </w:r>
        </w:sdtContent>
      </w:sdt>
      <w:r w:rsidRPr="00144E07">
        <w:rPr>
          <w:rFonts w:cs="Segoe UI"/>
          <w:szCs w:val="22"/>
        </w:rPr>
        <w:t xml:space="preserve"> an allocation for the </w:t>
      </w:r>
      <w:sdt>
        <w:sdtPr>
          <w:rPr>
            <w:highlight w:val="green"/>
          </w:rPr>
          <w:alias w:val="LH Interest"/>
          <w:tag w:val="LH Interest"/>
          <w:id w:val="-1671785417"/>
          <w:placeholder>
            <w:docPart w:val="36232A2B2F5944FB8F3CEB76FD25B11E"/>
          </w:placeholder>
          <w:dropDownList>
            <w:listItem w:value="Choose an item."/>
            <w:listItem w:displayText="positive" w:value="positive"/>
            <w:listItem w:displayText="negative" w:value="negative"/>
          </w:dropDownList>
        </w:sdtPr>
        <w:sdtEndPr/>
        <w:sdtContent>
          <w:r w:rsidR="00E0069E" w:rsidRPr="006807F5">
            <w:rPr>
              <w:highlight w:val="green"/>
            </w:rPr>
            <w:t>positive</w:t>
          </w:r>
        </w:sdtContent>
      </w:sdt>
      <w:r w:rsidR="00E0069E" w:rsidRPr="003664B6">
        <w:t xml:space="preserve"> </w:t>
      </w:r>
      <w:r w:rsidRPr="00144E07">
        <w:rPr>
          <w:rFonts w:cs="Segoe UI"/>
          <w:szCs w:val="22"/>
        </w:rPr>
        <w:t>leasehold interest</w:t>
      </w:r>
      <w:r>
        <w:rPr>
          <w:rFonts w:cs="Segoe UI"/>
          <w:szCs w:val="22"/>
        </w:rPr>
        <w:t xml:space="preserve"> </w:t>
      </w:r>
      <w:sdt>
        <w:sdtPr>
          <w:rPr>
            <w:rFonts w:cs="Segoe UI"/>
            <w:szCs w:val="22"/>
            <w:highlight w:val="green"/>
          </w:rPr>
          <w:alias w:val="From or To"/>
          <w:tag w:val="From or To"/>
          <w:id w:val="1225251163"/>
          <w:placeholder>
            <w:docPart w:val="DefaultPlaceholder_-1854013438"/>
          </w:placeholder>
          <w:dropDownList>
            <w:listItem w:value="Choose an item."/>
            <w:listItem w:displayText="from" w:value="from"/>
            <w:listItem w:displayText="to" w:value="to"/>
          </w:dropDownList>
        </w:sdtPr>
        <w:sdtEndPr/>
        <w:sdtContent>
          <w:r w:rsidRPr="00E0069E">
            <w:rPr>
              <w:rFonts w:cs="Segoe UI"/>
              <w:szCs w:val="22"/>
              <w:highlight w:val="green"/>
            </w:rPr>
            <w:t>from</w:t>
          </w:r>
        </w:sdtContent>
      </w:sdt>
      <w:r w:rsidRPr="00E0069E">
        <w:rPr>
          <w:rFonts w:cs="Segoe UI"/>
          <w:szCs w:val="22"/>
          <w:highlight w:val="green"/>
        </w:rPr>
        <w:t xml:space="preserve"> </w:t>
      </w:r>
      <w:r w:rsidRPr="00144E07">
        <w:rPr>
          <w:rFonts w:cs="Segoe UI"/>
          <w:szCs w:val="22"/>
        </w:rPr>
        <w:t xml:space="preserve">the concluded stabilized fee simple market value. </w:t>
      </w:r>
    </w:p>
    <w:p w14:paraId="7FC4EA88" w14:textId="77777777" w:rsidR="006807F5" w:rsidRPr="00A94E4B" w:rsidRDefault="006807F5" w:rsidP="006807F5">
      <w:pPr>
        <w:pStyle w:val="Heading20"/>
        <w:rPr>
          <w:rFonts w:asciiTheme="minorHAnsi" w:hAnsiTheme="minorHAnsi" w:cs="Arial"/>
          <w:b w:val="0"/>
          <w:color w:val="1E4959"/>
          <w:spacing w:val="0"/>
          <w:kern w:val="20"/>
          <w:sz w:val="24"/>
          <w:szCs w:val="22"/>
          <w:u w:val="single"/>
        </w:rPr>
      </w:pPr>
      <w:r w:rsidRPr="00A94E4B">
        <w:rPr>
          <w:rFonts w:asciiTheme="minorHAnsi" w:hAnsiTheme="minorHAnsi" w:cs="Arial"/>
          <w:b w:val="0"/>
          <w:color w:val="1E4959"/>
          <w:spacing w:val="0"/>
          <w:kern w:val="20"/>
          <w:sz w:val="24"/>
          <w:szCs w:val="22"/>
          <w:u w:val="single"/>
        </w:rPr>
        <w:t>Leasehold Valuation</w:t>
      </w:r>
    </w:p>
    <w:p w14:paraId="40665D77" w14:textId="77777777" w:rsidR="006807F5" w:rsidRDefault="006807F5" w:rsidP="006807F5">
      <w:r w:rsidRPr="00E0069E">
        <w:rPr>
          <w:rFonts w:cs="Segoe UI"/>
          <w:szCs w:val="22"/>
          <w:highlight w:val="yellow"/>
        </w:rPr>
        <w:t xml:space="preserve">As noted, </w:t>
      </w:r>
      <w:r w:rsidRPr="00E0069E">
        <w:rPr>
          <w:highlight w:val="yellow"/>
        </w:rPr>
        <w:t xml:space="preserve">the subject property is encumbered by a 5-year lease extension to </w:t>
      </w:r>
      <w:r w:rsidRPr="00E0069E">
        <w:rPr>
          <w:rFonts w:cs="Arial"/>
          <w:szCs w:val="22"/>
          <w:highlight w:val="yellow"/>
        </w:rPr>
        <w:t>Carl Zeiss Vision, Inc.</w:t>
      </w:r>
      <w:r w:rsidRPr="00E0069E">
        <w:rPr>
          <w:highlight w:val="yellow"/>
        </w:rPr>
        <w:t xml:space="preserve"> which began April 1, 2016 (2 Years / 9 months remaining, as of July 1, 2019 – no options to extend).  A tenant rent roll is provided below, while copies of the lease &amp; 2nd amendment to lease are contained in the Addenda of this report.  This is a triple net lease with a current contract rent payable monthly as follows:  Year 1 - $11,826.46 per month ($0.597 per SF; blended), which then escalates annually by a fixed rate of +3.0% per year.  The current contract rent is $12,923.09 ($0.653 per SF, blended), with then escalates to $13,310.78 per month ($0.672 per SF, blended) for final Year 5.  The average rent over the next 12-month </w:t>
      </w:r>
      <w:r w:rsidRPr="00E0069E">
        <w:rPr>
          <w:highlight w:val="yellow"/>
        </w:rPr>
        <w:lastRenderedPageBreak/>
        <w:t>period equates to $0.658 per SF, blended.  Note that applying an office surcharge of $0.800 per SF to the office portion infers a current contract shell rate of $0.378 per SF, which is well below the concluded market shell rent of $0.520 per SF.</w:t>
      </w:r>
    </w:p>
    <w:p w14:paraId="321C7406" w14:textId="77777777" w:rsidR="006807F5" w:rsidRDefault="006807F5" w:rsidP="006807F5"/>
    <w:p w14:paraId="089BE333" w14:textId="454D8B14" w:rsidR="006807F5" w:rsidRPr="00A94E4B" w:rsidRDefault="006807F5" w:rsidP="006807F5">
      <w:r>
        <w:t>Based on the preceding, the subject</w:t>
      </w:r>
      <w:r w:rsidRPr="00A94E4B">
        <w:t xml:space="preserve"> tenant</w:t>
      </w:r>
      <w:r>
        <w:t xml:space="preserve"> will continue to have contract</w:t>
      </w:r>
      <w:r w:rsidRPr="00A94E4B">
        <w:t xml:space="preserve"> rent </w:t>
      </w:r>
      <w:r>
        <w:t>at</w:t>
      </w:r>
      <w:r w:rsidRPr="00A94E4B">
        <w:t xml:space="preserve"> </w:t>
      </w:r>
      <w:sdt>
        <w:sdtPr>
          <w:rPr>
            <w:rFonts w:cs="Segoe UI"/>
            <w:szCs w:val="22"/>
            <w:highlight w:val="green"/>
          </w:rPr>
          <w:alias w:val="Above or Below"/>
          <w:tag w:val="Above or Below"/>
          <w:id w:val="-67344724"/>
          <w:placeholder>
            <w:docPart w:val="59DC9D0F6C4448188DD27E4BE5F93134"/>
          </w:placeholder>
          <w:dropDownList>
            <w:listItem w:value="Choose an item."/>
            <w:listItem w:displayText="below " w:value="below "/>
            <w:listItem w:displayText="above" w:value="above"/>
          </w:dropDownList>
        </w:sdtPr>
        <w:sdtEndPr/>
        <w:sdtContent>
          <w:r w:rsidR="00E0069E">
            <w:rPr>
              <w:rFonts w:cs="Segoe UI"/>
              <w:szCs w:val="22"/>
              <w:highlight w:val="green"/>
            </w:rPr>
            <w:t xml:space="preserve">below </w:t>
          </w:r>
        </w:sdtContent>
      </w:sdt>
      <w:r w:rsidRPr="00A94E4B">
        <w:t xml:space="preserve">market, and overall it was considered prudent that any investor would recognize the potential for continued fixed / </w:t>
      </w:r>
      <w:sdt>
        <w:sdtPr>
          <w:rPr>
            <w:rFonts w:cs="Segoe UI"/>
            <w:szCs w:val="22"/>
            <w:highlight w:val="green"/>
          </w:rPr>
          <w:alias w:val="Above or Below"/>
          <w:tag w:val="Above or Below"/>
          <w:id w:val="1883284875"/>
          <w:placeholder>
            <w:docPart w:val="257BEAF8D258483E90104F6819B4F773"/>
          </w:placeholder>
          <w:dropDownList>
            <w:listItem w:value="Choose an item."/>
            <w:listItem w:displayText="below " w:value="below "/>
            <w:listItem w:displayText="above" w:value="above"/>
          </w:dropDownList>
        </w:sdtPr>
        <w:sdtEndPr/>
        <w:sdtContent>
          <w:r w:rsidR="00E0069E">
            <w:rPr>
              <w:rFonts w:cs="Segoe UI"/>
              <w:szCs w:val="22"/>
              <w:highlight w:val="green"/>
            </w:rPr>
            <w:t xml:space="preserve">below </w:t>
          </w:r>
        </w:sdtContent>
      </w:sdt>
      <w:r w:rsidRPr="00A94E4B">
        <w:t xml:space="preserve">market </w:t>
      </w:r>
      <w:r>
        <w:t xml:space="preserve">contract </w:t>
      </w:r>
      <w:r w:rsidRPr="00A94E4B">
        <w:t>rent</w:t>
      </w:r>
      <w:r>
        <w:t xml:space="preserve"> over the term of the lease</w:t>
      </w:r>
      <w:r w:rsidRPr="00A94E4B">
        <w:t xml:space="preserve">. </w:t>
      </w:r>
    </w:p>
    <w:p w14:paraId="5F67C6E9" w14:textId="77777777" w:rsidR="006807F5" w:rsidRPr="00A94E4B" w:rsidRDefault="006807F5" w:rsidP="006807F5">
      <w:pPr>
        <w:rPr>
          <w:rFonts w:cs="Arial"/>
          <w:szCs w:val="22"/>
        </w:rPr>
      </w:pPr>
    </w:p>
    <w:p w14:paraId="2B46B901" w14:textId="4F934A6E" w:rsidR="006807F5" w:rsidRPr="00144E07" w:rsidRDefault="006807F5" w:rsidP="006807F5">
      <w:pPr>
        <w:rPr>
          <w:rFonts w:cs="Segoe UI"/>
          <w:szCs w:val="22"/>
        </w:rPr>
      </w:pPr>
      <w:r w:rsidRPr="00A94E4B">
        <w:rPr>
          <w:rFonts w:cs="Segoe UI"/>
          <w:szCs w:val="22"/>
        </w:rPr>
        <w:t xml:space="preserve">In estimating the current leased fee value of the subject property, it is necessary to adjust its concluded fee simple value for the impact of </w:t>
      </w:r>
      <w:r>
        <w:rPr>
          <w:rFonts w:cs="Segoe UI"/>
          <w:szCs w:val="22"/>
        </w:rPr>
        <w:t>the</w:t>
      </w:r>
      <w:r w:rsidRPr="00A94E4B">
        <w:rPr>
          <w:rFonts w:cs="Segoe UI"/>
          <w:szCs w:val="22"/>
        </w:rPr>
        <w:t xml:space="preserve"> tenant's </w:t>
      </w:r>
      <w:sdt>
        <w:sdtPr>
          <w:rPr>
            <w:highlight w:val="green"/>
          </w:rPr>
          <w:alias w:val="LH Interest"/>
          <w:tag w:val="LH Interest"/>
          <w:id w:val="-1510588412"/>
          <w:placeholder>
            <w:docPart w:val="CD8C0BE2C6CA448BB87EABAD459CBEE7"/>
          </w:placeholder>
          <w:dropDownList>
            <w:listItem w:value="Choose an item."/>
            <w:listItem w:displayText="positive" w:value="positive"/>
            <w:listItem w:displayText="negative" w:value="negative"/>
          </w:dropDownList>
        </w:sdtPr>
        <w:sdtEndPr/>
        <w:sdtContent>
          <w:r w:rsidR="00E0069E" w:rsidRPr="006807F5">
            <w:rPr>
              <w:highlight w:val="green"/>
            </w:rPr>
            <w:t>positive</w:t>
          </w:r>
        </w:sdtContent>
      </w:sdt>
      <w:r w:rsidR="00E0069E" w:rsidRPr="003664B6">
        <w:t xml:space="preserve"> </w:t>
      </w:r>
      <w:r w:rsidRPr="00A94E4B">
        <w:rPr>
          <w:rFonts w:cs="Segoe UI"/>
          <w:szCs w:val="22"/>
        </w:rPr>
        <w:t xml:space="preserve">leasehold position caused by the payment of </w:t>
      </w:r>
      <w:sdt>
        <w:sdtPr>
          <w:rPr>
            <w:rFonts w:cs="Segoe UI"/>
            <w:szCs w:val="22"/>
            <w:highlight w:val="green"/>
          </w:rPr>
          <w:alias w:val="Above or Below"/>
          <w:tag w:val="Above or Below"/>
          <w:id w:val="-892576642"/>
          <w:placeholder>
            <w:docPart w:val="AB12B25B4D644DE587BB41347BAF331B"/>
          </w:placeholder>
          <w:dropDownList>
            <w:listItem w:value="Choose an item."/>
            <w:listItem w:displayText="below " w:value="below "/>
            <w:listItem w:displayText="above" w:value="above"/>
          </w:dropDownList>
        </w:sdtPr>
        <w:sdtEndPr/>
        <w:sdtContent>
          <w:r w:rsidR="00E0069E">
            <w:rPr>
              <w:rFonts w:cs="Segoe UI"/>
              <w:szCs w:val="22"/>
              <w:highlight w:val="green"/>
            </w:rPr>
            <w:t xml:space="preserve">below </w:t>
          </w:r>
        </w:sdtContent>
      </w:sdt>
      <w:r w:rsidR="00E0069E" w:rsidRPr="00A94E4B">
        <w:rPr>
          <w:rFonts w:cs="Segoe UI"/>
          <w:szCs w:val="22"/>
        </w:rPr>
        <w:t xml:space="preserve"> </w:t>
      </w:r>
      <w:r w:rsidRPr="00A94E4B">
        <w:rPr>
          <w:rFonts w:cs="Segoe UI"/>
          <w:szCs w:val="22"/>
        </w:rPr>
        <w:t>market contract rent over the remaining renewal lease term.  The tenant’s lease terms were summarized previously in the Tenant Rent Roll, with the projections of market rent for</w:t>
      </w:r>
      <w:r>
        <w:rPr>
          <w:rFonts w:cs="Segoe UI"/>
          <w:szCs w:val="22"/>
        </w:rPr>
        <w:t xml:space="preserve"> the</w:t>
      </w:r>
      <w:r w:rsidRPr="00A94E4B">
        <w:rPr>
          <w:rFonts w:cs="Segoe UI"/>
          <w:szCs w:val="22"/>
        </w:rPr>
        <w:t xml:space="preserve"> tenant space</w:t>
      </w:r>
      <w:r>
        <w:rPr>
          <w:rFonts w:cs="Segoe UI"/>
          <w:szCs w:val="22"/>
        </w:rPr>
        <w:t xml:space="preserve"> was</w:t>
      </w:r>
      <w:r w:rsidRPr="00A94E4B">
        <w:rPr>
          <w:rFonts w:cs="Segoe UI"/>
          <w:szCs w:val="22"/>
        </w:rPr>
        <w:t xml:space="preserve"> provided as part of the Income Approach.  Based on the preceding, our analysis is presented as follows.</w:t>
      </w:r>
      <w:r w:rsidRPr="00144E07">
        <w:rPr>
          <w:rFonts w:cs="Segoe UI"/>
          <w:szCs w:val="22"/>
        </w:rPr>
        <w:t xml:space="preserve"> </w:t>
      </w:r>
    </w:p>
    <w:p w14:paraId="53342577" w14:textId="77777777" w:rsidR="006807F5" w:rsidRPr="00144E07" w:rsidRDefault="006807F5" w:rsidP="006807F5">
      <w:pPr>
        <w:rPr>
          <w:rFonts w:cs="Segoe UI"/>
          <w:szCs w:val="22"/>
        </w:rPr>
      </w:pPr>
    </w:p>
    <w:p w14:paraId="128E38B9" w14:textId="77777777" w:rsidR="006807F5" w:rsidRDefault="006807F5" w:rsidP="006807F5">
      <w:pPr>
        <w:rPr>
          <w:rFonts w:cs="Segoe UI"/>
          <w:szCs w:val="22"/>
        </w:rPr>
      </w:pPr>
      <w:r w:rsidRPr="00342DE0">
        <w:rPr>
          <w:rFonts w:cs="Segoe UI"/>
          <w:szCs w:val="22"/>
        </w:rPr>
        <w:t xml:space="preserve">With respect to rent escalations, we have anticipated long-term inflation at a rate of </w:t>
      </w:r>
      <w:r w:rsidRPr="00E0069E">
        <w:rPr>
          <w:rFonts w:cs="Segoe UI"/>
          <w:szCs w:val="22"/>
          <w:highlight w:val="yellow"/>
        </w:rPr>
        <w:t>+3.0%</w:t>
      </w:r>
      <w:r w:rsidRPr="00342DE0">
        <w:rPr>
          <w:rFonts w:cs="Segoe UI"/>
          <w:szCs w:val="22"/>
        </w:rPr>
        <w:t xml:space="preserve"> per year.  This rate of </w:t>
      </w:r>
      <w:r w:rsidRPr="00AB52AA">
        <w:rPr>
          <w:rFonts w:cs="Segoe UI"/>
          <w:szCs w:val="22"/>
        </w:rPr>
        <w:t xml:space="preserve">appreciation </w:t>
      </w:r>
      <w:r>
        <w:rPr>
          <w:rFonts w:cs="Segoe UI"/>
          <w:szCs w:val="22"/>
        </w:rPr>
        <w:t xml:space="preserve">matches </w:t>
      </w:r>
      <w:r w:rsidRPr="00AB52AA">
        <w:rPr>
          <w:rFonts w:cs="Segoe UI"/>
          <w:szCs w:val="22"/>
        </w:rPr>
        <w:t xml:space="preserve">investor expectations indicated by recent, long-term industrial tenant leases in the </w:t>
      </w:r>
      <w:r>
        <w:rPr>
          <w:rFonts w:cs="Segoe UI"/>
          <w:szCs w:val="22"/>
        </w:rPr>
        <w:t>Medford</w:t>
      </w:r>
      <w:r w:rsidRPr="00AB52AA">
        <w:rPr>
          <w:rFonts w:cs="Segoe UI"/>
          <w:szCs w:val="22"/>
        </w:rPr>
        <w:t xml:space="preserve"> metro area (which generally indicate </w:t>
      </w:r>
      <w:r>
        <w:rPr>
          <w:rFonts w:cs="Segoe UI"/>
          <w:szCs w:val="22"/>
        </w:rPr>
        <w:t>3.0</w:t>
      </w:r>
      <w:r w:rsidRPr="00AB52AA">
        <w:rPr>
          <w:rFonts w:cs="Segoe UI"/>
          <w:szCs w:val="22"/>
        </w:rPr>
        <w:t xml:space="preserve">% / year escalations – see Rent Comps).  Note that the </w:t>
      </w:r>
      <w:r w:rsidRPr="00AB52AA">
        <w:rPr>
          <w:rFonts w:cs="Segoe UI"/>
          <w:szCs w:val="22"/>
          <w:u w:val="single"/>
        </w:rPr>
        <w:t xml:space="preserve">PwC Real Estate Investor </w:t>
      </w:r>
      <w:r w:rsidRPr="00E0069E">
        <w:rPr>
          <w:rFonts w:cs="Segoe UI"/>
          <w:szCs w:val="22"/>
          <w:u w:val="single"/>
        </w:rPr>
        <w:t>Survey</w:t>
      </w:r>
      <w:r w:rsidRPr="00E0069E">
        <w:rPr>
          <w:rFonts w:cs="Segoe UI"/>
          <w:szCs w:val="22"/>
        </w:rPr>
        <w:t xml:space="preserve"> – </w:t>
      </w:r>
      <w:r w:rsidRPr="00E0069E">
        <w:rPr>
          <w:rFonts w:cs="Segoe UI"/>
          <w:szCs w:val="22"/>
          <w:highlight w:val="yellow"/>
        </w:rPr>
        <w:t>Q</w:t>
      </w:r>
      <w:r w:rsidRPr="00E0069E">
        <w:rPr>
          <w:rFonts w:cs="Segoe UI"/>
          <w:szCs w:val="22"/>
          <w:highlight w:val="yellow"/>
        </w:rPr>
        <w:noBreakHyphen/>
        <w:t>2 2019</w:t>
      </w:r>
      <w:r w:rsidRPr="00E0069E">
        <w:rPr>
          <w:rFonts w:cs="Segoe UI"/>
          <w:szCs w:val="22"/>
        </w:rPr>
        <w:t xml:space="preserve"> indicates that </w:t>
      </w:r>
      <w:r w:rsidRPr="00AB52AA">
        <w:rPr>
          <w:rFonts w:cs="Segoe UI"/>
          <w:szCs w:val="22"/>
        </w:rPr>
        <w:t xml:space="preserve">investor expectations for the </w:t>
      </w:r>
      <w:r w:rsidRPr="00E0069E">
        <w:rPr>
          <w:rFonts w:cs="Segoe UI"/>
          <w:szCs w:val="22"/>
          <w:highlight w:val="yellow"/>
        </w:rPr>
        <w:t>Pacific Region Warehouse Lease Market</w:t>
      </w:r>
      <w:r w:rsidRPr="00144E07">
        <w:rPr>
          <w:rFonts w:cs="Segoe UI"/>
          <w:szCs w:val="22"/>
        </w:rPr>
        <w:t xml:space="preserve"> </w:t>
      </w:r>
      <w:r>
        <w:rPr>
          <w:rFonts w:cs="Segoe UI"/>
          <w:szCs w:val="22"/>
        </w:rPr>
        <w:t xml:space="preserve">(the closet category to match the subject’s use) </w:t>
      </w:r>
      <w:r w:rsidRPr="00144E07">
        <w:rPr>
          <w:rFonts w:cs="Segoe UI"/>
          <w:szCs w:val="22"/>
        </w:rPr>
        <w:t xml:space="preserve">forecasts </w:t>
      </w:r>
      <w:r w:rsidRPr="00144E07">
        <w:rPr>
          <w:rFonts w:cs="Segoe UI"/>
          <w:szCs w:val="22"/>
          <w:u w:val="single"/>
        </w:rPr>
        <w:t>average market rent changes</w:t>
      </w:r>
      <w:r w:rsidRPr="00144E07">
        <w:rPr>
          <w:rFonts w:cs="Segoe UI"/>
          <w:szCs w:val="22"/>
        </w:rPr>
        <w:t xml:space="preserve"> at 0</w:t>
      </w:r>
      <w:r w:rsidRPr="00E0069E">
        <w:rPr>
          <w:rFonts w:cs="Segoe UI"/>
          <w:szCs w:val="22"/>
          <w:highlight w:val="yellow"/>
        </w:rPr>
        <w:t>% to 5.0% (average = 3.25%)</w:t>
      </w:r>
      <w:r>
        <w:rPr>
          <w:rFonts w:cs="Segoe UI"/>
          <w:szCs w:val="22"/>
        </w:rPr>
        <w:t xml:space="preserve"> which reasonably brackets our concluded assumed market rent escalation factor. </w:t>
      </w:r>
    </w:p>
    <w:p w14:paraId="7522D9A9" w14:textId="77777777" w:rsidR="006807F5" w:rsidRDefault="006807F5" w:rsidP="006807F5">
      <w:pPr>
        <w:rPr>
          <w:rFonts w:cs="Segoe UI"/>
          <w:szCs w:val="22"/>
        </w:rPr>
      </w:pPr>
    </w:p>
    <w:p w14:paraId="55051B09" w14:textId="77777777" w:rsidR="006807F5" w:rsidRDefault="006807F5" w:rsidP="006807F5">
      <w:pPr>
        <w:jc w:val="center"/>
        <w:rPr>
          <w:rFonts w:cs="Segoe UI"/>
          <w:szCs w:val="22"/>
        </w:rPr>
      </w:pPr>
      <w:r w:rsidRPr="00165EDB">
        <w:rPr>
          <w:noProof/>
        </w:rPr>
        <w:drawing>
          <wp:inline distT="0" distB="0" distL="0" distR="0" wp14:anchorId="3E1988FE" wp14:editId="74A94812">
            <wp:extent cx="5943600" cy="2241550"/>
            <wp:effectExtent l="38100" t="38100" r="95250" b="10160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1550"/>
                    </a:xfrm>
                    <a:prstGeom prst="rect">
                      <a:avLst/>
                    </a:prstGeom>
                    <a:effectLst>
                      <a:outerShdw blurRad="50800" dist="38100" dir="2700000" algn="tl" rotWithShape="0">
                        <a:prstClr val="black">
                          <a:alpha val="40000"/>
                        </a:prstClr>
                      </a:outerShdw>
                    </a:effectLst>
                  </pic:spPr>
                </pic:pic>
              </a:graphicData>
            </a:graphic>
          </wp:inline>
        </w:drawing>
      </w:r>
    </w:p>
    <w:p w14:paraId="3FEAFED0" w14:textId="77777777" w:rsidR="006807F5" w:rsidRDefault="006807F5" w:rsidP="006807F5">
      <w:pPr>
        <w:rPr>
          <w:rFonts w:cs="Segoe UI"/>
          <w:szCs w:val="22"/>
        </w:rPr>
      </w:pPr>
    </w:p>
    <w:p w14:paraId="353E4389" w14:textId="2644CC94" w:rsidR="006807F5" w:rsidRPr="00B50EA2" w:rsidRDefault="006807F5" w:rsidP="006807F5">
      <w:pPr>
        <w:rPr>
          <w:rFonts w:cs="Segoe UI"/>
          <w:szCs w:val="22"/>
        </w:rPr>
      </w:pPr>
      <w:r w:rsidRPr="00144E07">
        <w:rPr>
          <w:rFonts w:cs="Segoe UI"/>
          <w:szCs w:val="22"/>
        </w:rPr>
        <w:t xml:space="preserve">Over the remaining term of the tenant lease, the </w:t>
      </w:r>
      <w:sdt>
        <w:sdtPr>
          <w:rPr>
            <w:highlight w:val="green"/>
          </w:rPr>
          <w:alias w:val="LH Interest"/>
          <w:tag w:val="LH Interest"/>
          <w:id w:val="-616680394"/>
          <w:placeholder>
            <w:docPart w:val="C4B97C6827594A61977E64E531847B4B"/>
          </w:placeholder>
          <w:dropDownList>
            <w:listItem w:value="Choose an item."/>
            <w:listItem w:displayText="positive" w:value="positive"/>
            <w:listItem w:displayText="negative" w:value="negative"/>
          </w:dropDownList>
        </w:sdtPr>
        <w:sdtEndPr/>
        <w:sdtContent>
          <w:r w:rsidR="00E0069E" w:rsidRPr="006807F5">
            <w:rPr>
              <w:highlight w:val="green"/>
            </w:rPr>
            <w:t>positive</w:t>
          </w:r>
        </w:sdtContent>
      </w:sdt>
      <w:r w:rsidR="00E0069E" w:rsidRPr="003664B6">
        <w:t xml:space="preserve"> </w:t>
      </w:r>
      <w:r w:rsidRPr="00144E07">
        <w:rPr>
          <w:rFonts w:cs="Segoe UI"/>
          <w:szCs w:val="22"/>
        </w:rPr>
        <w:t>leasehold position held by the tenant is merely the sum of the present values of the monthly differential between market and contract rents. Because the tenants</w:t>
      </w:r>
      <w:r>
        <w:rPr>
          <w:rFonts w:cs="Segoe UI"/>
          <w:szCs w:val="22"/>
        </w:rPr>
        <w:t>’</w:t>
      </w:r>
      <w:r w:rsidRPr="00144E07">
        <w:rPr>
          <w:rFonts w:cs="Segoe UI"/>
          <w:szCs w:val="22"/>
        </w:rPr>
        <w:t xml:space="preserve"> rents are payable on a monthly basis, it was necessary to project the rent differential on a monthly basis, much like an annuity. The periodic (monthly) rent differential between contract and market rent for </w:t>
      </w:r>
      <w:r w:rsidRPr="00B50EA2">
        <w:rPr>
          <w:rFonts w:cs="Segoe UI"/>
          <w:szCs w:val="22"/>
        </w:rPr>
        <w:t xml:space="preserve">the remaining months of each lease was brought back to a present value based on a reasonable discount rate. Note that the </w:t>
      </w:r>
      <w:r w:rsidRPr="00B50EA2">
        <w:rPr>
          <w:rFonts w:cs="Segoe UI"/>
          <w:szCs w:val="22"/>
          <w:u w:val="single"/>
        </w:rPr>
        <w:t>PwC Real Estate Investor Survey</w:t>
      </w:r>
      <w:r w:rsidRPr="00B50EA2">
        <w:rPr>
          <w:rFonts w:cs="Segoe UI"/>
          <w:szCs w:val="22"/>
        </w:rPr>
        <w:t xml:space="preserve"> </w:t>
      </w:r>
      <w:r w:rsidRPr="00E0069E">
        <w:rPr>
          <w:rFonts w:cs="Segoe UI"/>
          <w:szCs w:val="22"/>
        </w:rPr>
        <w:t xml:space="preserve">– </w:t>
      </w:r>
      <w:r w:rsidRPr="00E0069E">
        <w:rPr>
          <w:rFonts w:cs="Segoe UI"/>
          <w:szCs w:val="22"/>
          <w:highlight w:val="yellow"/>
        </w:rPr>
        <w:t>Q-2 2019</w:t>
      </w:r>
      <w:r w:rsidRPr="00E0069E">
        <w:rPr>
          <w:rFonts w:cs="Segoe UI"/>
          <w:szCs w:val="22"/>
        </w:rPr>
        <w:t xml:space="preserve"> </w:t>
      </w:r>
      <w:r w:rsidRPr="00B50EA2">
        <w:rPr>
          <w:rFonts w:cs="Segoe UI"/>
          <w:szCs w:val="22"/>
        </w:rPr>
        <w:t xml:space="preserve">indicates that investor expectations for the </w:t>
      </w:r>
      <w:r w:rsidRPr="00E0069E">
        <w:rPr>
          <w:rFonts w:cs="Segoe UI"/>
          <w:szCs w:val="22"/>
          <w:highlight w:val="yellow"/>
        </w:rPr>
        <w:t>Pacific Region Warehouse Market</w:t>
      </w:r>
      <w:r w:rsidRPr="00B50EA2">
        <w:rPr>
          <w:rFonts w:cs="Segoe UI"/>
          <w:szCs w:val="22"/>
        </w:rPr>
        <w:t xml:space="preserve"> forecasts </w:t>
      </w:r>
      <w:r w:rsidRPr="00B50EA2">
        <w:rPr>
          <w:rFonts w:cs="Segoe UI"/>
          <w:szCs w:val="22"/>
          <w:u w:val="single"/>
        </w:rPr>
        <w:t>average discount rates</w:t>
      </w:r>
      <w:r w:rsidRPr="00B50EA2">
        <w:rPr>
          <w:rFonts w:cs="Segoe UI"/>
          <w:szCs w:val="22"/>
        </w:rPr>
        <w:t xml:space="preserve"> at </w:t>
      </w:r>
      <w:r w:rsidRPr="00E0069E">
        <w:rPr>
          <w:rFonts w:cs="Segoe UI"/>
          <w:szCs w:val="22"/>
          <w:highlight w:val="yellow"/>
        </w:rPr>
        <w:t>5.00% to 7.00% (average = 5.92%).</w:t>
      </w:r>
    </w:p>
    <w:p w14:paraId="30B1ADAC" w14:textId="77777777" w:rsidR="006807F5" w:rsidRPr="00B50EA2" w:rsidRDefault="006807F5" w:rsidP="006807F5">
      <w:pPr>
        <w:rPr>
          <w:rFonts w:cs="Segoe UI"/>
          <w:szCs w:val="22"/>
        </w:rPr>
      </w:pPr>
    </w:p>
    <w:p w14:paraId="2B605D3A" w14:textId="27CB3DB8" w:rsidR="006807F5" w:rsidRPr="00144E07" w:rsidRDefault="006807F5" w:rsidP="006807F5">
      <w:pPr>
        <w:widowControl w:val="0"/>
        <w:rPr>
          <w:rFonts w:cs="Segoe UI"/>
          <w:szCs w:val="22"/>
        </w:rPr>
      </w:pPr>
      <w:r w:rsidRPr="00144E07">
        <w:rPr>
          <w:rFonts w:cs="Segoe UI"/>
          <w:szCs w:val="22"/>
        </w:rPr>
        <w:t xml:space="preserve">Due to the subject's </w:t>
      </w:r>
      <w:r>
        <w:rPr>
          <w:rFonts w:cs="Segoe UI"/>
          <w:szCs w:val="22"/>
        </w:rPr>
        <w:t>good</w:t>
      </w:r>
      <w:r w:rsidRPr="00144E07">
        <w:rPr>
          <w:rFonts w:cs="Segoe UI"/>
          <w:szCs w:val="22"/>
        </w:rPr>
        <w:t xml:space="preserve"> locational and physical characteristics, as well as the </w:t>
      </w:r>
      <w:sdt>
        <w:sdtPr>
          <w:rPr>
            <w:rFonts w:cs="Segoe UI"/>
            <w:szCs w:val="22"/>
            <w:highlight w:val="green"/>
          </w:rPr>
          <w:alias w:val="Lower or Higher"/>
          <w:tag w:val="Lower or Higher"/>
          <w:id w:val="1981188691"/>
          <w:placeholder>
            <w:docPart w:val="DefaultPlaceholder_-1854013438"/>
          </w:placeholder>
          <w:dropDownList>
            <w:listItem w:value="Choose an item."/>
            <w:listItem w:displayText="lower" w:value="lower"/>
            <w:listItem w:displayText="higher" w:value="higher"/>
          </w:dropDownList>
        </w:sdtPr>
        <w:sdtEndPr/>
        <w:sdtContent>
          <w:r w:rsidRPr="00E0069E">
            <w:rPr>
              <w:rFonts w:cs="Segoe UI"/>
              <w:szCs w:val="22"/>
              <w:highlight w:val="green"/>
            </w:rPr>
            <w:t>lower</w:t>
          </w:r>
        </w:sdtContent>
      </w:sdt>
      <w:r w:rsidRPr="00144E07">
        <w:rPr>
          <w:rFonts w:cs="Segoe UI"/>
          <w:szCs w:val="22"/>
        </w:rPr>
        <w:t xml:space="preserve"> risk</w:t>
      </w:r>
      <w:r>
        <w:rPr>
          <w:rFonts w:cs="Segoe UI"/>
          <w:szCs w:val="22"/>
        </w:rPr>
        <w:t xml:space="preserve"> of default related to the</w:t>
      </w:r>
      <w:r w:rsidRPr="00144E07">
        <w:rPr>
          <w:rFonts w:cs="Segoe UI"/>
          <w:szCs w:val="22"/>
        </w:rPr>
        <w:t xml:space="preserve"> </w:t>
      </w:r>
      <w:sdt>
        <w:sdtPr>
          <w:rPr>
            <w:rFonts w:cs="Segoe UI"/>
            <w:szCs w:val="22"/>
            <w:highlight w:val="green"/>
          </w:rPr>
          <w:alias w:val="Above or Below"/>
          <w:tag w:val="Above or Below"/>
          <w:id w:val="-545903154"/>
          <w:placeholder>
            <w:docPart w:val="C3388771DEDB4E09AFE2723B409DE915"/>
          </w:placeholder>
          <w:dropDownList>
            <w:listItem w:value="Choose an item."/>
            <w:listItem w:displayText="below " w:value="below "/>
            <w:listItem w:displayText="above" w:value="above"/>
          </w:dropDownList>
        </w:sdtPr>
        <w:sdtEndPr/>
        <w:sdtContent>
          <w:r w:rsidR="00E0069E">
            <w:rPr>
              <w:rFonts w:cs="Segoe UI"/>
              <w:szCs w:val="22"/>
              <w:highlight w:val="green"/>
            </w:rPr>
            <w:t xml:space="preserve">below </w:t>
          </w:r>
        </w:sdtContent>
      </w:sdt>
      <w:r w:rsidR="00E0069E" w:rsidRPr="00144E07">
        <w:rPr>
          <w:rFonts w:cs="Segoe UI"/>
          <w:szCs w:val="22"/>
        </w:rPr>
        <w:t xml:space="preserve"> </w:t>
      </w:r>
      <w:r w:rsidRPr="00144E07">
        <w:rPr>
          <w:rFonts w:cs="Segoe UI"/>
          <w:szCs w:val="22"/>
        </w:rPr>
        <w:t xml:space="preserve">market rent over the remainder of the tenant lease </w:t>
      </w:r>
      <w:r>
        <w:rPr>
          <w:rFonts w:cs="Segoe UI"/>
          <w:szCs w:val="22"/>
        </w:rPr>
        <w:t>term</w:t>
      </w:r>
      <w:r w:rsidRPr="00144E07">
        <w:rPr>
          <w:rFonts w:cs="Segoe UI"/>
          <w:i/>
          <w:szCs w:val="22"/>
        </w:rPr>
        <w:t>,</w:t>
      </w:r>
      <w:r w:rsidRPr="00144E07">
        <w:rPr>
          <w:rFonts w:cs="Segoe UI"/>
          <w:szCs w:val="22"/>
        </w:rPr>
        <w:t xml:space="preserve"> a </w:t>
      </w:r>
      <w:r w:rsidRPr="00A522BE">
        <w:rPr>
          <w:rFonts w:cs="Segoe UI"/>
          <w:b/>
          <w:szCs w:val="22"/>
        </w:rPr>
        <w:t>discount rate</w:t>
      </w:r>
      <w:r w:rsidRPr="00144E07">
        <w:rPr>
          <w:rFonts w:cs="Segoe UI"/>
          <w:szCs w:val="22"/>
        </w:rPr>
        <w:t xml:space="preserve"> toward the </w:t>
      </w:r>
      <w:r w:rsidRPr="00E0069E">
        <w:rPr>
          <w:rFonts w:cs="Segoe UI"/>
          <w:szCs w:val="22"/>
          <w:highlight w:val="yellow"/>
        </w:rPr>
        <w:t>lower</w:t>
      </w:r>
      <w:r w:rsidRPr="00144E07">
        <w:rPr>
          <w:rFonts w:cs="Segoe UI"/>
          <w:szCs w:val="22"/>
        </w:rPr>
        <w:t xml:space="preserve"> </w:t>
      </w:r>
      <w:r w:rsidRPr="00144E07">
        <w:rPr>
          <w:rFonts w:cs="Segoe UI"/>
          <w:szCs w:val="22"/>
        </w:rPr>
        <w:lastRenderedPageBreak/>
        <w:t xml:space="preserve">portion of the range, or </w:t>
      </w:r>
      <w:r w:rsidRPr="00E0069E">
        <w:rPr>
          <w:rFonts w:cs="Segoe UI"/>
          <w:b/>
          <w:szCs w:val="22"/>
          <w:highlight w:val="yellow"/>
        </w:rPr>
        <w:t>6.00%</w:t>
      </w:r>
      <w:r w:rsidRPr="00144E07">
        <w:rPr>
          <w:rFonts w:cs="Segoe UI"/>
          <w:szCs w:val="22"/>
        </w:rPr>
        <w:t xml:space="preserve"> is indicated. The calculations relating to our valuation of the subject leasehold interest are provided in the following chart. </w:t>
      </w:r>
    </w:p>
    <w:p w14:paraId="2AE54753" w14:textId="77777777" w:rsidR="006807F5" w:rsidRPr="00144E07" w:rsidRDefault="006807F5" w:rsidP="006807F5">
      <w:pPr>
        <w:rPr>
          <w:rFonts w:cs="Segoe UI"/>
          <w:szCs w:val="22"/>
        </w:rPr>
      </w:pPr>
    </w:p>
    <w:p w14:paraId="38EDF90B" w14:textId="4003A0DF" w:rsidR="006807F5" w:rsidRPr="00144E07" w:rsidRDefault="006807F5" w:rsidP="006807F5">
      <w:pPr>
        <w:tabs>
          <w:tab w:val="left" w:pos="3600"/>
        </w:tabs>
        <w:rPr>
          <w:rFonts w:cs="Segoe UI"/>
          <w:szCs w:val="22"/>
        </w:rPr>
      </w:pPr>
      <w:r w:rsidRPr="00A522BE">
        <w:rPr>
          <w:rFonts w:cs="Segoe UI"/>
          <w:szCs w:val="22"/>
        </w:rPr>
        <w:t xml:space="preserve">Based on this analysis, the </w:t>
      </w:r>
      <w:r w:rsidRPr="00A522BE">
        <w:rPr>
          <w:rFonts w:cs="Segoe UI"/>
          <w:b/>
          <w:szCs w:val="22"/>
        </w:rPr>
        <w:t xml:space="preserve">market value of the </w:t>
      </w:r>
      <w:sdt>
        <w:sdtPr>
          <w:rPr>
            <w:b/>
            <w:bCs/>
            <w:highlight w:val="green"/>
          </w:rPr>
          <w:alias w:val="LH Interest"/>
          <w:tag w:val="LH Interest"/>
          <w:id w:val="-579445742"/>
          <w:placeholder>
            <w:docPart w:val="CD38C74F5E0D4D488735976D347F9D2E"/>
          </w:placeholder>
          <w:dropDownList>
            <w:listItem w:value="Choose an item."/>
            <w:listItem w:displayText="positive" w:value="positive"/>
            <w:listItem w:displayText="negative" w:value="negative"/>
          </w:dropDownList>
        </w:sdtPr>
        <w:sdtEndPr/>
        <w:sdtContent>
          <w:r w:rsidR="00E0069E" w:rsidRPr="00E0069E">
            <w:rPr>
              <w:b/>
              <w:bCs/>
              <w:highlight w:val="green"/>
            </w:rPr>
            <w:t>positive</w:t>
          </w:r>
        </w:sdtContent>
      </w:sdt>
      <w:r w:rsidR="00E0069E" w:rsidRPr="003664B6">
        <w:t xml:space="preserve"> </w:t>
      </w:r>
      <w:r w:rsidRPr="00A522BE">
        <w:rPr>
          <w:rFonts w:cs="Segoe UI"/>
          <w:b/>
          <w:szCs w:val="22"/>
        </w:rPr>
        <w:t>leasehold interest</w:t>
      </w:r>
      <w:r w:rsidRPr="00A522BE">
        <w:rPr>
          <w:rFonts w:cs="Segoe UI"/>
          <w:szCs w:val="22"/>
        </w:rPr>
        <w:t xml:space="preserve"> in the subject property is concluded at </w:t>
      </w:r>
      <w:r w:rsidRPr="00E0069E">
        <w:rPr>
          <w:rFonts w:cs="Segoe UI"/>
          <w:b/>
          <w:szCs w:val="22"/>
          <w:highlight w:val="yellow"/>
        </w:rPr>
        <w:t>$120,000</w:t>
      </w:r>
      <w:r>
        <w:rPr>
          <w:rFonts w:cs="Segoe UI"/>
          <w:bCs/>
          <w:szCs w:val="22"/>
        </w:rPr>
        <w:t xml:space="preserve"> (rounded)</w:t>
      </w:r>
      <w:r w:rsidRPr="00A522BE">
        <w:rPr>
          <w:rFonts w:cs="Segoe UI"/>
          <w:szCs w:val="22"/>
        </w:rPr>
        <w:t>, which would likely be recognized by a potential knowledgeable investor.</w:t>
      </w:r>
    </w:p>
    <w:p w14:paraId="1C77F630" w14:textId="77777777" w:rsidR="006807F5" w:rsidRPr="00144E07" w:rsidRDefault="006807F5" w:rsidP="006807F5">
      <w:pPr>
        <w:tabs>
          <w:tab w:val="left" w:pos="3600"/>
        </w:tabs>
        <w:rPr>
          <w:rFonts w:cs="Segoe UI"/>
          <w:szCs w:val="22"/>
        </w:rPr>
      </w:pPr>
    </w:p>
    <w:p w14:paraId="412C4516" w14:textId="77777777" w:rsidR="006807F5" w:rsidRDefault="006807F5" w:rsidP="006807F5">
      <w:pPr>
        <w:tabs>
          <w:tab w:val="left" w:pos="6210"/>
        </w:tabs>
        <w:ind w:left="-720"/>
        <w:jc w:val="center"/>
      </w:pPr>
      <w:r w:rsidRPr="00DD731E">
        <w:rPr>
          <w:noProof/>
        </w:rPr>
        <w:drawing>
          <wp:inline distT="0" distB="0" distL="0" distR="0" wp14:anchorId="1D3EC58A" wp14:editId="0C2D014C">
            <wp:extent cx="6756127" cy="2011680"/>
            <wp:effectExtent l="0" t="0" r="6985"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6770132" cy="2015850"/>
                    </a:xfrm>
                    <a:prstGeom prst="rect">
                      <a:avLst/>
                    </a:prstGeom>
                    <a:noFill/>
                    <a:ln>
                      <a:noFill/>
                    </a:ln>
                  </pic:spPr>
                </pic:pic>
              </a:graphicData>
            </a:graphic>
          </wp:inline>
        </w:drawing>
      </w:r>
    </w:p>
    <w:p w14:paraId="5A6338EE" w14:textId="77777777" w:rsidR="006807F5" w:rsidRPr="00144E07" w:rsidRDefault="006807F5" w:rsidP="006807F5">
      <w:pPr>
        <w:tabs>
          <w:tab w:val="left" w:pos="6210"/>
        </w:tabs>
        <w:jc w:val="center"/>
        <w:rPr>
          <w:rFonts w:cs="Segoe UI"/>
          <w:kern w:val="24"/>
          <w:szCs w:val="22"/>
        </w:rPr>
      </w:pPr>
    </w:p>
    <w:p w14:paraId="2B8BD76E" w14:textId="77777777" w:rsidR="006807F5" w:rsidRPr="00E30CB4" w:rsidRDefault="006807F5" w:rsidP="006807F5">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Final </w:t>
      </w:r>
      <w:r w:rsidRPr="00E30CB4">
        <w:rPr>
          <w:rFonts w:asciiTheme="minorHAnsi" w:hAnsiTheme="minorHAnsi" w:cs="Arial"/>
          <w:b w:val="0"/>
          <w:color w:val="1E4959"/>
          <w:spacing w:val="0"/>
          <w:kern w:val="20"/>
          <w:sz w:val="28"/>
          <w:szCs w:val="22"/>
        </w:rPr>
        <w:t xml:space="preserve">Concluded </w:t>
      </w:r>
      <w:r>
        <w:rPr>
          <w:rFonts w:asciiTheme="minorHAnsi" w:hAnsiTheme="minorHAnsi" w:cs="Arial"/>
          <w:b w:val="0"/>
          <w:color w:val="1E4959"/>
          <w:spacing w:val="0"/>
          <w:kern w:val="20"/>
          <w:sz w:val="28"/>
          <w:szCs w:val="22"/>
        </w:rPr>
        <w:t>As Is</w:t>
      </w:r>
      <w:r w:rsidRPr="00E30CB4">
        <w:rPr>
          <w:rFonts w:asciiTheme="minorHAnsi" w:hAnsiTheme="minorHAnsi" w:cs="Arial"/>
          <w:b w:val="0"/>
          <w:color w:val="1E4959"/>
          <w:spacing w:val="0"/>
          <w:kern w:val="20"/>
          <w:sz w:val="28"/>
          <w:szCs w:val="22"/>
        </w:rPr>
        <w:t xml:space="preserve"> Market Value</w:t>
      </w:r>
      <w:r>
        <w:rPr>
          <w:rFonts w:asciiTheme="minorHAnsi" w:hAnsiTheme="minorHAnsi" w:cs="Arial"/>
          <w:b w:val="0"/>
          <w:color w:val="1E4959"/>
          <w:spacing w:val="0"/>
          <w:kern w:val="20"/>
          <w:sz w:val="28"/>
          <w:szCs w:val="22"/>
        </w:rPr>
        <w:t xml:space="preserve"> – Leased Fee</w:t>
      </w:r>
    </w:p>
    <w:p w14:paraId="2ED4700D" w14:textId="3A4CB3E1" w:rsidR="006807F5" w:rsidRPr="00DE1400" w:rsidRDefault="006807F5" w:rsidP="006807F5">
      <w:pPr>
        <w:rPr>
          <w:rFonts w:cstheme="minorHAnsi"/>
        </w:rPr>
      </w:pPr>
      <w:r>
        <w:rPr>
          <w:rFonts w:cs="Arial"/>
          <w:szCs w:val="22"/>
        </w:rPr>
        <w:t xml:space="preserve">By </w:t>
      </w:r>
      <w:sdt>
        <w:sdtPr>
          <w:rPr>
            <w:rFonts w:cs="Segoe UI"/>
            <w:szCs w:val="22"/>
            <w:highlight w:val="green"/>
          </w:rPr>
          <w:alias w:val="Add or Deduct"/>
          <w:tag w:val="Add or Deduct"/>
          <w:id w:val="232512302"/>
          <w:placeholder>
            <w:docPart w:val="68F955A240DC426D9243F10707AD536E"/>
          </w:placeholder>
          <w:dropDownList>
            <w:listItem w:value="Choose an item."/>
            <w:listItem w:displayText="deducting" w:value="deducting"/>
            <w:listItem w:displayText="adding" w:value="adding"/>
          </w:dropDownList>
        </w:sdtPr>
        <w:sdtEndPr/>
        <w:sdtContent>
          <w:r w:rsidR="00E0069E" w:rsidRPr="00E0069E">
            <w:rPr>
              <w:rFonts w:cs="Segoe UI"/>
              <w:szCs w:val="22"/>
              <w:highlight w:val="green"/>
            </w:rPr>
            <w:t>deducting</w:t>
          </w:r>
        </w:sdtContent>
      </w:sdt>
      <w:r w:rsidR="00E0069E" w:rsidRPr="00144E07">
        <w:rPr>
          <w:rFonts w:cs="Segoe UI"/>
          <w:szCs w:val="22"/>
        </w:rPr>
        <w:t xml:space="preserve"> </w:t>
      </w:r>
      <w:r>
        <w:rPr>
          <w:rFonts w:cs="Arial"/>
          <w:szCs w:val="22"/>
        </w:rPr>
        <w:t xml:space="preserve">the market value of the tenant’s </w:t>
      </w:r>
      <w:sdt>
        <w:sdtPr>
          <w:rPr>
            <w:highlight w:val="green"/>
          </w:rPr>
          <w:alias w:val="LH Interest"/>
          <w:tag w:val="LH Interest"/>
          <w:id w:val="974877013"/>
          <w:placeholder>
            <w:docPart w:val="B2033638BD204F91AADC59BD8736612D"/>
          </w:placeholder>
          <w:dropDownList>
            <w:listItem w:value="Choose an item."/>
            <w:listItem w:displayText="positive" w:value="positive"/>
            <w:listItem w:displayText="negative" w:value="negative"/>
          </w:dropDownList>
        </w:sdtPr>
        <w:sdtEndPr/>
        <w:sdtContent>
          <w:r w:rsidR="00E0069E" w:rsidRPr="006807F5">
            <w:rPr>
              <w:highlight w:val="green"/>
            </w:rPr>
            <w:t>positive</w:t>
          </w:r>
        </w:sdtContent>
      </w:sdt>
      <w:r w:rsidR="00E0069E" w:rsidRPr="003664B6">
        <w:t xml:space="preserve"> </w:t>
      </w:r>
      <w:r>
        <w:rPr>
          <w:rFonts w:cs="Arial"/>
          <w:szCs w:val="22"/>
        </w:rPr>
        <w:t xml:space="preserve">leasehold interest </w:t>
      </w:r>
      <w:sdt>
        <w:sdtPr>
          <w:rPr>
            <w:rFonts w:cs="Segoe UI"/>
            <w:szCs w:val="22"/>
            <w:highlight w:val="green"/>
          </w:rPr>
          <w:alias w:val="From or To"/>
          <w:tag w:val="From or To"/>
          <w:id w:val="-614603094"/>
          <w:placeholder>
            <w:docPart w:val="F2A97634EBA34D118A2ACB893EC32A00"/>
          </w:placeholder>
          <w:dropDownList>
            <w:listItem w:value="Choose an item."/>
            <w:listItem w:displayText="from" w:value="from"/>
            <w:listItem w:displayText="to" w:value="to"/>
          </w:dropDownList>
        </w:sdtPr>
        <w:sdtContent>
          <w:r w:rsidR="00AE6101" w:rsidRPr="00E0069E">
            <w:rPr>
              <w:rFonts w:cs="Segoe UI"/>
              <w:szCs w:val="22"/>
              <w:highlight w:val="green"/>
            </w:rPr>
            <w:t>from</w:t>
          </w:r>
        </w:sdtContent>
      </w:sdt>
      <w:r w:rsidR="00AE6101" w:rsidRPr="00E0069E">
        <w:rPr>
          <w:rFonts w:cs="Segoe UI"/>
          <w:szCs w:val="22"/>
          <w:highlight w:val="green"/>
        </w:rPr>
        <w:t xml:space="preserve"> </w:t>
      </w:r>
      <w:r w:rsidRPr="00F13F73">
        <w:rPr>
          <w:rFonts w:cs="Arial"/>
          <w:szCs w:val="22"/>
        </w:rPr>
        <w:t xml:space="preserve">the </w:t>
      </w:r>
      <w:r w:rsidRPr="000A0044">
        <w:rPr>
          <w:rFonts w:cs="Arial"/>
          <w:szCs w:val="22"/>
        </w:rPr>
        <w:t xml:space="preserve">stabilized fee simple value, it is the appraiser’s opinion that the </w:t>
      </w:r>
      <w:r w:rsidRPr="000A0044">
        <w:rPr>
          <w:rFonts w:cs="Arial"/>
          <w:b/>
          <w:szCs w:val="22"/>
        </w:rPr>
        <w:t>final concluded as is</w:t>
      </w:r>
      <w:r>
        <w:rPr>
          <w:rFonts w:cs="Arial"/>
          <w:b/>
          <w:szCs w:val="22"/>
        </w:rPr>
        <w:t xml:space="preserve"> </w:t>
      </w:r>
      <w:r w:rsidRPr="000A0044">
        <w:rPr>
          <w:rFonts w:cs="Arial"/>
          <w:b/>
          <w:szCs w:val="22"/>
        </w:rPr>
        <w:t xml:space="preserve"> market value</w:t>
      </w:r>
      <w:r w:rsidRPr="000A0044">
        <w:rPr>
          <w:rFonts w:cs="Arial"/>
          <w:szCs w:val="22"/>
        </w:rPr>
        <w:t xml:space="preserve"> of the </w:t>
      </w:r>
      <w:r w:rsidRPr="000A0044">
        <w:rPr>
          <w:rFonts w:cs="Arial"/>
          <w:szCs w:val="22"/>
          <w:u w:val="single"/>
        </w:rPr>
        <w:t>leased fee</w:t>
      </w:r>
      <w:r w:rsidRPr="000A0044">
        <w:rPr>
          <w:rFonts w:cs="Arial"/>
          <w:szCs w:val="22"/>
        </w:rPr>
        <w:t xml:space="preserve"> interest in the </w:t>
      </w:r>
      <w:r w:rsidRPr="000A0044">
        <w:rPr>
          <w:rFonts w:cs="Arial"/>
          <w:b/>
          <w:szCs w:val="22"/>
        </w:rPr>
        <w:t>subject property</w:t>
      </w:r>
      <w:r w:rsidRPr="000A0044">
        <w:rPr>
          <w:rFonts w:cs="Arial"/>
          <w:szCs w:val="22"/>
        </w:rPr>
        <w:t xml:space="preserve">, as of </w:t>
      </w:r>
      <w:r w:rsidR="00053A4C">
        <w:t>${</w:t>
      </w:r>
      <w:r w:rsidR="00053A4C" w:rsidRPr="00053A4C">
        <w:t>eff_date_value</w:t>
      </w:r>
      <w:r w:rsidR="00053A4C">
        <w:t>}</w:t>
      </w:r>
      <w:r w:rsidRPr="000A0044">
        <w:rPr>
          <w:rFonts w:cs="Arial"/>
          <w:szCs w:val="22"/>
        </w:rPr>
        <w:t xml:space="preserve">, is as follows: </w:t>
      </w:r>
    </w:p>
    <w:p w14:paraId="26DB7B71" w14:textId="77777777" w:rsidR="006807F5" w:rsidRPr="00DE1400" w:rsidRDefault="006807F5" w:rsidP="006807F5">
      <w:pPr>
        <w:rPr>
          <w:rFonts w:cstheme="minorHAnsi"/>
        </w:rPr>
      </w:pPr>
    </w:p>
    <w:tbl>
      <w:tblPr>
        <w:tblW w:w="0" w:type="auto"/>
        <w:jc w:val="center"/>
        <w:tblLayout w:type="fixed"/>
        <w:tblCellMar>
          <w:left w:w="153" w:type="dxa"/>
          <w:right w:w="153" w:type="dxa"/>
        </w:tblCellMar>
        <w:tblLook w:val="0000" w:firstRow="0" w:lastRow="0" w:firstColumn="0" w:lastColumn="0" w:noHBand="0" w:noVBand="0"/>
      </w:tblPr>
      <w:tblGrid>
        <w:gridCol w:w="6547"/>
        <w:gridCol w:w="1665"/>
      </w:tblGrid>
      <w:tr w:rsidR="006807F5" w:rsidRPr="000A0044" w14:paraId="4AFE775F" w14:textId="77777777" w:rsidTr="00A16296">
        <w:trPr>
          <w:jc w:val="center"/>
        </w:trPr>
        <w:tc>
          <w:tcPr>
            <w:tcW w:w="6547" w:type="dxa"/>
            <w:tcBorders>
              <w:bottom w:val="single" w:sz="24" w:space="0" w:color="3FB44F"/>
            </w:tcBorders>
            <w:shd w:val="clear" w:color="auto" w:fill="1E4959"/>
          </w:tcPr>
          <w:p w14:paraId="4D1B53EC" w14:textId="77777777" w:rsidR="006807F5" w:rsidRPr="000A0044" w:rsidRDefault="006807F5" w:rsidP="00A16296">
            <w:pPr>
              <w:widowControl w:val="0"/>
              <w:tabs>
                <w:tab w:val="left" w:pos="0"/>
                <w:tab w:val="left" w:pos="259"/>
                <w:tab w:val="left" w:pos="518"/>
              </w:tabs>
              <w:spacing w:line="273" w:lineRule="exact"/>
              <w:rPr>
                <w:rFonts w:ascii="Segoe UI" w:hAnsi="Segoe UI"/>
                <w:sz w:val="21"/>
              </w:rPr>
            </w:pPr>
          </w:p>
        </w:tc>
        <w:tc>
          <w:tcPr>
            <w:tcW w:w="1665" w:type="dxa"/>
            <w:tcBorders>
              <w:bottom w:val="single" w:sz="24" w:space="0" w:color="3FB44F"/>
            </w:tcBorders>
            <w:shd w:val="clear" w:color="auto" w:fill="1E4959"/>
          </w:tcPr>
          <w:p w14:paraId="2C6F7594" w14:textId="77777777" w:rsidR="006807F5" w:rsidRPr="000A0044" w:rsidRDefault="006807F5" w:rsidP="00A16296">
            <w:pPr>
              <w:widowControl w:val="0"/>
              <w:tabs>
                <w:tab w:val="left" w:pos="0"/>
                <w:tab w:val="left" w:pos="259"/>
                <w:tab w:val="left" w:pos="518"/>
              </w:tabs>
              <w:spacing w:line="273" w:lineRule="exact"/>
              <w:jc w:val="right"/>
              <w:rPr>
                <w:rFonts w:ascii="Segoe UI" w:hAnsi="Segoe UI"/>
                <w:sz w:val="21"/>
              </w:rPr>
            </w:pPr>
          </w:p>
        </w:tc>
      </w:tr>
      <w:tr w:rsidR="006807F5" w:rsidRPr="006551F9" w14:paraId="0D0FEFFF" w14:textId="77777777" w:rsidTr="00A16296">
        <w:trPr>
          <w:jc w:val="center"/>
        </w:trPr>
        <w:tc>
          <w:tcPr>
            <w:tcW w:w="6547" w:type="dxa"/>
            <w:tcBorders>
              <w:top w:val="single" w:sz="24" w:space="0" w:color="3FB44F"/>
              <w:right w:val="single" w:sz="6" w:space="0" w:color="auto"/>
            </w:tcBorders>
          </w:tcPr>
          <w:p w14:paraId="1F3651BA" w14:textId="77777777" w:rsidR="006807F5" w:rsidRPr="006551F9" w:rsidRDefault="006807F5" w:rsidP="00A16296">
            <w:pPr>
              <w:widowControl w:val="0"/>
              <w:tabs>
                <w:tab w:val="left" w:pos="0"/>
                <w:tab w:val="left" w:pos="259"/>
                <w:tab w:val="left" w:pos="518"/>
              </w:tabs>
              <w:spacing w:after="58" w:line="400" w:lineRule="exact"/>
            </w:pPr>
            <w:r w:rsidRPr="006551F9">
              <w:t>Stabilized Market Value – Fee Simple</w:t>
            </w:r>
          </w:p>
        </w:tc>
        <w:tc>
          <w:tcPr>
            <w:tcW w:w="1665" w:type="dxa"/>
            <w:tcBorders>
              <w:top w:val="single" w:sz="24" w:space="0" w:color="3FB44F"/>
              <w:left w:val="nil"/>
            </w:tcBorders>
          </w:tcPr>
          <w:p w14:paraId="01EA1ABA" w14:textId="51842CAC" w:rsidR="006807F5" w:rsidRPr="00354F90" w:rsidRDefault="006807F5" w:rsidP="00A16296">
            <w:pPr>
              <w:widowControl w:val="0"/>
              <w:tabs>
                <w:tab w:val="left" w:pos="3960"/>
              </w:tabs>
              <w:spacing w:after="58" w:line="400" w:lineRule="exact"/>
              <w:jc w:val="center"/>
              <w:rPr>
                <w:rFonts w:cs="Arial"/>
                <w:bCs/>
                <w:szCs w:val="22"/>
                <w:highlight w:val="yellow"/>
              </w:rPr>
            </w:pPr>
            <w:r w:rsidRPr="00354F90">
              <w:rPr>
                <w:rFonts w:cs="Arial"/>
                <w:bCs/>
                <w:szCs w:val="22"/>
                <w:highlight w:val="yellow"/>
              </w:rPr>
              <w:t>$</w:t>
            </w:r>
            <w:r w:rsidR="00E0069E" w:rsidRPr="00354F90">
              <w:rPr>
                <w:rFonts w:cs="Arial"/>
                <w:bCs/>
                <w:szCs w:val="22"/>
                <w:highlight w:val="yellow"/>
              </w:rPr>
              <w:t>___________</w:t>
            </w:r>
          </w:p>
        </w:tc>
      </w:tr>
      <w:tr w:rsidR="00E0069E" w:rsidRPr="006551F9" w14:paraId="3900C825" w14:textId="77777777" w:rsidTr="00A16296">
        <w:trPr>
          <w:jc w:val="center"/>
        </w:trPr>
        <w:tc>
          <w:tcPr>
            <w:tcW w:w="6547" w:type="dxa"/>
            <w:tcBorders>
              <w:bottom w:val="single" w:sz="4" w:space="0" w:color="auto"/>
              <w:right w:val="single" w:sz="6" w:space="0" w:color="auto"/>
            </w:tcBorders>
          </w:tcPr>
          <w:p w14:paraId="3776B360" w14:textId="18E7B4D9" w:rsidR="00E0069E" w:rsidRPr="006551F9" w:rsidRDefault="008E7CD9" w:rsidP="00E0069E">
            <w:pPr>
              <w:widowControl w:val="0"/>
              <w:tabs>
                <w:tab w:val="left" w:pos="0"/>
                <w:tab w:val="left" w:pos="259"/>
                <w:tab w:val="left" w:pos="518"/>
              </w:tabs>
              <w:spacing w:after="58" w:line="400" w:lineRule="exact"/>
            </w:pPr>
            <w:sdt>
              <w:sdtPr>
                <w:rPr>
                  <w:rFonts w:cs="Arial"/>
                  <w:b/>
                  <w:szCs w:val="22"/>
                  <w:highlight w:val="green"/>
                </w:rPr>
                <w:alias w:val="Add - Less"/>
                <w:tag w:val="Add - Less"/>
                <w:id w:val="445976207"/>
                <w:placeholder>
                  <w:docPart w:val="DB53DAFFCD8E470586ECF07B4B182E8F"/>
                </w:placeholder>
                <w:dropDownList>
                  <w:listItem w:value="Choose an item."/>
                  <w:listItem w:displayText="Less:" w:value="Less:"/>
                  <w:listItem w:displayText="Add:" w:value="Add:"/>
                </w:dropDownList>
              </w:sdtPr>
              <w:sdtEndPr/>
              <w:sdtContent>
                <w:r w:rsidR="00E0069E">
                  <w:rPr>
                    <w:rFonts w:cs="Arial"/>
                    <w:b/>
                    <w:szCs w:val="22"/>
                    <w:highlight w:val="green"/>
                  </w:rPr>
                  <w:t>Less:</w:t>
                </w:r>
              </w:sdtContent>
            </w:sdt>
            <w:r w:rsidR="00E0069E">
              <w:rPr>
                <w:rFonts w:cs="Arial"/>
                <w:b/>
                <w:szCs w:val="22"/>
              </w:rPr>
              <w:t xml:space="preserve">  </w:t>
            </w:r>
            <w:sdt>
              <w:sdtPr>
                <w:rPr>
                  <w:rFonts w:cs="Arial"/>
                  <w:b/>
                  <w:szCs w:val="22"/>
                  <w:highlight w:val="green"/>
                </w:rPr>
                <w:alias w:val="LH Interest"/>
                <w:tag w:val="LH Interest"/>
                <w:id w:val="-820728671"/>
                <w:placeholder>
                  <w:docPart w:val="DB53DAFFCD8E470586ECF07B4B182E8F"/>
                </w:placeholder>
                <w:dropDownList>
                  <w:listItem w:value="Choose an item."/>
                  <w:listItem w:displayText="Positive" w:value="Positive"/>
                  <w:listItem w:displayText="Negative" w:value="Negative"/>
                </w:dropDownList>
              </w:sdtPr>
              <w:sdtEndPr/>
              <w:sdtContent>
                <w:r w:rsidR="00E0069E">
                  <w:rPr>
                    <w:rFonts w:cs="Arial"/>
                    <w:b/>
                    <w:szCs w:val="22"/>
                    <w:highlight w:val="green"/>
                  </w:rPr>
                  <w:t>Positive</w:t>
                </w:r>
              </w:sdtContent>
            </w:sdt>
            <w:r w:rsidR="00E0069E" w:rsidRPr="0014226B">
              <w:rPr>
                <w:rFonts w:cs="Arial"/>
                <w:b/>
                <w:szCs w:val="22"/>
                <w:highlight w:val="green"/>
              </w:rPr>
              <w:t xml:space="preserve"> </w:t>
            </w:r>
            <w:r w:rsidR="00E0069E" w:rsidRPr="0014226B">
              <w:rPr>
                <w:rFonts w:cs="Arial"/>
                <w:b/>
                <w:szCs w:val="22"/>
              </w:rPr>
              <w:t>Leasehold Interest</w:t>
            </w:r>
          </w:p>
        </w:tc>
        <w:tc>
          <w:tcPr>
            <w:tcW w:w="1665" w:type="dxa"/>
            <w:tcBorders>
              <w:left w:val="nil"/>
              <w:bottom w:val="single" w:sz="4" w:space="0" w:color="auto"/>
            </w:tcBorders>
          </w:tcPr>
          <w:p w14:paraId="5FCC3B03" w14:textId="46779D11" w:rsidR="00E0069E" w:rsidRPr="00015A52" w:rsidRDefault="00E0069E" w:rsidP="00E0069E">
            <w:pPr>
              <w:widowControl w:val="0"/>
              <w:tabs>
                <w:tab w:val="left" w:pos="3960"/>
              </w:tabs>
              <w:spacing w:after="58" w:line="400" w:lineRule="exact"/>
              <w:jc w:val="center"/>
              <w:rPr>
                <w:rFonts w:cs="Arial"/>
                <w:bCs/>
                <w:szCs w:val="22"/>
              </w:rPr>
            </w:pPr>
            <w:r>
              <w:rPr>
                <w:rFonts w:cs="Arial"/>
                <w:b/>
                <w:color w:val="FF0000"/>
                <w:szCs w:val="22"/>
                <w:highlight w:val="yellow"/>
              </w:rPr>
              <w:t xml:space="preserve">     </w:t>
            </w:r>
            <w:r w:rsidRPr="00A3429E">
              <w:rPr>
                <w:rFonts w:cs="Arial"/>
                <w:b/>
                <w:color w:val="FF0000"/>
                <w:szCs w:val="22"/>
                <w:highlight w:val="yellow"/>
              </w:rPr>
              <w:t>($</w:t>
            </w:r>
            <w:r>
              <w:rPr>
                <w:rFonts w:cs="Arial"/>
                <w:b/>
                <w:color w:val="FF0000"/>
                <w:szCs w:val="22"/>
                <w:highlight w:val="yellow"/>
              </w:rPr>
              <w:t>_______</w:t>
            </w:r>
            <w:r w:rsidRPr="00A3429E">
              <w:rPr>
                <w:rFonts w:cs="Arial"/>
                <w:b/>
                <w:color w:val="FF0000"/>
                <w:szCs w:val="22"/>
                <w:highlight w:val="yellow"/>
              </w:rPr>
              <w:t>)</w:t>
            </w:r>
          </w:p>
        </w:tc>
      </w:tr>
      <w:tr w:rsidR="006807F5" w:rsidRPr="00AD1DBB" w14:paraId="2CC3E84D" w14:textId="77777777" w:rsidTr="00A16296">
        <w:trPr>
          <w:jc w:val="center"/>
        </w:trPr>
        <w:tc>
          <w:tcPr>
            <w:tcW w:w="6547" w:type="dxa"/>
            <w:tcBorders>
              <w:top w:val="single" w:sz="4" w:space="0" w:color="auto"/>
              <w:bottom w:val="double" w:sz="6" w:space="0" w:color="auto"/>
              <w:right w:val="single" w:sz="6" w:space="0" w:color="auto"/>
            </w:tcBorders>
          </w:tcPr>
          <w:p w14:paraId="6E0AF60D" w14:textId="77777777" w:rsidR="006807F5" w:rsidRPr="006551F9" w:rsidRDefault="006807F5" w:rsidP="00A16296">
            <w:pPr>
              <w:widowControl w:val="0"/>
              <w:tabs>
                <w:tab w:val="left" w:pos="0"/>
                <w:tab w:val="left" w:pos="259"/>
                <w:tab w:val="left" w:pos="518"/>
              </w:tabs>
              <w:spacing w:after="58" w:line="400" w:lineRule="exact"/>
              <w:jc w:val="left"/>
              <w:rPr>
                <w:b/>
              </w:rPr>
            </w:pPr>
            <w:r w:rsidRPr="006551F9">
              <w:rPr>
                <w:b/>
              </w:rPr>
              <w:t>Concluded As Is Market Value – Leased Fee</w:t>
            </w:r>
          </w:p>
        </w:tc>
        <w:tc>
          <w:tcPr>
            <w:tcW w:w="1665" w:type="dxa"/>
            <w:tcBorders>
              <w:top w:val="single" w:sz="4" w:space="0" w:color="auto"/>
              <w:left w:val="nil"/>
              <w:bottom w:val="double" w:sz="6" w:space="0" w:color="auto"/>
            </w:tcBorders>
          </w:tcPr>
          <w:p w14:paraId="358E3CEC" w14:textId="43398711" w:rsidR="006807F5" w:rsidRPr="006551F9" w:rsidRDefault="006807F5" w:rsidP="00A16296">
            <w:pPr>
              <w:widowControl w:val="0"/>
              <w:tabs>
                <w:tab w:val="left" w:pos="3960"/>
              </w:tabs>
              <w:spacing w:after="58" w:line="400" w:lineRule="exact"/>
              <w:jc w:val="center"/>
              <w:rPr>
                <w:rFonts w:cs="Arial"/>
                <w:b/>
                <w:szCs w:val="22"/>
              </w:rPr>
            </w:pPr>
            <w:r w:rsidRPr="00354F90">
              <w:rPr>
                <w:rFonts w:cs="Arial"/>
                <w:b/>
                <w:szCs w:val="22"/>
                <w:highlight w:val="yellow"/>
              </w:rPr>
              <w:t>$</w:t>
            </w:r>
            <w:r w:rsidR="00E0069E" w:rsidRPr="00354F90">
              <w:rPr>
                <w:rFonts w:cs="Arial"/>
                <w:b/>
                <w:szCs w:val="22"/>
                <w:highlight w:val="yellow"/>
              </w:rPr>
              <w:t>__________</w:t>
            </w:r>
          </w:p>
        </w:tc>
      </w:tr>
    </w:tbl>
    <w:p w14:paraId="72B39F25" w14:textId="77777777" w:rsidR="006807F5" w:rsidRDefault="006807F5" w:rsidP="006807F5">
      <w:pPr>
        <w:rPr>
          <w:rFonts w:cstheme="minorHAnsi"/>
        </w:rPr>
      </w:pPr>
    </w:p>
    <w:p w14:paraId="6FED5216" w14:textId="184E2295" w:rsidR="006807F5" w:rsidRDefault="006807F5" w:rsidP="006807F5">
      <w:pPr>
        <w:rPr>
          <w:rFonts w:cstheme="minorHAnsi"/>
        </w:rPr>
      </w:pPr>
      <w:r w:rsidRPr="007136A7">
        <w:rPr>
          <w:rFonts w:cstheme="minorHAnsi"/>
        </w:rPr>
        <w:t>The preceding equates to leased fee unit value of $</w:t>
      </w:r>
      <w:r w:rsidRPr="00354F90">
        <w:rPr>
          <w:rFonts w:cstheme="minorHAnsi"/>
          <w:highlight w:val="yellow"/>
        </w:rPr>
        <w:t>140.91</w:t>
      </w:r>
      <w:r w:rsidRPr="007136A7">
        <w:rPr>
          <w:rFonts w:cstheme="minorHAnsi"/>
        </w:rPr>
        <w:t xml:space="preserve"> per SF </w:t>
      </w:r>
      <w:sdt>
        <w:sdtPr>
          <w:rPr>
            <w:rFonts w:cstheme="minorHAnsi"/>
            <w:highlight w:val="green"/>
          </w:rPr>
          <w:alias w:val="GLA or NRA"/>
          <w:tag w:val="GLA or NRA"/>
          <w:id w:val="287479999"/>
          <w:placeholder>
            <w:docPart w:val="DefaultPlaceholder_-1854013438"/>
          </w:placeholder>
          <w:dropDownList>
            <w:listItem w:value="Choose an item."/>
            <w:listItem w:displayText="GLA" w:value="GLA"/>
            <w:listItem w:displayText="NRA" w:value="NRA"/>
          </w:dropDownList>
        </w:sdtPr>
        <w:sdtEndPr/>
        <w:sdtContent>
          <w:r w:rsidRPr="00354F90">
            <w:rPr>
              <w:rFonts w:cstheme="minorHAnsi"/>
              <w:highlight w:val="green"/>
            </w:rPr>
            <w:t>G</w:t>
          </w:r>
          <w:r w:rsidR="00354F90" w:rsidRPr="00354F90">
            <w:rPr>
              <w:rFonts w:cstheme="minorHAnsi"/>
              <w:highlight w:val="green"/>
            </w:rPr>
            <w:t>L</w:t>
          </w:r>
          <w:r w:rsidRPr="00354F90">
            <w:rPr>
              <w:rFonts w:cstheme="minorHAnsi"/>
              <w:highlight w:val="green"/>
            </w:rPr>
            <w:t>A</w:t>
          </w:r>
        </w:sdtContent>
      </w:sdt>
      <w:r w:rsidRPr="007136A7">
        <w:rPr>
          <w:rFonts w:cstheme="minorHAnsi"/>
        </w:rPr>
        <w:t xml:space="preserve"> which is still reasonably bracketed by the improved sales analyzed as part of the Sales Comparison Approach.</w:t>
      </w:r>
      <w:r>
        <w:rPr>
          <w:rFonts w:cstheme="minorHAnsi"/>
        </w:rPr>
        <w:t xml:space="preserve">  </w:t>
      </w:r>
      <w:r w:rsidRPr="00354F90">
        <w:rPr>
          <w:rFonts w:cstheme="minorHAnsi"/>
          <w:highlight w:val="yellow"/>
        </w:rPr>
        <w:t>Further, deducting 5% each for vacancy and expenses from the annual contract rent (next 12-month period) of $156,240 results in leased fee NOI of $141,007.  Divided by our as is market value, this infers a leased fee cap rate of 5.05% - well below the comparables, but reasonable given the upside potential in market rents upon renewal or possible re-tenanting</w:t>
      </w:r>
      <w:r>
        <w:rPr>
          <w:rFonts w:cstheme="minorHAnsi"/>
        </w:rPr>
        <w:t>.</w:t>
      </w:r>
    </w:p>
    <w:p w14:paraId="7E731BBC" w14:textId="320E548A" w:rsidR="006807F5" w:rsidRDefault="006807F5" w:rsidP="006807F5">
      <w:pPr>
        <w:rPr>
          <w:rFonts w:cstheme="minorHAnsi"/>
        </w:rPr>
      </w:pPr>
    </w:p>
    <w:p w14:paraId="6ACDF50B" w14:textId="7275D035" w:rsidR="00C90C2C" w:rsidRDefault="00C90C2C" w:rsidP="006807F5">
      <w:pPr>
        <w:rPr>
          <w:rFonts w:cstheme="minorHAnsi"/>
        </w:rPr>
      </w:pPr>
    </w:p>
    <w:p w14:paraId="2CC1741F" w14:textId="14908E46" w:rsidR="00C90C2C" w:rsidRDefault="00C90C2C" w:rsidP="006807F5">
      <w:pPr>
        <w:rPr>
          <w:rFonts w:cstheme="minorHAnsi"/>
        </w:rPr>
      </w:pPr>
    </w:p>
    <w:p w14:paraId="08AED213" w14:textId="35BDD0AF" w:rsidR="00C90C2C" w:rsidRDefault="00C90C2C" w:rsidP="006807F5">
      <w:pPr>
        <w:rPr>
          <w:rFonts w:cstheme="minorHAnsi"/>
        </w:rPr>
      </w:pPr>
    </w:p>
    <w:p w14:paraId="4DFBA2BD" w14:textId="499F0C58" w:rsidR="00C90C2C" w:rsidRDefault="00C90C2C" w:rsidP="006807F5">
      <w:pPr>
        <w:rPr>
          <w:rFonts w:cstheme="minorHAnsi"/>
        </w:rPr>
      </w:pPr>
    </w:p>
    <w:p w14:paraId="75A96415" w14:textId="7E716AD8" w:rsidR="00C90C2C" w:rsidRDefault="00C90C2C" w:rsidP="006807F5">
      <w:pPr>
        <w:rPr>
          <w:rFonts w:cstheme="minorHAnsi"/>
        </w:rPr>
      </w:pPr>
    </w:p>
    <w:p w14:paraId="601CCBFD" w14:textId="4BCA9BED" w:rsidR="00C90C2C" w:rsidRDefault="00C90C2C" w:rsidP="006807F5">
      <w:pPr>
        <w:rPr>
          <w:rFonts w:cstheme="minorHAnsi"/>
        </w:rPr>
      </w:pPr>
    </w:p>
    <w:p w14:paraId="36CCA5F8" w14:textId="77777777" w:rsidR="00C90C2C" w:rsidRDefault="00C90C2C" w:rsidP="006807F5">
      <w:pPr>
        <w:rPr>
          <w:rFonts w:cstheme="minorHAnsi"/>
        </w:rPr>
      </w:pPr>
    </w:p>
    <w:p w14:paraId="703A0C3B" w14:textId="77777777" w:rsidR="00C90C2C" w:rsidRDefault="00C90C2C" w:rsidP="00C90C2C">
      <w:pPr>
        <w:rPr>
          <w:rFonts w:cs="Segoe UI"/>
        </w:rPr>
      </w:pPr>
    </w:p>
    <w:p w14:paraId="7DF41ECD" w14:textId="3B8245BB" w:rsidR="00C90C2C" w:rsidRPr="00DD7C5D" w:rsidRDefault="00C90C2C" w:rsidP="00C90C2C">
      <w:pPr>
        <w:rPr>
          <w:rFonts w:cs="Segoe UI"/>
          <w:b/>
          <w:bCs/>
        </w:rPr>
      </w:pPr>
      <w:r w:rsidRPr="0094083B">
        <w:rPr>
          <w:rFonts w:cs="Segoe UI"/>
          <w:b/>
          <w:bCs/>
          <w:highlight w:val="green"/>
        </w:rPr>
        <w:t>Option 3 – Concluded Prospective (Absorption Analysis)</w:t>
      </w:r>
    </w:p>
    <w:p w14:paraId="0FB9E204" w14:textId="77777777" w:rsidR="00C90C2C" w:rsidRPr="00D7083B" w:rsidRDefault="00C90C2C" w:rsidP="00C90C2C">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Concluded </w:t>
      </w:r>
      <w:r w:rsidRPr="00D7083B">
        <w:rPr>
          <w:rFonts w:asciiTheme="minorHAnsi" w:hAnsiTheme="minorHAnsi" w:cs="Arial"/>
          <w:b w:val="0"/>
          <w:color w:val="1E4959"/>
          <w:spacing w:val="0"/>
          <w:kern w:val="20"/>
          <w:sz w:val="28"/>
          <w:szCs w:val="22"/>
        </w:rPr>
        <w:t xml:space="preserve">Prospective Market Value </w:t>
      </w:r>
      <w:r>
        <w:rPr>
          <w:rFonts w:asciiTheme="minorHAnsi" w:hAnsiTheme="minorHAnsi" w:cs="Arial"/>
          <w:b w:val="0"/>
          <w:color w:val="1E4959"/>
          <w:spacing w:val="0"/>
          <w:kern w:val="20"/>
          <w:sz w:val="28"/>
          <w:szCs w:val="22"/>
        </w:rPr>
        <w:t xml:space="preserve">- </w:t>
      </w:r>
      <w:r w:rsidRPr="00D7083B">
        <w:rPr>
          <w:rFonts w:asciiTheme="minorHAnsi" w:hAnsiTheme="minorHAnsi" w:cs="Arial"/>
          <w:b w:val="0"/>
          <w:color w:val="1E4959"/>
          <w:spacing w:val="0"/>
          <w:kern w:val="20"/>
          <w:sz w:val="28"/>
          <w:szCs w:val="22"/>
        </w:rPr>
        <w:t>Stabilized</w:t>
      </w:r>
    </w:p>
    <w:p w14:paraId="69206714" w14:textId="77777777" w:rsidR="00C90C2C" w:rsidRDefault="00C90C2C" w:rsidP="00C90C2C">
      <w:pPr>
        <w:rPr>
          <w:rFonts w:cs="Arial"/>
          <w:szCs w:val="22"/>
        </w:rPr>
      </w:pPr>
      <w:r>
        <w:rPr>
          <w:rFonts w:cs="Arial"/>
          <w:szCs w:val="22"/>
        </w:rPr>
        <w:t xml:space="preserve">Assuming the subject’s </w:t>
      </w:r>
      <w:r w:rsidRPr="00C90C2C">
        <w:rPr>
          <w:rFonts w:cs="Arial"/>
          <w:szCs w:val="22"/>
          <w:highlight w:val="yellow"/>
        </w:rPr>
        <w:t>future 100% leased / stabilized status as a two-tenant industrial property,</w:t>
      </w:r>
      <w:r>
        <w:rPr>
          <w:rFonts w:cs="Arial"/>
          <w:szCs w:val="22"/>
        </w:rPr>
        <w:t xml:space="preserve"> primary emphasis would be placed on the Income Capitalization Approach due to its strong investor appeal.  However, good credible support is also provided by the Cost and Sales Comparison Approaches which were given strong secondary consideration in arriving at the concluded prospective stabilized market value. </w:t>
      </w:r>
    </w:p>
    <w:p w14:paraId="1B1F49E0" w14:textId="77777777" w:rsidR="00C90C2C" w:rsidRDefault="00C90C2C" w:rsidP="00C90C2C">
      <w:pPr>
        <w:rPr>
          <w:rFonts w:cs="Arial"/>
          <w:szCs w:val="22"/>
        </w:rPr>
      </w:pPr>
    </w:p>
    <w:p w14:paraId="1A61E786" w14:textId="77777777" w:rsidR="00C90C2C" w:rsidRDefault="00C90C2C" w:rsidP="00C90C2C">
      <w:pPr>
        <w:rPr>
          <w:rFonts w:cs="Arial"/>
          <w:szCs w:val="22"/>
        </w:rPr>
      </w:pPr>
      <w:r w:rsidRPr="00C90C2C">
        <w:rPr>
          <w:rFonts w:cs="Arial"/>
          <w:szCs w:val="22"/>
          <w:highlight w:val="yellow"/>
        </w:rPr>
        <w:t>Note that this prospective stabilized valuation was conducted under the assumption that the subject will be leased at market rents under typical market terms.  Therefore, the prospective stabilized value conclusions is reported as leased fee, consistent with the client’s requested scope of work.  However, the prospective stabilized leased fee and fee simple values are considered equal to one-another.</w:t>
      </w:r>
    </w:p>
    <w:p w14:paraId="38FBCEA8" w14:textId="77777777" w:rsidR="00C90C2C" w:rsidRPr="00D7083B" w:rsidRDefault="00C90C2C" w:rsidP="00C90C2C">
      <w:pPr>
        <w:rPr>
          <w:rFonts w:cs="Arial"/>
          <w:szCs w:val="22"/>
        </w:rPr>
      </w:pPr>
    </w:p>
    <w:p w14:paraId="2F33C7BE" w14:textId="23F52903" w:rsidR="00C90C2C" w:rsidRPr="00D7083B" w:rsidRDefault="00C90C2C" w:rsidP="00C90C2C">
      <w:pPr>
        <w:rPr>
          <w:rFonts w:cs="Arial"/>
          <w:szCs w:val="22"/>
        </w:rPr>
      </w:pPr>
      <w:r w:rsidRPr="00D7083B">
        <w:rPr>
          <w:rFonts w:cs="Arial"/>
          <w:szCs w:val="22"/>
        </w:rPr>
        <w:t xml:space="preserve">Based on the research, analyses and conclusions contained within this report, it is the appraiser’s opinion that the </w:t>
      </w:r>
      <w:r w:rsidRPr="00D7083B">
        <w:rPr>
          <w:rFonts w:cs="Arial"/>
          <w:b/>
          <w:szCs w:val="22"/>
        </w:rPr>
        <w:t xml:space="preserve">concluded prospective stabilized market value </w:t>
      </w:r>
      <w:r w:rsidRPr="00D7083B">
        <w:rPr>
          <w:rFonts w:cs="Arial"/>
          <w:szCs w:val="22"/>
        </w:rPr>
        <w:t xml:space="preserve">of the </w:t>
      </w:r>
      <w:r>
        <w:rPr>
          <w:rFonts w:cs="Arial"/>
          <w:szCs w:val="22"/>
        </w:rPr>
        <w:t xml:space="preserve">leased </w:t>
      </w:r>
      <w:r w:rsidRPr="00D7083B">
        <w:rPr>
          <w:rFonts w:cs="Arial"/>
          <w:szCs w:val="22"/>
        </w:rPr>
        <w:t>fee interest in the subject pro</w:t>
      </w:r>
      <w:r>
        <w:rPr>
          <w:rFonts w:cs="Arial"/>
          <w:szCs w:val="22"/>
        </w:rPr>
        <w:t>ject (</w:t>
      </w:r>
      <w:r w:rsidRPr="00C90C2C">
        <w:rPr>
          <w:rFonts w:cs="Arial"/>
          <w:szCs w:val="22"/>
          <w:highlight w:val="yellow"/>
        </w:rPr>
        <w:t>95%</w:t>
      </w:r>
      <w:r>
        <w:rPr>
          <w:rFonts w:cs="Arial"/>
          <w:szCs w:val="22"/>
        </w:rPr>
        <w:t xml:space="preserve"> stabilized occupancy)</w:t>
      </w:r>
      <w:r w:rsidRPr="00D7083B">
        <w:rPr>
          <w:rFonts w:cs="Arial"/>
          <w:szCs w:val="22"/>
        </w:rPr>
        <w:t xml:space="preserve">, as of </w:t>
      </w:r>
      <w:r w:rsidR="00053A4C">
        <w:t>${</w:t>
      </w:r>
      <w:r w:rsidR="00053A4C" w:rsidRPr="00053A4C">
        <w:t>eff_date_value</w:t>
      </w:r>
      <w:r w:rsidR="00053A4C">
        <w:t>}</w:t>
      </w:r>
      <w:r>
        <w:rPr>
          <w:rFonts w:cs="Arial"/>
          <w:szCs w:val="22"/>
        </w:rPr>
        <w:t>, should be</w:t>
      </w:r>
      <w:r w:rsidRPr="00D7083B">
        <w:rPr>
          <w:rFonts w:cs="Arial"/>
          <w:szCs w:val="22"/>
        </w:rPr>
        <w:t>:</w:t>
      </w:r>
    </w:p>
    <w:p w14:paraId="70828D27" w14:textId="77777777" w:rsidR="00C90C2C" w:rsidRPr="00975A26" w:rsidRDefault="00C90C2C" w:rsidP="00C90C2C">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869"/>
      </w:tblGrid>
      <w:tr w:rsidR="00C90C2C" w:rsidRPr="000754FA" w14:paraId="2DBEFB92" w14:textId="77777777" w:rsidTr="00A16296">
        <w:trPr>
          <w:jc w:val="center"/>
        </w:trPr>
        <w:tc>
          <w:tcPr>
            <w:tcW w:w="5400" w:type="dxa"/>
            <w:tcBorders>
              <w:bottom w:val="single" w:sz="24" w:space="0" w:color="3FB44F"/>
            </w:tcBorders>
            <w:shd w:val="clear" w:color="auto" w:fill="1E4959"/>
          </w:tcPr>
          <w:p w14:paraId="5B6DF5CC" w14:textId="77777777" w:rsidR="00C90C2C" w:rsidRPr="000754FA" w:rsidRDefault="00C90C2C"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869" w:type="dxa"/>
            <w:tcBorders>
              <w:bottom w:val="single" w:sz="24" w:space="0" w:color="3FB44F"/>
            </w:tcBorders>
            <w:shd w:val="clear" w:color="auto" w:fill="1E4959"/>
          </w:tcPr>
          <w:p w14:paraId="247B6ADA" w14:textId="77777777" w:rsidR="00C90C2C" w:rsidRPr="000754FA" w:rsidRDefault="00C90C2C" w:rsidP="00A16296">
            <w:pPr>
              <w:widowControl w:val="0"/>
              <w:tabs>
                <w:tab w:val="left" w:pos="0"/>
                <w:tab w:val="left" w:pos="259"/>
                <w:tab w:val="left" w:pos="518"/>
              </w:tabs>
              <w:spacing w:line="273" w:lineRule="exact"/>
              <w:jc w:val="right"/>
              <w:rPr>
                <w:rFonts w:cs="Arial"/>
                <w:szCs w:val="22"/>
              </w:rPr>
            </w:pPr>
          </w:p>
        </w:tc>
      </w:tr>
      <w:tr w:rsidR="00C90C2C" w:rsidRPr="00061DC5" w14:paraId="383677C1" w14:textId="77777777" w:rsidTr="00A16296">
        <w:trPr>
          <w:jc w:val="center"/>
        </w:trPr>
        <w:tc>
          <w:tcPr>
            <w:tcW w:w="5400" w:type="dxa"/>
            <w:tcBorders>
              <w:top w:val="single" w:sz="6" w:space="0" w:color="auto"/>
              <w:bottom w:val="double" w:sz="4" w:space="0" w:color="auto"/>
              <w:right w:val="single" w:sz="6" w:space="0" w:color="auto"/>
            </w:tcBorders>
          </w:tcPr>
          <w:p w14:paraId="12C5E9BB" w14:textId="77777777" w:rsidR="00C90C2C" w:rsidRPr="009C1DF6" w:rsidRDefault="00C90C2C" w:rsidP="00A16296">
            <w:pPr>
              <w:pStyle w:val="Footer"/>
              <w:tabs>
                <w:tab w:val="clear" w:pos="4320"/>
                <w:tab w:val="clear" w:pos="8640"/>
                <w:tab w:val="left" w:pos="0"/>
                <w:tab w:val="left" w:pos="259"/>
                <w:tab w:val="left" w:pos="518"/>
              </w:tabs>
              <w:spacing w:line="440" w:lineRule="exact"/>
              <w:rPr>
                <w:rFonts w:cs="Segoe UI"/>
                <w:b/>
              </w:rPr>
            </w:pPr>
            <w:r>
              <w:rPr>
                <w:rFonts w:cs="Segoe UI"/>
                <w:b/>
              </w:rPr>
              <w:t xml:space="preserve">Concluded Prospective Market Value - </w:t>
            </w:r>
            <w:r w:rsidRPr="00061DC5">
              <w:rPr>
                <w:rFonts w:cs="Segoe UI"/>
                <w:b/>
              </w:rPr>
              <w:t>Stabilized</w:t>
            </w:r>
          </w:p>
        </w:tc>
        <w:tc>
          <w:tcPr>
            <w:tcW w:w="1869" w:type="dxa"/>
            <w:tcBorders>
              <w:top w:val="single" w:sz="6" w:space="0" w:color="auto"/>
              <w:left w:val="nil"/>
              <w:bottom w:val="double" w:sz="4" w:space="0" w:color="auto"/>
            </w:tcBorders>
          </w:tcPr>
          <w:p w14:paraId="4DA46EAB" w14:textId="3280A2D6" w:rsidR="00C90C2C" w:rsidRPr="00061DC5" w:rsidRDefault="00C90C2C" w:rsidP="00A16296">
            <w:pPr>
              <w:widowControl w:val="0"/>
              <w:tabs>
                <w:tab w:val="left" w:pos="0"/>
                <w:tab w:val="left" w:pos="259"/>
                <w:tab w:val="left" w:pos="518"/>
              </w:tabs>
              <w:spacing w:after="58" w:line="480" w:lineRule="exact"/>
              <w:jc w:val="center"/>
              <w:rPr>
                <w:rFonts w:cs="Arial"/>
                <w:szCs w:val="22"/>
              </w:rPr>
            </w:pPr>
            <w:r w:rsidRPr="00C90C2C">
              <w:rPr>
                <w:rFonts w:cs="Arial"/>
                <w:b/>
                <w:szCs w:val="22"/>
                <w:highlight w:val="yellow"/>
              </w:rPr>
              <w:t>$____________</w:t>
            </w:r>
          </w:p>
        </w:tc>
      </w:tr>
    </w:tbl>
    <w:p w14:paraId="1C9CF497" w14:textId="77777777" w:rsidR="00C90C2C" w:rsidRDefault="00C90C2C" w:rsidP="00C90C2C">
      <w:pPr>
        <w:rPr>
          <w:rFonts w:cs="Arial"/>
          <w:szCs w:val="22"/>
        </w:rPr>
      </w:pPr>
    </w:p>
    <w:p w14:paraId="4208717B" w14:textId="77777777" w:rsidR="00C90C2C" w:rsidRPr="00CC1F18" w:rsidRDefault="00C90C2C" w:rsidP="00C90C2C">
      <w:pPr>
        <w:keepNext/>
        <w:keepLines/>
        <w:spacing w:before="260"/>
        <w:outlineLvl w:val="1"/>
        <w:rPr>
          <w:rFonts w:cs="Arial"/>
          <w:iCs/>
          <w:color w:val="1E4959"/>
          <w:sz w:val="28"/>
          <w:szCs w:val="22"/>
        </w:rPr>
      </w:pPr>
      <w:r w:rsidRPr="00CC1F18">
        <w:rPr>
          <w:rFonts w:cs="Arial"/>
          <w:iCs/>
          <w:color w:val="1E4959"/>
          <w:sz w:val="28"/>
          <w:szCs w:val="22"/>
        </w:rPr>
        <w:t>Prospective Market Valuation at Completion</w:t>
      </w:r>
    </w:p>
    <w:p w14:paraId="58F65512" w14:textId="77777777" w:rsidR="00C90C2C" w:rsidRPr="00CC1F18" w:rsidRDefault="00C90C2C" w:rsidP="00C90C2C">
      <w:pPr>
        <w:keepNext/>
        <w:keepLines/>
        <w:spacing w:before="120"/>
        <w:outlineLvl w:val="1"/>
        <w:rPr>
          <w:rFonts w:cs="Arial"/>
          <w:iCs/>
          <w:color w:val="1E4959"/>
          <w:sz w:val="24"/>
          <w:szCs w:val="22"/>
          <w:u w:val="single"/>
        </w:rPr>
      </w:pPr>
      <w:r w:rsidRPr="00CC1F18">
        <w:rPr>
          <w:rFonts w:cs="Arial"/>
          <w:iCs/>
          <w:color w:val="1E4959"/>
          <w:sz w:val="24"/>
          <w:szCs w:val="22"/>
          <w:u w:val="single"/>
        </w:rPr>
        <w:t>Absorption / Lease-up Analysis</w:t>
      </w:r>
    </w:p>
    <w:p w14:paraId="7D2A8820" w14:textId="77777777" w:rsidR="00C90C2C" w:rsidRPr="0094083B" w:rsidRDefault="00C90C2C" w:rsidP="00C90C2C">
      <w:pPr>
        <w:rPr>
          <w:highlight w:val="yellow"/>
        </w:rPr>
      </w:pPr>
      <w:r w:rsidRPr="0094083B">
        <w:rPr>
          <w:highlight w:val="yellow"/>
        </w:rPr>
        <w:t xml:space="preserve">As previously discussed, the subject property is forecast to be 100% leased two tenants on stabilization, each assumed with an equal size space with an equal amount of office build-out.  Given that marketing has already begin for the project, with groundbreaking in May 2020, and project completion by February 2021, this leaves approximately 12 months in order to sign one or possibly even two tenant leases.  Our review of tenant interest relating to companies currently seeking distribution space like the subject (see Listings / Offers / Contracts subsection near the beginning of this report) would suggest current active interest and a strong possibility of pre-leasing at least 50% of the subject project on completion.  </w:t>
      </w:r>
    </w:p>
    <w:p w14:paraId="63B525BD" w14:textId="77777777" w:rsidR="00C90C2C" w:rsidRPr="0094083B" w:rsidRDefault="00C90C2C" w:rsidP="00C90C2C">
      <w:pPr>
        <w:rPr>
          <w:highlight w:val="yellow"/>
        </w:rPr>
      </w:pPr>
    </w:p>
    <w:p w14:paraId="3775B614" w14:textId="2EE498E1" w:rsidR="00C90C2C" w:rsidRPr="0094083B" w:rsidRDefault="00C90C2C" w:rsidP="00C90C2C">
      <w:pPr>
        <w:rPr>
          <w:highlight w:val="yellow"/>
        </w:rPr>
      </w:pPr>
      <w:r w:rsidRPr="0094083B">
        <w:rPr>
          <w:highlight w:val="yellow"/>
        </w:rPr>
        <w:t xml:space="preserve">Note that our Market </w:t>
      </w:r>
      <w:r w:rsidR="0094083B" w:rsidRPr="0094083B">
        <w:rPr>
          <w:highlight w:val="yellow"/>
        </w:rPr>
        <w:t>Analysis</w:t>
      </w:r>
      <w:r w:rsidRPr="0094083B">
        <w:rPr>
          <w:highlight w:val="yellow"/>
        </w:rPr>
        <w:t xml:space="preserve"> section reported the average lease-up time for space in the immediate CBD / West Vancouver submarket at 5.7 months, while the average leasing time in the larger Clark County market was reported at 6.3 months. Further, the market statistics indicate </w:t>
      </w:r>
      <w:r w:rsidRPr="0094083B">
        <w:rPr>
          <w:rFonts w:cs="Arial"/>
          <w:szCs w:val="22"/>
          <w:highlight w:val="yellow"/>
        </w:rPr>
        <w:t>an approximate 75% probability of leasing a space within 6 months, and a +90% chance within 12 months of being actively marketed.</w:t>
      </w:r>
      <w:r w:rsidRPr="0094083B">
        <w:rPr>
          <w:highlight w:val="yellow"/>
        </w:rPr>
        <w:t xml:space="preserve"> With a pre-construction / development period of 12 months, </w:t>
      </w:r>
      <w:r w:rsidRPr="0094083B">
        <w:rPr>
          <w:highlight w:val="yellow"/>
          <w:u w:val="single"/>
        </w:rPr>
        <w:t>an additional absorption period of 6 months after the date of completion is reasonably anticipated</w:t>
      </w:r>
      <w:r w:rsidRPr="0094083B">
        <w:rPr>
          <w:highlight w:val="yellow"/>
        </w:rPr>
        <w:t xml:space="preserve">.  This would infer a prospective stabilization date of August 1, 2021. Based on the preceding, we have assumed 50% of the subject will be leased on completion, with the remaining 50% leased within 6 months thereafter. </w:t>
      </w:r>
    </w:p>
    <w:p w14:paraId="39D6DEC1" w14:textId="77777777" w:rsidR="00C90C2C" w:rsidRPr="0094083B" w:rsidRDefault="00C90C2C" w:rsidP="00C90C2C">
      <w:pPr>
        <w:rPr>
          <w:highlight w:val="yellow"/>
        </w:rPr>
      </w:pPr>
    </w:p>
    <w:p w14:paraId="032C6284" w14:textId="77777777" w:rsidR="00C90C2C" w:rsidRPr="0094083B" w:rsidRDefault="00C90C2C" w:rsidP="00C90C2C">
      <w:pPr>
        <w:rPr>
          <w:highlight w:val="yellow"/>
        </w:rPr>
      </w:pPr>
      <w:r w:rsidRPr="0094083B">
        <w:rPr>
          <w:highlight w:val="yellow"/>
        </w:rPr>
        <w:t>With 50% pre-leased on completion (96,212 SF GLA), in order for the entire 192,424 SF project to theoretically achieve stabilized occupancy (192,424 SF x 95% = 182,803 SF stabilized occupancy over a 10-</w:t>
      </w:r>
      <w:r w:rsidRPr="0094083B">
        <w:rPr>
          <w:highlight w:val="yellow"/>
        </w:rPr>
        <w:lastRenderedPageBreak/>
        <w:t xml:space="preserve">year investment holding term), there needs to be 86,591 SF to be leased.  However, the reality is that the developer will need to lease the entire project with likely two individual tenant leases, with this analysis taking into account the entirety of both tenant spaces to be absorbed.  </w:t>
      </w:r>
    </w:p>
    <w:p w14:paraId="58CC119B" w14:textId="77777777" w:rsidR="00C90C2C" w:rsidRPr="0094083B" w:rsidRDefault="00C90C2C" w:rsidP="00C90C2C">
      <w:pPr>
        <w:rPr>
          <w:highlight w:val="yellow"/>
        </w:rPr>
      </w:pPr>
    </w:p>
    <w:p w14:paraId="27CC553C" w14:textId="77777777" w:rsidR="00C90C2C" w:rsidRPr="0094083B" w:rsidRDefault="00C90C2C" w:rsidP="00C90C2C">
      <w:pPr>
        <w:rPr>
          <w:highlight w:val="yellow"/>
        </w:rPr>
      </w:pPr>
      <w:r w:rsidRPr="0094083B">
        <w:rPr>
          <w:highlight w:val="yellow"/>
        </w:rPr>
        <w:t>Note that no incremental lease-up is assumed in this analysis, with the average square footage for the two tenant spaces (96,212 SF GLA) assumed to achieve full occupancy at the end of the 6</w:t>
      </w:r>
      <w:r w:rsidRPr="0094083B">
        <w:rPr>
          <w:highlight w:val="yellow"/>
        </w:rPr>
        <w:noBreakHyphen/>
        <w:t>month absorption period.  Our projection assumes the first space will leased / occupied on completion, with the final space leased in Month 6.</w:t>
      </w:r>
    </w:p>
    <w:p w14:paraId="64EE94D1" w14:textId="77777777" w:rsidR="00C90C2C" w:rsidRPr="0094083B" w:rsidRDefault="00C90C2C" w:rsidP="00C90C2C">
      <w:pPr>
        <w:rPr>
          <w:highlight w:val="yellow"/>
        </w:rPr>
      </w:pPr>
    </w:p>
    <w:p w14:paraId="2FD014B5" w14:textId="77777777" w:rsidR="00C90C2C" w:rsidRPr="0094083B" w:rsidRDefault="00C90C2C" w:rsidP="00C90C2C">
      <w:pPr>
        <w:rPr>
          <w:highlight w:val="yellow"/>
        </w:rPr>
      </w:pPr>
      <w:r w:rsidRPr="0094083B">
        <w:rPr>
          <w:highlight w:val="yellow"/>
        </w:rPr>
        <w:t xml:space="preserve">Rent loss over the 6-month lease-up period is based on the average monthly blended market rent for the entire project of $0.619 per SF NNN, and includes a 5.0% deduction for stabilized vacancy.  Leasing commission of 4.0% of the total rent over an assumed typical 7.5-year lease (assuming likely range of 5 to 10 years for the subject spaces) are deducted, as are the developer’s pro forma Tenant Improvement cost estimate at $120.00 per SF office area.  Foregone monthly expense recoveries are roughly estimated at $0.169 per SF, which is considered to cover property taxes, insurance, nominal utilities, common area expenses (landscaping, etc.) and management fees over the lease-up period, and was also adjusted for stabilized vacancy of 5.0%.  Total expenses over the absorption period are estimated at $1,629,100. </w:t>
      </w:r>
    </w:p>
    <w:p w14:paraId="5CB7241E" w14:textId="77777777" w:rsidR="00C90C2C" w:rsidRPr="0094083B" w:rsidRDefault="00C90C2C" w:rsidP="00C90C2C">
      <w:pPr>
        <w:rPr>
          <w:highlight w:val="yellow"/>
        </w:rPr>
      </w:pPr>
    </w:p>
    <w:p w14:paraId="78F16DDC" w14:textId="77777777" w:rsidR="00C90C2C" w:rsidRDefault="00C90C2C" w:rsidP="00C90C2C">
      <w:r w:rsidRPr="0094083B">
        <w:rPr>
          <w:highlight w:val="yellow"/>
        </w:rPr>
        <w:t>The final consideration for lease-up costs is in the form of developer’s profit, which is typically applicable for income-producing properties.  However, in the case of the subject project, it is being developed as institutional grade investment property, with a reasonable entrepreneurial required to compensate for the risk and effort of lease-up.  Such projects are typically in the range of 10% to 20% , depending on the level of perceived risk. Therefore, a 15% developer’s profit is assumed in this analysis due to its average risk characteristics.</w:t>
      </w:r>
    </w:p>
    <w:p w14:paraId="61107E64" w14:textId="77777777" w:rsidR="00C90C2C" w:rsidRDefault="00C90C2C" w:rsidP="00C90C2C"/>
    <w:p w14:paraId="50CDAAB4" w14:textId="77777777" w:rsidR="00C90C2C" w:rsidRDefault="00C90C2C" w:rsidP="00C90C2C">
      <w:r>
        <w:t>Overall, a total</w:t>
      </w:r>
      <w:r w:rsidRPr="00664E95">
        <w:t xml:space="preserve"> deduction of </w:t>
      </w:r>
      <w:r w:rsidRPr="0094083B">
        <w:rPr>
          <w:b/>
          <w:highlight w:val="yellow"/>
        </w:rPr>
        <w:t>$1,875,000</w:t>
      </w:r>
      <w:r w:rsidRPr="00664E95">
        <w:t xml:space="preserve"> </w:t>
      </w:r>
      <w:r>
        <w:t>(rounded to the nearest $5,000) from</w:t>
      </w:r>
      <w:r w:rsidRPr="00664E95">
        <w:t xml:space="preserve"> the </w:t>
      </w:r>
      <w:r>
        <w:t xml:space="preserve">prospective </w:t>
      </w:r>
      <w:r w:rsidRPr="00664E95">
        <w:t xml:space="preserve">stabilized market value of the subject for </w:t>
      </w:r>
      <w:r w:rsidRPr="00E8213A">
        <w:rPr>
          <w:b/>
          <w:bCs/>
        </w:rPr>
        <w:t>Absorption / Lease-Up Costs</w:t>
      </w:r>
      <w:r w:rsidRPr="00664E95">
        <w:t xml:space="preserve"> is applicable to conclude at the prospective value at completion.</w:t>
      </w:r>
      <w:r>
        <w:rPr>
          <w:b/>
        </w:rPr>
        <w:t xml:space="preserve"> </w:t>
      </w:r>
      <w:r>
        <w:t>The lease-up calculations are provided following this subsection.</w:t>
      </w:r>
    </w:p>
    <w:p w14:paraId="7D1A9633" w14:textId="77777777" w:rsidR="00C90C2C" w:rsidRPr="00892C65" w:rsidRDefault="00C90C2C" w:rsidP="00C90C2C">
      <w:pPr>
        <w:keepNext/>
        <w:keepLines/>
        <w:spacing w:before="260"/>
        <w:outlineLvl w:val="1"/>
        <w:rPr>
          <w:rFonts w:cs="Arial"/>
          <w:iCs/>
          <w:color w:val="1E4959"/>
          <w:sz w:val="28"/>
          <w:szCs w:val="22"/>
        </w:rPr>
      </w:pPr>
      <w:r w:rsidRPr="00892C65">
        <w:rPr>
          <w:rFonts w:cs="Arial"/>
          <w:iCs/>
          <w:color w:val="1E4959"/>
          <w:sz w:val="28"/>
          <w:szCs w:val="22"/>
        </w:rPr>
        <w:t xml:space="preserve">Concluded </w:t>
      </w:r>
      <w:r>
        <w:rPr>
          <w:rFonts w:cs="Arial"/>
          <w:iCs/>
          <w:color w:val="1E4959"/>
          <w:sz w:val="28"/>
          <w:szCs w:val="22"/>
        </w:rPr>
        <w:t xml:space="preserve">Prospective </w:t>
      </w:r>
      <w:r w:rsidRPr="00892C65">
        <w:rPr>
          <w:rFonts w:cs="Arial"/>
          <w:iCs/>
          <w:color w:val="1E4959"/>
          <w:sz w:val="28"/>
          <w:szCs w:val="22"/>
        </w:rPr>
        <w:t>Market Value</w:t>
      </w:r>
      <w:r>
        <w:rPr>
          <w:rFonts w:cs="Arial"/>
          <w:iCs/>
          <w:color w:val="1E4959"/>
          <w:sz w:val="28"/>
          <w:szCs w:val="22"/>
        </w:rPr>
        <w:t xml:space="preserve"> - At Completion</w:t>
      </w:r>
    </w:p>
    <w:p w14:paraId="0001286E" w14:textId="35609F10" w:rsidR="00C90C2C" w:rsidRPr="00975A26" w:rsidRDefault="00C90C2C" w:rsidP="00C90C2C">
      <w:pPr>
        <w:rPr>
          <w:rFonts w:cs="Segoe UI"/>
        </w:rPr>
      </w:pPr>
      <w:r>
        <w:rPr>
          <w:rFonts w:cs="Segoe UI"/>
        </w:rPr>
        <w:t>Deducting the lease-up cost from</w:t>
      </w:r>
      <w:r w:rsidRPr="00975A26">
        <w:rPr>
          <w:rFonts w:cs="Segoe UI"/>
        </w:rPr>
        <w:t xml:space="preserve"> the concluded </w:t>
      </w:r>
      <w:r>
        <w:rPr>
          <w:rFonts w:cs="Segoe UI"/>
        </w:rPr>
        <w:t xml:space="preserve">prospective </w:t>
      </w:r>
      <w:r w:rsidRPr="00975A26">
        <w:rPr>
          <w:rFonts w:cs="Segoe UI"/>
        </w:rPr>
        <w:t xml:space="preserve">stabilized </w:t>
      </w:r>
      <w:r>
        <w:rPr>
          <w:rFonts w:cs="Segoe UI"/>
        </w:rPr>
        <w:t xml:space="preserve">market </w:t>
      </w:r>
      <w:r w:rsidRPr="00975A26">
        <w:rPr>
          <w:rFonts w:cs="Segoe UI"/>
        </w:rPr>
        <w:t xml:space="preserve">value results in </w:t>
      </w:r>
      <w:r>
        <w:rPr>
          <w:rFonts w:cs="Segoe UI"/>
        </w:rPr>
        <w:t xml:space="preserve">the </w:t>
      </w:r>
      <w:r w:rsidRPr="00975A26">
        <w:rPr>
          <w:rFonts w:cs="Segoe UI"/>
          <w:b/>
        </w:rPr>
        <w:t xml:space="preserve">concluded </w:t>
      </w:r>
      <w:r>
        <w:rPr>
          <w:rFonts w:cs="Segoe UI"/>
          <w:b/>
        </w:rPr>
        <w:t>prospective market value at completion</w:t>
      </w:r>
      <w:r>
        <w:rPr>
          <w:rFonts w:cs="Segoe UI"/>
        </w:rPr>
        <w:t xml:space="preserve"> of the </w:t>
      </w:r>
      <w:r w:rsidRPr="00FC58FA">
        <w:rPr>
          <w:rFonts w:cs="Segoe UI"/>
          <w:u w:val="single"/>
        </w:rPr>
        <w:t>leased fee</w:t>
      </w:r>
      <w:r>
        <w:rPr>
          <w:rFonts w:cs="Segoe UI"/>
        </w:rPr>
        <w:t xml:space="preserve"> interest in the </w:t>
      </w:r>
      <w:r w:rsidRPr="00D1288D">
        <w:rPr>
          <w:rFonts w:cs="Segoe UI"/>
          <w:b/>
        </w:rPr>
        <w:t>subject pro</w:t>
      </w:r>
      <w:r>
        <w:rPr>
          <w:rFonts w:cs="Segoe UI"/>
          <w:b/>
        </w:rPr>
        <w:t xml:space="preserve">ject </w:t>
      </w:r>
      <w:r>
        <w:rPr>
          <w:rFonts w:cs="Segoe UI"/>
          <w:bCs/>
        </w:rPr>
        <w:t>(50% pre-leased)</w:t>
      </w:r>
      <w:r w:rsidRPr="00975A26">
        <w:rPr>
          <w:rFonts w:cs="Segoe UI"/>
        </w:rPr>
        <w:t xml:space="preserve">, as of </w:t>
      </w:r>
      <w:r w:rsidR="00053A4C">
        <w:t>${</w:t>
      </w:r>
      <w:r w:rsidR="00053A4C" w:rsidRPr="00053A4C">
        <w:t>eff_date_value</w:t>
      </w:r>
      <w:r w:rsidR="00053A4C">
        <w:t>}</w:t>
      </w:r>
      <w:r>
        <w:rPr>
          <w:rFonts w:cs="Segoe UI"/>
        </w:rPr>
        <w:t xml:space="preserve">, </w:t>
      </w:r>
      <w:r w:rsidRPr="00975A26">
        <w:rPr>
          <w:rFonts w:cs="Segoe UI"/>
        </w:rPr>
        <w:t>as follows:</w:t>
      </w:r>
    </w:p>
    <w:p w14:paraId="4778A7DA" w14:textId="77777777" w:rsidR="00C90C2C" w:rsidRPr="00975A26" w:rsidRDefault="00C90C2C" w:rsidP="00C90C2C">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5400"/>
        <w:gridCol w:w="1539"/>
      </w:tblGrid>
      <w:tr w:rsidR="00C90C2C" w:rsidRPr="000754FA" w14:paraId="503AEED6" w14:textId="77777777" w:rsidTr="00A16296">
        <w:trPr>
          <w:jc w:val="center"/>
        </w:trPr>
        <w:tc>
          <w:tcPr>
            <w:tcW w:w="5400" w:type="dxa"/>
            <w:tcBorders>
              <w:bottom w:val="single" w:sz="24" w:space="0" w:color="3FB44F"/>
            </w:tcBorders>
            <w:shd w:val="clear" w:color="auto" w:fill="1E4959"/>
          </w:tcPr>
          <w:p w14:paraId="7ACC3042" w14:textId="77777777" w:rsidR="00C90C2C" w:rsidRPr="000754FA" w:rsidRDefault="00C90C2C" w:rsidP="00A16296">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1539" w:type="dxa"/>
            <w:tcBorders>
              <w:bottom w:val="single" w:sz="24" w:space="0" w:color="3FB44F"/>
            </w:tcBorders>
            <w:shd w:val="clear" w:color="auto" w:fill="1E4959"/>
          </w:tcPr>
          <w:p w14:paraId="0664486B" w14:textId="77777777" w:rsidR="00C90C2C" w:rsidRPr="000754FA" w:rsidRDefault="00C90C2C" w:rsidP="00A16296">
            <w:pPr>
              <w:widowControl w:val="0"/>
              <w:tabs>
                <w:tab w:val="left" w:pos="0"/>
                <w:tab w:val="left" w:pos="259"/>
                <w:tab w:val="left" w:pos="518"/>
              </w:tabs>
              <w:spacing w:line="273" w:lineRule="exact"/>
              <w:jc w:val="right"/>
              <w:rPr>
                <w:rFonts w:cs="Arial"/>
                <w:szCs w:val="22"/>
              </w:rPr>
            </w:pPr>
          </w:p>
        </w:tc>
      </w:tr>
      <w:tr w:rsidR="00C90C2C" w:rsidRPr="000754FA" w14:paraId="18D015CE" w14:textId="77777777" w:rsidTr="00A16296">
        <w:trPr>
          <w:trHeight w:val="480"/>
          <w:jc w:val="center"/>
        </w:trPr>
        <w:tc>
          <w:tcPr>
            <w:tcW w:w="5400" w:type="dxa"/>
            <w:tcBorders>
              <w:top w:val="single" w:sz="24" w:space="0" w:color="3FB44F"/>
              <w:right w:val="single" w:sz="6" w:space="0" w:color="auto"/>
            </w:tcBorders>
          </w:tcPr>
          <w:p w14:paraId="7FE969E5" w14:textId="77777777" w:rsidR="00C90C2C" w:rsidRPr="001B1881" w:rsidRDefault="00C90C2C" w:rsidP="00A16296">
            <w:pPr>
              <w:widowControl w:val="0"/>
              <w:tabs>
                <w:tab w:val="left" w:pos="0"/>
                <w:tab w:val="left" w:pos="259"/>
                <w:tab w:val="left" w:pos="518"/>
              </w:tabs>
              <w:spacing w:after="58" w:line="480" w:lineRule="exact"/>
              <w:jc w:val="left"/>
              <w:rPr>
                <w:rFonts w:cs="Arial"/>
                <w:szCs w:val="22"/>
              </w:rPr>
            </w:pPr>
            <w:r>
              <w:rPr>
                <w:rFonts w:cs="Arial"/>
                <w:szCs w:val="22"/>
              </w:rPr>
              <w:t xml:space="preserve">Concluded Prospective Market </w:t>
            </w:r>
            <w:r w:rsidRPr="001B1881">
              <w:rPr>
                <w:rFonts w:cs="Arial"/>
                <w:szCs w:val="22"/>
              </w:rPr>
              <w:t>Value</w:t>
            </w:r>
            <w:r>
              <w:rPr>
                <w:rFonts w:cs="Arial"/>
                <w:szCs w:val="22"/>
              </w:rPr>
              <w:t xml:space="preserve"> - Stabilized</w:t>
            </w:r>
          </w:p>
        </w:tc>
        <w:tc>
          <w:tcPr>
            <w:tcW w:w="1539" w:type="dxa"/>
            <w:tcBorders>
              <w:top w:val="single" w:sz="24" w:space="0" w:color="3FB44F"/>
              <w:left w:val="nil"/>
            </w:tcBorders>
          </w:tcPr>
          <w:p w14:paraId="38907472" w14:textId="0832F738" w:rsidR="00C90C2C" w:rsidRPr="0094083B" w:rsidRDefault="00C90C2C" w:rsidP="00A16296">
            <w:pPr>
              <w:widowControl w:val="0"/>
              <w:tabs>
                <w:tab w:val="left" w:pos="0"/>
                <w:tab w:val="left" w:pos="259"/>
                <w:tab w:val="left" w:pos="518"/>
              </w:tabs>
              <w:spacing w:after="58" w:line="480" w:lineRule="exact"/>
              <w:jc w:val="right"/>
              <w:rPr>
                <w:highlight w:val="yellow"/>
              </w:rPr>
            </w:pPr>
            <w:r w:rsidRPr="0094083B">
              <w:rPr>
                <w:rFonts w:cs="Arial"/>
                <w:szCs w:val="22"/>
                <w:highlight w:val="yellow"/>
              </w:rPr>
              <w:t>$</w:t>
            </w:r>
            <w:r w:rsidR="0094083B" w:rsidRPr="0094083B">
              <w:rPr>
                <w:rFonts w:cs="Arial"/>
                <w:szCs w:val="22"/>
                <w:highlight w:val="yellow"/>
              </w:rPr>
              <w:t>_________</w:t>
            </w:r>
            <w:r w:rsidRPr="0094083B">
              <w:rPr>
                <w:highlight w:val="yellow"/>
              </w:rPr>
              <w:t> </w:t>
            </w:r>
          </w:p>
        </w:tc>
      </w:tr>
      <w:tr w:rsidR="00C90C2C" w:rsidRPr="00197CD2" w14:paraId="3BFE0AC4" w14:textId="77777777" w:rsidTr="00A16296">
        <w:trPr>
          <w:jc w:val="center"/>
        </w:trPr>
        <w:tc>
          <w:tcPr>
            <w:tcW w:w="5400" w:type="dxa"/>
            <w:tcBorders>
              <w:bottom w:val="single" w:sz="6" w:space="0" w:color="auto"/>
              <w:right w:val="single" w:sz="6" w:space="0" w:color="auto"/>
            </w:tcBorders>
          </w:tcPr>
          <w:p w14:paraId="01E131E4" w14:textId="77777777" w:rsidR="00C90C2C" w:rsidRPr="00417140" w:rsidRDefault="00C90C2C" w:rsidP="00A16296">
            <w:pPr>
              <w:pStyle w:val="Footer"/>
              <w:tabs>
                <w:tab w:val="clear" w:pos="4320"/>
                <w:tab w:val="clear" w:pos="8640"/>
                <w:tab w:val="left" w:pos="0"/>
                <w:tab w:val="left" w:pos="259"/>
                <w:tab w:val="left" w:pos="518"/>
              </w:tabs>
              <w:spacing w:line="440" w:lineRule="exact"/>
              <w:rPr>
                <w:rFonts w:cs="Segoe UI"/>
              </w:rPr>
            </w:pPr>
            <w:r>
              <w:rPr>
                <w:rFonts w:cs="Segoe UI"/>
              </w:rPr>
              <w:t>Less</w:t>
            </w:r>
            <w:r w:rsidRPr="00417140">
              <w:rPr>
                <w:rFonts w:cs="Segoe UI"/>
              </w:rPr>
              <w:t>:</w:t>
            </w:r>
            <w:r>
              <w:rPr>
                <w:rFonts w:cs="Segoe UI"/>
              </w:rPr>
              <w:t xml:space="preserve">  Absorption / Lease-Up / Remaining TI Costs</w:t>
            </w:r>
          </w:p>
        </w:tc>
        <w:tc>
          <w:tcPr>
            <w:tcW w:w="1539" w:type="dxa"/>
            <w:tcBorders>
              <w:left w:val="nil"/>
              <w:bottom w:val="single" w:sz="6" w:space="0" w:color="auto"/>
            </w:tcBorders>
          </w:tcPr>
          <w:p w14:paraId="3743B831" w14:textId="5B804DB1" w:rsidR="00C90C2C" w:rsidRPr="0094083B" w:rsidRDefault="00C90C2C" w:rsidP="00A16296">
            <w:pPr>
              <w:widowControl w:val="0"/>
              <w:tabs>
                <w:tab w:val="left" w:pos="0"/>
                <w:tab w:val="left" w:pos="259"/>
                <w:tab w:val="left" w:pos="518"/>
              </w:tabs>
              <w:spacing w:after="58" w:line="480" w:lineRule="exact"/>
              <w:jc w:val="right"/>
              <w:rPr>
                <w:rFonts w:cs="Arial"/>
                <w:color w:val="FF0000"/>
                <w:szCs w:val="22"/>
                <w:highlight w:val="yellow"/>
              </w:rPr>
            </w:pPr>
            <w:r w:rsidRPr="0094083B">
              <w:rPr>
                <w:rFonts w:cs="Arial"/>
                <w:color w:val="FF0000"/>
                <w:szCs w:val="22"/>
                <w:highlight w:val="yellow"/>
              </w:rPr>
              <w:t>($</w:t>
            </w:r>
            <w:r w:rsidR="0094083B" w:rsidRPr="0094083B">
              <w:rPr>
                <w:rFonts w:cs="Arial"/>
                <w:color w:val="FF0000"/>
                <w:szCs w:val="22"/>
                <w:highlight w:val="yellow"/>
              </w:rPr>
              <w:t>____</w:t>
            </w:r>
            <w:r w:rsidR="0094083B">
              <w:rPr>
                <w:rFonts w:cs="Arial"/>
                <w:color w:val="FF0000"/>
                <w:szCs w:val="22"/>
                <w:highlight w:val="yellow"/>
              </w:rPr>
              <w:t>_</w:t>
            </w:r>
            <w:r w:rsidR="0094083B" w:rsidRPr="0094083B">
              <w:rPr>
                <w:rFonts w:cs="Arial"/>
                <w:color w:val="FF0000"/>
                <w:szCs w:val="22"/>
                <w:highlight w:val="yellow"/>
              </w:rPr>
              <w:t>____</w:t>
            </w:r>
            <w:r w:rsidRPr="0094083B">
              <w:rPr>
                <w:rFonts w:cs="Arial"/>
                <w:color w:val="FF0000"/>
                <w:szCs w:val="22"/>
                <w:highlight w:val="yellow"/>
              </w:rPr>
              <w:t>)</w:t>
            </w:r>
          </w:p>
        </w:tc>
      </w:tr>
      <w:tr w:rsidR="00C90C2C" w:rsidRPr="00197CD2" w14:paraId="0BC13B48" w14:textId="77777777" w:rsidTr="00A16296">
        <w:trPr>
          <w:jc w:val="center"/>
        </w:trPr>
        <w:tc>
          <w:tcPr>
            <w:tcW w:w="5400" w:type="dxa"/>
            <w:tcBorders>
              <w:top w:val="single" w:sz="6" w:space="0" w:color="auto"/>
              <w:bottom w:val="double" w:sz="4" w:space="0" w:color="auto"/>
              <w:right w:val="single" w:sz="6" w:space="0" w:color="auto"/>
            </w:tcBorders>
          </w:tcPr>
          <w:p w14:paraId="1BEFDF51" w14:textId="77777777" w:rsidR="00C90C2C" w:rsidRPr="009C1DF6" w:rsidRDefault="00C90C2C" w:rsidP="00A16296">
            <w:pPr>
              <w:pStyle w:val="Footer"/>
              <w:tabs>
                <w:tab w:val="clear" w:pos="4320"/>
                <w:tab w:val="clear" w:pos="8640"/>
                <w:tab w:val="left" w:pos="0"/>
                <w:tab w:val="left" w:pos="259"/>
                <w:tab w:val="left" w:pos="518"/>
              </w:tabs>
              <w:spacing w:line="440" w:lineRule="exact"/>
              <w:rPr>
                <w:rFonts w:cs="Segoe UI"/>
                <w:b/>
              </w:rPr>
            </w:pPr>
            <w:r>
              <w:rPr>
                <w:rFonts w:cs="Segoe UI"/>
                <w:b/>
              </w:rPr>
              <w:t>Concluded Prospective Market Value - At Completion</w:t>
            </w:r>
          </w:p>
        </w:tc>
        <w:tc>
          <w:tcPr>
            <w:tcW w:w="1539" w:type="dxa"/>
            <w:tcBorders>
              <w:top w:val="single" w:sz="6" w:space="0" w:color="auto"/>
              <w:left w:val="nil"/>
              <w:bottom w:val="double" w:sz="4" w:space="0" w:color="auto"/>
            </w:tcBorders>
          </w:tcPr>
          <w:p w14:paraId="5C56DF4C" w14:textId="49CBA977" w:rsidR="00C90C2C" w:rsidRPr="0094083B" w:rsidRDefault="00C90C2C" w:rsidP="00A16296">
            <w:pPr>
              <w:widowControl w:val="0"/>
              <w:tabs>
                <w:tab w:val="left" w:pos="0"/>
                <w:tab w:val="left" w:pos="259"/>
                <w:tab w:val="left" w:pos="518"/>
              </w:tabs>
              <w:spacing w:after="58" w:line="480" w:lineRule="exact"/>
              <w:jc w:val="right"/>
              <w:rPr>
                <w:rFonts w:cs="Arial"/>
                <w:color w:val="FF0000"/>
                <w:szCs w:val="22"/>
                <w:highlight w:val="yellow"/>
              </w:rPr>
            </w:pPr>
            <w:r w:rsidRPr="0094083B">
              <w:rPr>
                <w:rFonts w:cs="Arial"/>
                <w:b/>
                <w:szCs w:val="22"/>
                <w:highlight w:val="yellow"/>
              </w:rPr>
              <w:t>$</w:t>
            </w:r>
            <w:r w:rsidR="0094083B" w:rsidRPr="0094083B">
              <w:rPr>
                <w:rFonts w:cs="Arial"/>
                <w:b/>
                <w:szCs w:val="22"/>
                <w:highlight w:val="yellow"/>
              </w:rPr>
              <w:t>_________</w:t>
            </w:r>
            <w:r w:rsidRPr="0094083B">
              <w:rPr>
                <w:rFonts w:cs="Arial"/>
                <w:b/>
                <w:szCs w:val="22"/>
                <w:highlight w:val="yellow"/>
              </w:rPr>
              <w:t> </w:t>
            </w:r>
          </w:p>
        </w:tc>
      </w:tr>
    </w:tbl>
    <w:p w14:paraId="0F0BF660" w14:textId="77777777" w:rsidR="00C90C2C" w:rsidRDefault="00C90C2C" w:rsidP="00C90C2C">
      <w:pPr>
        <w:rPr>
          <w:rFonts w:cs="Segoe UI"/>
        </w:rPr>
      </w:pPr>
    </w:p>
    <w:p w14:paraId="58F783B6" w14:textId="77777777" w:rsidR="00C90C2C" w:rsidRPr="00975A26" w:rsidRDefault="00C90C2C" w:rsidP="00C90C2C">
      <w:pPr>
        <w:ind w:left="-450"/>
        <w:jc w:val="center"/>
        <w:rPr>
          <w:rFonts w:cs="Segoe UI"/>
        </w:rPr>
      </w:pPr>
      <w:r w:rsidRPr="00FC58FA">
        <w:rPr>
          <w:noProof/>
        </w:rPr>
        <w:lastRenderedPageBreak/>
        <w:drawing>
          <wp:inline distT="0" distB="0" distL="0" distR="0" wp14:anchorId="408E2520" wp14:editId="28330AED">
            <wp:extent cx="6561314" cy="41211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6567716" cy="4125171"/>
                    </a:xfrm>
                    <a:prstGeom prst="rect">
                      <a:avLst/>
                    </a:prstGeom>
                    <a:noFill/>
                    <a:ln>
                      <a:noFill/>
                    </a:ln>
                  </pic:spPr>
                </pic:pic>
              </a:graphicData>
            </a:graphic>
          </wp:inline>
        </w:drawing>
      </w:r>
    </w:p>
    <w:p w14:paraId="4C0F35D6" w14:textId="77777777" w:rsidR="00C90C2C" w:rsidRDefault="00C90C2C" w:rsidP="006807F5">
      <w:pPr>
        <w:rPr>
          <w:rFonts w:cstheme="minorHAnsi"/>
        </w:rPr>
      </w:pPr>
    </w:p>
    <w:p w14:paraId="20FC0458" w14:textId="77777777" w:rsidR="006807F5" w:rsidRPr="000754FA" w:rsidRDefault="006807F5" w:rsidP="006807F5">
      <w:pPr>
        <w:pStyle w:val="Heading30"/>
        <w:spacing w:before="240" w:line="228" w:lineRule="auto"/>
        <w:rPr>
          <w:rFonts w:cs="Arial"/>
          <w:b/>
          <w:color w:val="1E4959"/>
          <w:kern w:val="20"/>
          <w:sz w:val="28"/>
          <w:szCs w:val="22"/>
        </w:rPr>
      </w:pPr>
      <w:r w:rsidRPr="006B62CE">
        <w:rPr>
          <w:rFonts w:cs="Arial"/>
          <w:color w:val="1E4959"/>
          <w:kern w:val="20"/>
          <w:sz w:val="24"/>
          <w:szCs w:val="22"/>
        </w:rPr>
        <w:t>Extraordinary</w:t>
      </w:r>
      <w:r w:rsidRPr="000754FA">
        <w:rPr>
          <w:rFonts w:cs="Arial"/>
          <w:color w:val="1E4959"/>
          <w:kern w:val="20"/>
          <w:sz w:val="24"/>
          <w:szCs w:val="22"/>
        </w:rPr>
        <w:t xml:space="preserve"> Assumptions:</w:t>
      </w:r>
    </w:p>
    <w:p w14:paraId="616DDF50" w14:textId="77777777" w:rsidR="0094083B" w:rsidRPr="0094083B" w:rsidRDefault="0094083B" w:rsidP="0094083B">
      <w:pPr>
        <w:pStyle w:val="ListParagraph"/>
        <w:numPr>
          <w:ilvl w:val="0"/>
          <w:numId w:val="26"/>
        </w:numPr>
        <w:rPr>
          <w:rFonts w:cs="Arial"/>
          <w:kern w:val="20"/>
          <w:szCs w:val="22"/>
          <w:highlight w:val="yellow"/>
        </w:rPr>
      </w:pPr>
      <w:r w:rsidRPr="0094083B">
        <w:rPr>
          <w:rFonts w:cs="Arial"/>
          <w:kern w:val="20"/>
          <w:szCs w:val="22"/>
          <w:highlight w:val="yellow"/>
        </w:rPr>
        <w:t>The prospective market value concluded to in this report is predicated upon the proposed improvements being built as detailed in this report with non-defective building materials and is based on preliminary plans supplemented by conversations with the developer. It is therefore fundamental that the proposed improvements be built as described in this report. Finally, the prospective completion date is based on conversations with the developer and is not a guarantee by the appraiser that the project will be competed at that time. If actual construction / timing of the improvements is different than described in this report, the assignment results may be invalid.</w:t>
      </w:r>
    </w:p>
    <w:p w14:paraId="4F1CE271" w14:textId="77777777" w:rsidR="0094083B" w:rsidRPr="0094083B" w:rsidRDefault="0094083B" w:rsidP="0094083B">
      <w:pPr>
        <w:pStyle w:val="ListParagraph"/>
        <w:numPr>
          <w:ilvl w:val="0"/>
          <w:numId w:val="26"/>
        </w:numPr>
        <w:rPr>
          <w:rFonts w:cs="Arial"/>
          <w:kern w:val="20"/>
          <w:szCs w:val="22"/>
          <w:highlight w:val="yellow"/>
        </w:rPr>
      </w:pPr>
      <w:r w:rsidRPr="0094083B">
        <w:rPr>
          <w:rFonts w:cs="Arial"/>
          <w:szCs w:val="22"/>
          <w:highlight w:val="yellow"/>
        </w:rPr>
        <w:t>Note that this prospective stabilized valuation was conducted under the assumption that the subject will be leased at market rents under typical market terms.  Therefore, the prospective stabilized value and prospective value at completion conclusions are reported as leased fee, consistent with the client’s requested scope of work.  However, the prospective stabilized leased fee and fee simple values are considered equal to one-another.  If this assumption is later found to be incorrect, this may impact the assignment results.</w:t>
      </w:r>
    </w:p>
    <w:p w14:paraId="3D523358" w14:textId="77777777" w:rsidR="006807F5" w:rsidRPr="000754FA" w:rsidRDefault="006807F5" w:rsidP="006807F5">
      <w:pPr>
        <w:pStyle w:val="Heading30"/>
        <w:spacing w:line="228" w:lineRule="auto"/>
        <w:rPr>
          <w:rFonts w:cs="Arial"/>
          <w:b/>
          <w:color w:val="1E4959"/>
          <w:kern w:val="20"/>
          <w:sz w:val="28"/>
          <w:szCs w:val="22"/>
        </w:rPr>
      </w:pPr>
      <w:r w:rsidRPr="000754FA">
        <w:rPr>
          <w:rFonts w:cs="Arial"/>
          <w:color w:val="1E4959"/>
          <w:kern w:val="20"/>
          <w:sz w:val="24"/>
          <w:szCs w:val="22"/>
        </w:rPr>
        <w:t>Hypothetical Conditions:</w:t>
      </w:r>
    </w:p>
    <w:p w14:paraId="158886EC" w14:textId="77777777" w:rsidR="006807F5" w:rsidRPr="00C311B9" w:rsidRDefault="006807F5" w:rsidP="006807F5">
      <w:pPr>
        <w:pStyle w:val="ListParagraph"/>
        <w:numPr>
          <w:ilvl w:val="0"/>
          <w:numId w:val="26"/>
        </w:numPr>
        <w:spacing w:after="120"/>
        <w:contextualSpacing w:val="0"/>
        <w:jc w:val="left"/>
        <w:rPr>
          <w:rFonts w:cs="Arial"/>
          <w:kern w:val="20"/>
          <w:szCs w:val="22"/>
        </w:rPr>
      </w:pPr>
      <w:r w:rsidRPr="00C311B9">
        <w:rPr>
          <w:rFonts w:cs="Arial"/>
          <w:kern w:val="20"/>
          <w:szCs w:val="22"/>
        </w:rPr>
        <w:t>None.</w:t>
      </w:r>
    </w:p>
    <w:p w14:paraId="31ACB7F1" w14:textId="77777777" w:rsidR="006807F5" w:rsidRPr="008B181E" w:rsidRDefault="006807F5" w:rsidP="006807F5">
      <w:pPr>
        <w:keepNext/>
        <w:keepLines/>
        <w:spacing w:before="260"/>
        <w:outlineLvl w:val="1"/>
        <w:rPr>
          <w:rFonts w:cs="Arial"/>
          <w:iCs/>
          <w:color w:val="1E4959"/>
          <w:sz w:val="28"/>
          <w:szCs w:val="22"/>
        </w:rPr>
      </w:pPr>
      <w:r w:rsidRPr="008B181E">
        <w:rPr>
          <w:rFonts w:cs="Arial"/>
          <w:iCs/>
          <w:color w:val="1E4959"/>
          <w:sz w:val="28"/>
          <w:szCs w:val="22"/>
        </w:rPr>
        <w:lastRenderedPageBreak/>
        <w:t>Exposure Time and Marketing Periods</w:t>
      </w:r>
    </w:p>
    <w:p w14:paraId="4A1978D5" w14:textId="0F907051" w:rsidR="006807F5" w:rsidRDefault="006807F5" w:rsidP="006807F5">
      <w:pPr>
        <w:pStyle w:val="Footer"/>
        <w:tabs>
          <w:tab w:val="clear" w:pos="4320"/>
          <w:tab w:val="clear" w:pos="8640"/>
        </w:tabs>
        <w:rPr>
          <w:rFonts w:eastAsia="Calibri" w:cs="Arial"/>
          <w:color w:val="000000"/>
          <w:kern w:val="20"/>
          <w:szCs w:val="22"/>
        </w:rPr>
      </w:pPr>
      <w:r w:rsidRPr="008B181E">
        <w:rPr>
          <w:rFonts w:eastAsia="Calibri" w:cs="Arial"/>
          <w:color w:val="000000"/>
          <w:kern w:val="20"/>
          <w:szCs w:val="22"/>
        </w:rPr>
        <w:t>Based on statistical information about days on market, escrow length, and marketing times gathered through national investor surveys, sales verification, and interviews of market participants, marketing and exposure time estimates of up to 12 months, respectively, are considered reasonable and appropriate for the subject property.</w:t>
      </w:r>
    </w:p>
    <w:p w14:paraId="33319211" w14:textId="0FBD6A53" w:rsidR="00F04879" w:rsidRDefault="00F04879" w:rsidP="006807F5">
      <w:pPr>
        <w:pStyle w:val="Footer"/>
        <w:tabs>
          <w:tab w:val="clear" w:pos="4320"/>
          <w:tab w:val="clear" w:pos="8640"/>
        </w:tabs>
        <w:rPr>
          <w:rFonts w:eastAsia="Calibri" w:cs="Arial"/>
          <w:color w:val="000000"/>
          <w:kern w:val="20"/>
          <w:szCs w:val="22"/>
        </w:rPr>
      </w:pPr>
    </w:p>
    <w:p w14:paraId="77590452" w14:textId="77777777" w:rsidR="00F04879" w:rsidRPr="00F04879" w:rsidRDefault="00F04879" w:rsidP="00F04879">
      <w:pPr>
        <w:pStyle w:val="Heading20"/>
        <w:rPr>
          <w:rFonts w:asciiTheme="minorHAnsi" w:hAnsiTheme="minorHAnsi" w:cs="Arial"/>
          <w:b w:val="0"/>
          <w:color w:val="1E4959"/>
          <w:spacing w:val="0"/>
          <w:kern w:val="20"/>
          <w:sz w:val="28"/>
          <w:szCs w:val="22"/>
          <w:highlight w:val="yellow"/>
        </w:rPr>
      </w:pPr>
      <w:bookmarkStart w:id="0" w:name="_Toc434335228"/>
      <w:bookmarkStart w:id="1" w:name="_Toc438119877"/>
      <w:r w:rsidRPr="00F04879">
        <w:rPr>
          <w:rFonts w:asciiTheme="minorHAnsi" w:hAnsiTheme="minorHAnsi" w:cs="Arial"/>
          <w:b w:val="0"/>
          <w:color w:val="1E4959"/>
          <w:spacing w:val="0"/>
          <w:kern w:val="20"/>
          <w:sz w:val="28"/>
          <w:szCs w:val="22"/>
          <w:highlight w:val="yellow"/>
        </w:rPr>
        <w:t>SWOT ANALYSIS</w:t>
      </w:r>
    </w:p>
    <w:bookmarkEnd w:id="0"/>
    <w:bookmarkEnd w:id="1"/>
    <w:p w14:paraId="2D07BC58" w14:textId="77777777" w:rsidR="00F04879" w:rsidRPr="00F04879" w:rsidRDefault="00F04879" w:rsidP="00F04879">
      <w:pPr>
        <w:pStyle w:val="Heading30"/>
        <w:spacing w:before="120" w:line="228" w:lineRule="auto"/>
        <w:rPr>
          <w:rFonts w:cs="Arial"/>
          <w:b/>
          <w:color w:val="1E4959"/>
          <w:kern w:val="20"/>
          <w:sz w:val="28"/>
          <w:szCs w:val="22"/>
          <w:highlight w:val="yellow"/>
        </w:rPr>
      </w:pPr>
      <w:r w:rsidRPr="00F04879">
        <w:rPr>
          <w:rFonts w:cs="Arial"/>
          <w:color w:val="1E4959"/>
          <w:kern w:val="20"/>
          <w:sz w:val="24"/>
          <w:szCs w:val="22"/>
          <w:highlight w:val="yellow"/>
        </w:rPr>
        <w:t>Strengths:</w:t>
      </w:r>
    </w:p>
    <w:p w14:paraId="1CD14DDE" w14:textId="77777777" w:rsidR="00F04879" w:rsidRPr="00F04879" w:rsidRDefault="00F04879" w:rsidP="00F04879">
      <w:pPr>
        <w:numPr>
          <w:ilvl w:val="0"/>
          <w:numId w:val="15"/>
        </w:numPr>
        <w:rPr>
          <w:highlight w:val="yellow"/>
        </w:rPr>
      </w:pPr>
      <w:r w:rsidRPr="00F04879">
        <w:rPr>
          <w:highlight w:val="yellow"/>
        </w:rPr>
        <w:t xml:space="preserve">Newer, good quality construction in good condition (less repair and maintenance expenses). </w:t>
      </w:r>
    </w:p>
    <w:p w14:paraId="24A50595" w14:textId="77777777" w:rsidR="00F04879" w:rsidRPr="00F04879" w:rsidRDefault="00F04879" w:rsidP="00F04879">
      <w:pPr>
        <w:numPr>
          <w:ilvl w:val="0"/>
          <w:numId w:val="15"/>
        </w:numPr>
        <w:rPr>
          <w:highlight w:val="yellow"/>
        </w:rPr>
      </w:pPr>
      <w:r w:rsidRPr="00F04879">
        <w:rPr>
          <w:highlight w:val="yellow"/>
        </w:rPr>
        <w:t xml:space="preserve">Good, nearby highway access and retail proximity location within an established, newer industrial park. </w:t>
      </w:r>
    </w:p>
    <w:p w14:paraId="69D3E6FD" w14:textId="77777777" w:rsidR="00F04879" w:rsidRPr="00F04879" w:rsidRDefault="00F04879" w:rsidP="00F04879">
      <w:pPr>
        <w:numPr>
          <w:ilvl w:val="0"/>
          <w:numId w:val="15"/>
        </w:numPr>
        <w:rPr>
          <w:highlight w:val="yellow"/>
        </w:rPr>
      </w:pPr>
      <w:r w:rsidRPr="00F04879">
        <w:rPr>
          <w:highlight w:val="yellow"/>
        </w:rPr>
        <w:t>High demand, smaller warehouse bays ideal for a variety of small light manufacturing or wholesale warehouses uses.</w:t>
      </w:r>
    </w:p>
    <w:p w14:paraId="01516B27" w14:textId="77777777" w:rsidR="00F04879" w:rsidRPr="00F04879" w:rsidRDefault="00F04879" w:rsidP="00F04879">
      <w:pPr>
        <w:numPr>
          <w:ilvl w:val="0"/>
          <w:numId w:val="15"/>
        </w:numPr>
        <w:rPr>
          <w:highlight w:val="yellow"/>
        </w:rPr>
      </w:pPr>
      <w:r w:rsidRPr="00F04879">
        <w:rPr>
          <w:highlight w:val="yellow"/>
        </w:rPr>
        <w:t>Smaller project site, is attractive to a wide pool of potential purchasers – including both investors and small, likely partial owner-users.</w:t>
      </w:r>
    </w:p>
    <w:p w14:paraId="2B887895" w14:textId="77777777" w:rsidR="00F04879" w:rsidRPr="00F04879" w:rsidRDefault="00F04879" w:rsidP="00F04879">
      <w:pPr>
        <w:numPr>
          <w:ilvl w:val="0"/>
          <w:numId w:val="15"/>
        </w:numPr>
        <w:rPr>
          <w:highlight w:val="yellow"/>
        </w:rPr>
      </w:pPr>
      <w:r w:rsidRPr="00F04879">
        <w:rPr>
          <w:highlight w:val="yellow"/>
        </w:rPr>
        <w:t>Current leases are longer term agreements with national tenants, with investor purchasers being attracted to the stability of the project cash flow.</w:t>
      </w:r>
    </w:p>
    <w:p w14:paraId="2D86B590" w14:textId="77777777" w:rsidR="00F04879" w:rsidRPr="00F04879" w:rsidRDefault="00F04879" w:rsidP="00F04879">
      <w:pPr>
        <w:rPr>
          <w:highlight w:val="yellow"/>
        </w:rPr>
      </w:pPr>
    </w:p>
    <w:p w14:paraId="23F01497"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Weaknesses:</w:t>
      </w:r>
    </w:p>
    <w:p w14:paraId="4C52BAAF" w14:textId="77777777" w:rsidR="00F04879" w:rsidRPr="00F04879" w:rsidRDefault="00F04879" w:rsidP="00F04879">
      <w:pPr>
        <w:numPr>
          <w:ilvl w:val="0"/>
          <w:numId w:val="15"/>
        </w:numPr>
        <w:rPr>
          <w:highlight w:val="yellow"/>
        </w:rPr>
      </w:pPr>
      <w:r w:rsidRPr="00F04879">
        <w:rPr>
          <w:highlight w:val="yellow"/>
        </w:rPr>
        <w:t>None.</w:t>
      </w:r>
    </w:p>
    <w:p w14:paraId="1CD0BB42" w14:textId="77777777" w:rsidR="00F04879" w:rsidRPr="00F04879" w:rsidRDefault="00F04879" w:rsidP="00F04879">
      <w:pPr>
        <w:rPr>
          <w:highlight w:val="yellow"/>
        </w:rPr>
      </w:pPr>
    </w:p>
    <w:p w14:paraId="0EAC8F86"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Opportunities:</w:t>
      </w:r>
    </w:p>
    <w:p w14:paraId="0D0AB22B" w14:textId="77777777" w:rsidR="00F04879" w:rsidRPr="00F04879" w:rsidRDefault="00F04879" w:rsidP="00F04879">
      <w:pPr>
        <w:numPr>
          <w:ilvl w:val="0"/>
          <w:numId w:val="15"/>
        </w:numPr>
        <w:rPr>
          <w:kern w:val="24"/>
          <w:highlight w:val="yellow"/>
        </w:rPr>
      </w:pPr>
      <w:r w:rsidRPr="00F04879">
        <w:rPr>
          <w:kern w:val="24"/>
          <w:highlight w:val="yellow"/>
        </w:rPr>
        <w:t>Good long-term potential for a sale to an owner that may pay a premium for the property upon roll-over of the tenant leases.</w:t>
      </w:r>
    </w:p>
    <w:p w14:paraId="6E61CEB8" w14:textId="77777777" w:rsidR="00F04879" w:rsidRPr="00F04879" w:rsidRDefault="00F04879" w:rsidP="00F04879">
      <w:pPr>
        <w:rPr>
          <w:spacing w:val="-3"/>
          <w:kern w:val="2"/>
          <w:highlight w:val="yellow"/>
        </w:rPr>
      </w:pPr>
    </w:p>
    <w:p w14:paraId="39446467" w14:textId="77777777" w:rsidR="00F04879" w:rsidRPr="00F04879" w:rsidRDefault="00F04879" w:rsidP="00F04879">
      <w:pPr>
        <w:rPr>
          <w:rFonts w:cs="Arial"/>
          <w:bCs/>
          <w:color w:val="1E4959"/>
          <w:sz w:val="24"/>
          <w:szCs w:val="22"/>
          <w:highlight w:val="yellow"/>
          <w:u w:val="single"/>
        </w:rPr>
      </w:pPr>
      <w:r w:rsidRPr="00F04879">
        <w:rPr>
          <w:rFonts w:cs="Arial"/>
          <w:bCs/>
          <w:color w:val="1E4959"/>
          <w:sz w:val="24"/>
          <w:szCs w:val="22"/>
          <w:highlight w:val="yellow"/>
          <w:u w:val="single"/>
        </w:rPr>
        <w:t>Threats:</w:t>
      </w:r>
    </w:p>
    <w:p w14:paraId="0FCC8B21" w14:textId="77777777" w:rsidR="00F04879" w:rsidRPr="00F04879" w:rsidRDefault="00F04879" w:rsidP="00F04879">
      <w:pPr>
        <w:numPr>
          <w:ilvl w:val="0"/>
          <w:numId w:val="15"/>
        </w:numPr>
        <w:rPr>
          <w:rFonts w:cs="Arial"/>
          <w:szCs w:val="22"/>
          <w:highlight w:val="yellow"/>
        </w:rPr>
      </w:pPr>
      <w:r w:rsidRPr="00F04879">
        <w:rPr>
          <w:rFonts w:cs="Arial"/>
          <w:szCs w:val="22"/>
          <w:highlight w:val="yellow"/>
        </w:rPr>
        <w:t>Current COVID-19 crisis has shaken the market and may have unforeseen consequences (please refer to the Market Overview discussion).</w:t>
      </w:r>
    </w:p>
    <w:p w14:paraId="35021DF2" w14:textId="77777777" w:rsidR="00F04879" w:rsidRPr="00F04879" w:rsidRDefault="00F04879" w:rsidP="00F04879">
      <w:pPr>
        <w:numPr>
          <w:ilvl w:val="0"/>
          <w:numId w:val="15"/>
        </w:numPr>
        <w:rPr>
          <w:rFonts w:eastAsia="Calibri" w:cs="Arial"/>
          <w:color w:val="000000"/>
          <w:szCs w:val="22"/>
          <w:highlight w:val="yellow"/>
        </w:rPr>
      </w:pPr>
      <w:r w:rsidRPr="00F04879">
        <w:rPr>
          <w:rFonts w:cs="Arial"/>
          <w:szCs w:val="22"/>
          <w:highlight w:val="yellow"/>
        </w:rPr>
        <w:t>Mortgages of all kinds continue may be more difficult to obtain due to the pandemic, and by extension, investor required rates of return have to rise in correspondence with this added financing risk, as well as the greater economic risk.</w:t>
      </w:r>
    </w:p>
    <w:p w14:paraId="70A4A4F3" w14:textId="77777777" w:rsidR="00F04879" w:rsidRDefault="00F04879" w:rsidP="006807F5">
      <w:pPr>
        <w:pStyle w:val="Footer"/>
        <w:tabs>
          <w:tab w:val="clear" w:pos="4320"/>
          <w:tab w:val="clear" w:pos="8640"/>
        </w:tabs>
        <w:rPr>
          <w:rFonts w:cs="Arial"/>
          <w:szCs w:val="22"/>
        </w:rPr>
      </w:pPr>
    </w:p>
    <w:p w14:paraId="51CE206E" w14:textId="77777777" w:rsidR="0061753F" w:rsidRDefault="0061753F" w:rsidP="0061753F">
      <w:pPr>
        <w:pStyle w:val="Footer"/>
        <w:tabs>
          <w:tab w:val="clear" w:pos="4320"/>
          <w:tab w:val="clear" w:pos="8640"/>
        </w:tabs>
        <w:rPr>
          <w:rFonts w:eastAsia="Calibri" w:cs="Arial"/>
          <w:color w:val="000000"/>
          <w:kern w:val="20"/>
          <w:szCs w:val="22"/>
        </w:rPr>
      </w:pPr>
    </w:p>
    <w:p w14:paraId="2195A833" w14:textId="097B1480" w:rsidR="0061753F" w:rsidRDefault="0061753F" w:rsidP="0061753F">
      <w:pPr>
        <w:pStyle w:val="Footer"/>
        <w:tabs>
          <w:tab w:val="clear" w:pos="4320"/>
          <w:tab w:val="clear" w:pos="8640"/>
        </w:tabs>
        <w:rPr>
          <w:rFonts w:eastAsia="Calibri" w:cs="Arial"/>
          <w:color w:val="000000"/>
          <w:kern w:val="20"/>
          <w:szCs w:val="22"/>
        </w:rPr>
        <w:sectPr w:rsidR="0061753F" w:rsidSect="00376BB1">
          <w:headerReference w:type="default" r:id="rId14"/>
          <w:footerReference w:type="default" r:id="rId15"/>
          <w:pgSz w:w="12240" w:h="15840" w:code="1"/>
          <w:pgMar w:top="1440" w:right="1440" w:bottom="1440" w:left="1440" w:header="720" w:footer="720" w:gutter="0"/>
          <w:cols w:space="720"/>
          <w:docGrid w:linePitch="360"/>
        </w:sectPr>
      </w:pPr>
    </w:p>
    <w:p w14:paraId="05807066" w14:textId="0E1DA027" w:rsidR="0061753F" w:rsidRDefault="0061753F" w:rsidP="0061753F">
      <w:pPr>
        <w:pStyle w:val="Footer"/>
        <w:tabs>
          <w:tab w:val="clear" w:pos="4320"/>
          <w:tab w:val="clear" w:pos="8640"/>
        </w:tabs>
        <w:rPr>
          <w:rFonts w:eastAsia="Calibri" w:cs="Arial"/>
          <w:color w:val="000000"/>
          <w:kern w:val="20"/>
          <w:szCs w:val="22"/>
        </w:rPr>
      </w:pPr>
    </w:p>
    <w:sectPr w:rsidR="0061753F" w:rsidSect="00376BB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31E4A" w14:textId="77777777" w:rsidR="008E7CD9" w:rsidRDefault="008E7CD9">
      <w:r>
        <w:separator/>
      </w:r>
    </w:p>
  </w:endnote>
  <w:endnote w:type="continuationSeparator" w:id="0">
    <w:p w14:paraId="01F8B7C1" w14:textId="77777777" w:rsidR="008E7CD9" w:rsidRDefault="008E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0A15F5E2"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AE6101">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053A4C">
      <w:rPr>
        <w:rFonts w:cs="Segoe UI"/>
        <w:bCs/>
        <w:iCs/>
        <w:kern w:val="0"/>
        <w:sz w:val="20"/>
        <w:szCs w:val="18"/>
      </w:rPr>
      <w:t>| ${reportname}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30611" w14:textId="77777777" w:rsidR="008E7CD9" w:rsidRDefault="008E7CD9">
      <w:r>
        <w:separator/>
      </w:r>
    </w:p>
  </w:footnote>
  <w:footnote w:type="continuationSeparator" w:id="0">
    <w:p w14:paraId="12928D94" w14:textId="77777777" w:rsidR="008E7CD9" w:rsidRDefault="008E7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053A4C">
            <w:rPr>
              <w:rFonts w:asciiTheme="minorHAnsi" w:hAnsiTheme="minorHAnsi"/>
              <w:caps/>
              <w:noProof/>
              <w:color w:val="auto"/>
              <w:sz w:val="20"/>
            </w:rPr>
            <w:t>${cappropname}</w:t>
          </w:r>
        </w:p>
        <w:p w14:paraId="207A6F81" w14:textId="1E51BB15" w:rsidR="00DB2E0D" w:rsidRPr="00883365" w:rsidRDefault="0061753F" w:rsidP="00492705">
          <w:pPr>
            <w:pStyle w:val="ValbridgeHeader"/>
            <w:spacing w:line="240" w:lineRule="auto"/>
            <w:rPr>
              <w:rFonts w:ascii="Arial Narrow" w:hAnsi="Arial Narrow" w:cs="Arial"/>
            </w:rPr>
          </w:pPr>
          <w:r>
            <w:rPr>
              <w:rFonts w:asciiTheme="minorHAnsi" w:hAnsiTheme="minorHAnsi"/>
              <w:color w:val="auto"/>
              <w:sz w:val="20"/>
            </w:rPr>
            <w:t>RECONCILIATION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853"/>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3A4C"/>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6584"/>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46A"/>
    <w:rsid w:val="000F08F3"/>
    <w:rsid w:val="000F0E7A"/>
    <w:rsid w:val="000F0FEA"/>
    <w:rsid w:val="000F14C4"/>
    <w:rsid w:val="000F16BC"/>
    <w:rsid w:val="000F209D"/>
    <w:rsid w:val="000F251D"/>
    <w:rsid w:val="000F25B4"/>
    <w:rsid w:val="000F3436"/>
    <w:rsid w:val="000F3C81"/>
    <w:rsid w:val="000F3D40"/>
    <w:rsid w:val="000F3E28"/>
    <w:rsid w:val="000F418F"/>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B7DC3"/>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4F90"/>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53F"/>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7F5"/>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156A"/>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E7CD9"/>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83B"/>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7"/>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101"/>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ECA"/>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C2C"/>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5CC"/>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C5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69E"/>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A8E"/>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879"/>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0D4"/>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28DD729962ED4A0489880C9486F64AEA"/>
        <w:category>
          <w:name w:val="General"/>
          <w:gallery w:val="placeholder"/>
        </w:category>
        <w:types>
          <w:type w:val="bbPlcHdr"/>
        </w:types>
        <w:behaviors>
          <w:behavior w:val="content"/>
        </w:behaviors>
        <w:guid w:val="{24A6D049-AC6F-4BD4-A579-60F5DBDC6837}"/>
      </w:docPartPr>
      <w:docPartBody>
        <w:p w:rsidR="00670C65" w:rsidRDefault="00473976" w:rsidP="00473976">
          <w:pPr>
            <w:pStyle w:val="28DD729962ED4A0489880C9486F64AEA"/>
          </w:pPr>
          <w:r w:rsidRPr="00757513">
            <w:rPr>
              <w:rStyle w:val="PlaceholderText"/>
            </w:rPr>
            <w:t>Choose an item.</w:t>
          </w:r>
        </w:p>
      </w:docPartBody>
    </w:docPart>
    <w:docPart>
      <w:docPartPr>
        <w:name w:val="7B275A2AE3344D85A37A3B8FD32D8721"/>
        <w:category>
          <w:name w:val="General"/>
          <w:gallery w:val="placeholder"/>
        </w:category>
        <w:types>
          <w:type w:val="bbPlcHdr"/>
        </w:types>
        <w:behaviors>
          <w:behavior w:val="content"/>
        </w:behaviors>
        <w:guid w:val="{8492BFA7-01D8-4232-B285-6622598305F6}"/>
      </w:docPartPr>
      <w:docPartBody>
        <w:p w:rsidR="0061664D" w:rsidRDefault="00670C65" w:rsidP="00670C65">
          <w:pPr>
            <w:pStyle w:val="7B275A2AE3344D85A37A3B8FD32D8721"/>
          </w:pPr>
          <w:r w:rsidRPr="00757513">
            <w:rPr>
              <w:rStyle w:val="PlaceholderText"/>
            </w:rPr>
            <w:t>Choose an item.</w:t>
          </w:r>
        </w:p>
      </w:docPartBody>
    </w:docPart>
    <w:docPart>
      <w:docPartPr>
        <w:name w:val="8493C13D906748A0A783F794A29E1179"/>
        <w:category>
          <w:name w:val="General"/>
          <w:gallery w:val="placeholder"/>
        </w:category>
        <w:types>
          <w:type w:val="bbPlcHdr"/>
        </w:types>
        <w:behaviors>
          <w:behavior w:val="content"/>
        </w:behaviors>
        <w:guid w:val="{02082D38-2748-4834-90BC-99DC5ECD8015}"/>
      </w:docPartPr>
      <w:docPartBody>
        <w:p w:rsidR="0061664D" w:rsidRDefault="00670C65" w:rsidP="00670C65">
          <w:pPr>
            <w:pStyle w:val="8493C13D906748A0A783F794A29E1179"/>
          </w:pPr>
          <w:r w:rsidRPr="00757513">
            <w:rPr>
              <w:rStyle w:val="PlaceholderText"/>
            </w:rPr>
            <w:t>Choose an item.</w:t>
          </w:r>
        </w:p>
      </w:docPartBody>
    </w:docPart>
    <w:docPart>
      <w:docPartPr>
        <w:name w:val="36232A2B2F5944FB8F3CEB76FD25B11E"/>
        <w:category>
          <w:name w:val="General"/>
          <w:gallery w:val="placeholder"/>
        </w:category>
        <w:types>
          <w:type w:val="bbPlcHdr"/>
        </w:types>
        <w:behaviors>
          <w:behavior w:val="content"/>
        </w:behaviors>
        <w:guid w:val="{C60B4E35-3223-42E4-89F8-195A2DE4A572}"/>
      </w:docPartPr>
      <w:docPartBody>
        <w:p w:rsidR="0061664D" w:rsidRDefault="00670C65" w:rsidP="00670C65">
          <w:pPr>
            <w:pStyle w:val="36232A2B2F5944FB8F3CEB76FD25B11E"/>
          </w:pPr>
          <w:r w:rsidRPr="00757513">
            <w:rPr>
              <w:rStyle w:val="PlaceholderText"/>
            </w:rPr>
            <w:t>Choose an item.</w:t>
          </w:r>
        </w:p>
      </w:docPartBody>
    </w:docPart>
    <w:docPart>
      <w:docPartPr>
        <w:name w:val="59DC9D0F6C4448188DD27E4BE5F93134"/>
        <w:category>
          <w:name w:val="General"/>
          <w:gallery w:val="placeholder"/>
        </w:category>
        <w:types>
          <w:type w:val="bbPlcHdr"/>
        </w:types>
        <w:behaviors>
          <w:behavior w:val="content"/>
        </w:behaviors>
        <w:guid w:val="{AAF25050-4A19-4B75-B015-29248BC56DDC}"/>
      </w:docPartPr>
      <w:docPartBody>
        <w:p w:rsidR="0061664D" w:rsidRDefault="00670C65" w:rsidP="00670C65">
          <w:pPr>
            <w:pStyle w:val="59DC9D0F6C4448188DD27E4BE5F93134"/>
          </w:pPr>
          <w:r w:rsidRPr="00757513">
            <w:rPr>
              <w:rStyle w:val="PlaceholderText"/>
            </w:rPr>
            <w:t>Choose an item.</w:t>
          </w:r>
        </w:p>
      </w:docPartBody>
    </w:docPart>
    <w:docPart>
      <w:docPartPr>
        <w:name w:val="257BEAF8D258483E90104F6819B4F773"/>
        <w:category>
          <w:name w:val="General"/>
          <w:gallery w:val="placeholder"/>
        </w:category>
        <w:types>
          <w:type w:val="bbPlcHdr"/>
        </w:types>
        <w:behaviors>
          <w:behavior w:val="content"/>
        </w:behaviors>
        <w:guid w:val="{5D0EDCCA-E77F-4833-B057-5D9FA08DA92E}"/>
      </w:docPartPr>
      <w:docPartBody>
        <w:p w:rsidR="0061664D" w:rsidRDefault="00670C65" w:rsidP="00670C65">
          <w:pPr>
            <w:pStyle w:val="257BEAF8D258483E90104F6819B4F773"/>
          </w:pPr>
          <w:r w:rsidRPr="00757513">
            <w:rPr>
              <w:rStyle w:val="PlaceholderText"/>
            </w:rPr>
            <w:t>Choose an item.</w:t>
          </w:r>
        </w:p>
      </w:docPartBody>
    </w:docPart>
    <w:docPart>
      <w:docPartPr>
        <w:name w:val="CD8C0BE2C6CA448BB87EABAD459CBEE7"/>
        <w:category>
          <w:name w:val="General"/>
          <w:gallery w:val="placeholder"/>
        </w:category>
        <w:types>
          <w:type w:val="bbPlcHdr"/>
        </w:types>
        <w:behaviors>
          <w:behavior w:val="content"/>
        </w:behaviors>
        <w:guid w:val="{0887FC77-E36A-4FB6-A541-6D0EF7A72377}"/>
      </w:docPartPr>
      <w:docPartBody>
        <w:p w:rsidR="0061664D" w:rsidRDefault="00670C65" w:rsidP="00670C65">
          <w:pPr>
            <w:pStyle w:val="CD8C0BE2C6CA448BB87EABAD459CBEE7"/>
          </w:pPr>
          <w:r w:rsidRPr="00757513">
            <w:rPr>
              <w:rStyle w:val="PlaceholderText"/>
            </w:rPr>
            <w:t>Choose an item.</w:t>
          </w:r>
        </w:p>
      </w:docPartBody>
    </w:docPart>
    <w:docPart>
      <w:docPartPr>
        <w:name w:val="AB12B25B4D644DE587BB41347BAF331B"/>
        <w:category>
          <w:name w:val="General"/>
          <w:gallery w:val="placeholder"/>
        </w:category>
        <w:types>
          <w:type w:val="bbPlcHdr"/>
        </w:types>
        <w:behaviors>
          <w:behavior w:val="content"/>
        </w:behaviors>
        <w:guid w:val="{1D20155E-1BF5-45E1-A4AB-8C7A07D44035}"/>
      </w:docPartPr>
      <w:docPartBody>
        <w:p w:rsidR="0061664D" w:rsidRDefault="00670C65" w:rsidP="00670C65">
          <w:pPr>
            <w:pStyle w:val="AB12B25B4D644DE587BB41347BAF331B"/>
          </w:pPr>
          <w:r w:rsidRPr="00757513">
            <w:rPr>
              <w:rStyle w:val="PlaceholderText"/>
            </w:rPr>
            <w:t>Choose an item.</w:t>
          </w:r>
        </w:p>
      </w:docPartBody>
    </w:docPart>
    <w:docPart>
      <w:docPartPr>
        <w:name w:val="C4B97C6827594A61977E64E531847B4B"/>
        <w:category>
          <w:name w:val="General"/>
          <w:gallery w:val="placeholder"/>
        </w:category>
        <w:types>
          <w:type w:val="bbPlcHdr"/>
        </w:types>
        <w:behaviors>
          <w:behavior w:val="content"/>
        </w:behaviors>
        <w:guid w:val="{B2761CD9-5EFD-4ED0-AFAC-7C216A3775D4}"/>
      </w:docPartPr>
      <w:docPartBody>
        <w:p w:rsidR="0061664D" w:rsidRDefault="00670C65" w:rsidP="00670C65">
          <w:pPr>
            <w:pStyle w:val="C4B97C6827594A61977E64E531847B4B"/>
          </w:pPr>
          <w:r w:rsidRPr="00757513">
            <w:rPr>
              <w:rStyle w:val="PlaceholderText"/>
            </w:rPr>
            <w:t>Choose an item.</w:t>
          </w:r>
        </w:p>
      </w:docPartBody>
    </w:docPart>
    <w:docPart>
      <w:docPartPr>
        <w:name w:val="C3388771DEDB4E09AFE2723B409DE915"/>
        <w:category>
          <w:name w:val="General"/>
          <w:gallery w:val="placeholder"/>
        </w:category>
        <w:types>
          <w:type w:val="bbPlcHdr"/>
        </w:types>
        <w:behaviors>
          <w:behavior w:val="content"/>
        </w:behaviors>
        <w:guid w:val="{FF062CEE-07EC-4409-8403-BCB47B2046F7}"/>
      </w:docPartPr>
      <w:docPartBody>
        <w:p w:rsidR="0061664D" w:rsidRDefault="00670C65" w:rsidP="00670C65">
          <w:pPr>
            <w:pStyle w:val="C3388771DEDB4E09AFE2723B409DE915"/>
          </w:pPr>
          <w:r w:rsidRPr="00757513">
            <w:rPr>
              <w:rStyle w:val="PlaceholderText"/>
            </w:rPr>
            <w:t>Choose an item.</w:t>
          </w:r>
        </w:p>
      </w:docPartBody>
    </w:docPart>
    <w:docPart>
      <w:docPartPr>
        <w:name w:val="CD38C74F5E0D4D488735976D347F9D2E"/>
        <w:category>
          <w:name w:val="General"/>
          <w:gallery w:val="placeholder"/>
        </w:category>
        <w:types>
          <w:type w:val="bbPlcHdr"/>
        </w:types>
        <w:behaviors>
          <w:behavior w:val="content"/>
        </w:behaviors>
        <w:guid w:val="{4C5C57D3-3054-4FCF-B36E-490774EF73C7}"/>
      </w:docPartPr>
      <w:docPartBody>
        <w:p w:rsidR="0061664D" w:rsidRDefault="00670C65" w:rsidP="00670C65">
          <w:pPr>
            <w:pStyle w:val="CD38C74F5E0D4D488735976D347F9D2E"/>
          </w:pPr>
          <w:r w:rsidRPr="00757513">
            <w:rPr>
              <w:rStyle w:val="PlaceholderText"/>
            </w:rPr>
            <w:t>Choose an item.</w:t>
          </w:r>
        </w:p>
      </w:docPartBody>
    </w:docPart>
    <w:docPart>
      <w:docPartPr>
        <w:name w:val="DB53DAFFCD8E470586ECF07B4B182E8F"/>
        <w:category>
          <w:name w:val="General"/>
          <w:gallery w:val="placeholder"/>
        </w:category>
        <w:types>
          <w:type w:val="bbPlcHdr"/>
        </w:types>
        <w:behaviors>
          <w:behavior w:val="content"/>
        </w:behaviors>
        <w:guid w:val="{8FCE0505-D5BF-49FA-860A-EDD8B8978080}"/>
      </w:docPartPr>
      <w:docPartBody>
        <w:p w:rsidR="0061664D" w:rsidRDefault="00670C65" w:rsidP="00670C65">
          <w:pPr>
            <w:pStyle w:val="DB53DAFFCD8E470586ECF07B4B182E8F"/>
          </w:pPr>
          <w:r w:rsidRPr="00AD1CD4">
            <w:rPr>
              <w:rStyle w:val="PlaceholderText"/>
            </w:rPr>
            <w:t>Choose an item.</w:t>
          </w:r>
        </w:p>
      </w:docPartBody>
    </w:docPart>
    <w:docPart>
      <w:docPartPr>
        <w:name w:val="B2033638BD204F91AADC59BD8736612D"/>
        <w:category>
          <w:name w:val="General"/>
          <w:gallery w:val="placeholder"/>
        </w:category>
        <w:types>
          <w:type w:val="bbPlcHdr"/>
        </w:types>
        <w:behaviors>
          <w:behavior w:val="content"/>
        </w:behaviors>
        <w:guid w:val="{EB378051-5C4A-48F9-A29B-F9FD3F74792A}"/>
      </w:docPartPr>
      <w:docPartBody>
        <w:p w:rsidR="0061664D" w:rsidRDefault="00670C65" w:rsidP="00670C65">
          <w:pPr>
            <w:pStyle w:val="B2033638BD204F91AADC59BD8736612D"/>
          </w:pPr>
          <w:r w:rsidRPr="00757513">
            <w:rPr>
              <w:rStyle w:val="PlaceholderText"/>
            </w:rPr>
            <w:t>Choose an item.</w:t>
          </w:r>
        </w:p>
      </w:docPartBody>
    </w:docPart>
    <w:docPart>
      <w:docPartPr>
        <w:name w:val="68F955A240DC426D9243F10707AD536E"/>
        <w:category>
          <w:name w:val="General"/>
          <w:gallery w:val="placeholder"/>
        </w:category>
        <w:types>
          <w:type w:val="bbPlcHdr"/>
        </w:types>
        <w:behaviors>
          <w:behavior w:val="content"/>
        </w:behaviors>
        <w:guid w:val="{7F325B3A-1EA1-4DEE-A6F1-959EC30575A9}"/>
      </w:docPartPr>
      <w:docPartBody>
        <w:p w:rsidR="0061664D" w:rsidRDefault="00670C65" w:rsidP="00670C65">
          <w:pPr>
            <w:pStyle w:val="68F955A240DC426D9243F10707AD536E"/>
          </w:pPr>
          <w:r w:rsidRPr="00757513">
            <w:rPr>
              <w:rStyle w:val="PlaceholderText"/>
            </w:rPr>
            <w:t>Choose an item.</w:t>
          </w:r>
        </w:p>
      </w:docPartBody>
    </w:docPart>
    <w:docPart>
      <w:docPartPr>
        <w:name w:val="F2A97634EBA34D118A2ACB893EC32A00"/>
        <w:category>
          <w:name w:val="General"/>
          <w:gallery w:val="placeholder"/>
        </w:category>
        <w:types>
          <w:type w:val="bbPlcHdr"/>
        </w:types>
        <w:behaviors>
          <w:behavior w:val="content"/>
        </w:behaviors>
        <w:guid w:val="{D42D6A33-B2CA-4C47-81CA-2B37F779F590}"/>
      </w:docPartPr>
      <w:docPartBody>
        <w:p w:rsidR="00000000" w:rsidRDefault="005569E2" w:rsidP="005569E2">
          <w:pPr>
            <w:pStyle w:val="F2A97634EBA34D118A2ACB893EC32A00"/>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190D95"/>
    <w:rsid w:val="003578F3"/>
    <w:rsid w:val="003B4CCF"/>
    <w:rsid w:val="003E5D39"/>
    <w:rsid w:val="0043779A"/>
    <w:rsid w:val="00473976"/>
    <w:rsid w:val="004C6EC4"/>
    <w:rsid w:val="005569E2"/>
    <w:rsid w:val="0061664D"/>
    <w:rsid w:val="00670C65"/>
    <w:rsid w:val="00693BF4"/>
    <w:rsid w:val="00761599"/>
    <w:rsid w:val="009612AA"/>
    <w:rsid w:val="00AB204C"/>
    <w:rsid w:val="00B32517"/>
    <w:rsid w:val="00BC4F80"/>
    <w:rsid w:val="00BD1F56"/>
    <w:rsid w:val="00C43866"/>
    <w:rsid w:val="00CD21B6"/>
    <w:rsid w:val="00D04789"/>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9E2"/>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28DD729962ED4A0489880C9486F64AEA">
    <w:name w:val="28DD729962ED4A0489880C9486F64AEA"/>
    <w:rsid w:val="00473976"/>
  </w:style>
  <w:style w:type="paragraph" w:customStyle="1" w:styleId="66608FE4F821463E895AE86CCD3CE01B">
    <w:name w:val="66608FE4F821463E895AE86CCD3CE01B"/>
    <w:rsid w:val="00473976"/>
  </w:style>
  <w:style w:type="paragraph" w:customStyle="1" w:styleId="45B7E5F307314935806930C1B0990124">
    <w:name w:val="45B7E5F307314935806930C1B0990124"/>
    <w:rsid w:val="00473976"/>
  </w:style>
  <w:style w:type="paragraph" w:customStyle="1" w:styleId="AA88A83221384235B181C623A1D2D404">
    <w:name w:val="AA88A83221384235B181C623A1D2D404"/>
    <w:rsid w:val="00473976"/>
  </w:style>
  <w:style w:type="paragraph" w:customStyle="1" w:styleId="51CA25D643B342A48CFFE689A6FE94FC">
    <w:name w:val="51CA25D643B342A48CFFE689A6FE94FC"/>
    <w:rsid w:val="00670C65"/>
  </w:style>
  <w:style w:type="paragraph" w:customStyle="1" w:styleId="CD7F8B68B6AC410B826AE0432455B20C">
    <w:name w:val="CD7F8B68B6AC410B826AE0432455B20C"/>
    <w:rsid w:val="00670C65"/>
  </w:style>
  <w:style w:type="paragraph" w:customStyle="1" w:styleId="6D3A996A394B4DA59CEF06274A0B9C58">
    <w:name w:val="6D3A996A394B4DA59CEF06274A0B9C58"/>
    <w:rsid w:val="00670C65"/>
  </w:style>
  <w:style w:type="paragraph" w:customStyle="1" w:styleId="7B275A2AE3344D85A37A3B8FD32D8721">
    <w:name w:val="7B275A2AE3344D85A37A3B8FD32D8721"/>
    <w:rsid w:val="00670C65"/>
  </w:style>
  <w:style w:type="paragraph" w:customStyle="1" w:styleId="8493C13D906748A0A783F794A29E1179">
    <w:name w:val="8493C13D906748A0A783F794A29E1179"/>
    <w:rsid w:val="00670C65"/>
  </w:style>
  <w:style w:type="paragraph" w:customStyle="1" w:styleId="36232A2B2F5944FB8F3CEB76FD25B11E">
    <w:name w:val="36232A2B2F5944FB8F3CEB76FD25B11E"/>
    <w:rsid w:val="00670C65"/>
  </w:style>
  <w:style w:type="paragraph" w:customStyle="1" w:styleId="59DC9D0F6C4448188DD27E4BE5F93134">
    <w:name w:val="59DC9D0F6C4448188DD27E4BE5F93134"/>
    <w:rsid w:val="00670C65"/>
  </w:style>
  <w:style w:type="paragraph" w:customStyle="1" w:styleId="257BEAF8D258483E90104F6819B4F773">
    <w:name w:val="257BEAF8D258483E90104F6819B4F773"/>
    <w:rsid w:val="00670C65"/>
  </w:style>
  <w:style w:type="paragraph" w:customStyle="1" w:styleId="CD8C0BE2C6CA448BB87EABAD459CBEE7">
    <w:name w:val="CD8C0BE2C6CA448BB87EABAD459CBEE7"/>
    <w:rsid w:val="00670C65"/>
  </w:style>
  <w:style w:type="paragraph" w:customStyle="1" w:styleId="AB12B25B4D644DE587BB41347BAF331B">
    <w:name w:val="AB12B25B4D644DE587BB41347BAF331B"/>
    <w:rsid w:val="00670C65"/>
  </w:style>
  <w:style w:type="paragraph" w:customStyle="1" w:styleId="C4B97C6827594A61977E64E531847B4B">
    <w:name w:val="C4B97C6827594A61977E64E531847B4B"/>
    <w:rsid w:val="00670C65"/>
  </w:style>
  <w:style w:type="paragraph" w:customStyle="1" w:styleId="C3388771DEDB4E09AFE2723B409DE915">
    <w:name w:val="C3388771DEDB4E09AFE2723B409DE915"/>
    <w:rsid w:val="00670C65"/>
  </w:style>
  <w:style w:type="paragraph" w:customStyle="1" w:styleId="CD38C74F5E0D4D488735976D347F9D2E">
    <w:name w:val="CD38C74F5E0D4D488735976D347F9D2E"/>
    <w:rsid w:val="00670C65"/>
  </w:style>
  <w:style w:type="paragraph" w:customStyle="1" w:styleId="DB53DAFFCD8E470586ECF07B4B182E8F">
    <w:name w:val="DB53DAFFCD8E470586ECF07B4B182E8F"/>
    <w:rsid w:val="00670C65"/>
  </w:style>
  <w:style w:type="paragraph" w:customStyle="1" w:styleId="B2033638BD204F91AADC59BD8736612D">
    <w:name w:val="B2033638BD204F91AADC59BD8736612D"/>
    <w:rsid w:val="00670C65"/>
  </w:style>
  <w:style w:type="paragraph" w:customStyle="1" w:styleId="68F955A240DC426D9243F10707AD536E">
    <w:name w:val="68F955A240DC426D9243F10707AD536E"/>
    <w:rsid w:val="00670C65"/>
  </w:style>
  <w:style w:type="paragraph" w:customStyle="1" w:styleId="DB67DBF83A6E4B659C19F2F1A707A0AA">
    <w:name w:val="DB67DBF83A6E4B659C19F2F1A707A0AA"/>
    <w:rsid w:val="00670C65"/>
  </w:style>
  <w:style w:type="paragraph" w:customStyle="1" w:styleId="B51F751749034AF5B612D6046B778AB4">
    <w:name w:val="B51F751749034AF5B612D6046B778AB4"/>
    <w:rsid w:val="00670C65"/>
  </w:style>
  <w:style w:type="paragraph" w:customStyle="1" w:styleId="F2A97634EBA34D118A2ACB893EC32A00">
    <w:name w:val="F2A97634EBA34D118A2ACB893EC32A00"/>
    <w:rsid w:val="00556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F6F9D0-5D8F-48EB-9784-9FAA0EF3468F}">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17982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cp:revision>
  <cp:lastPrinted>2019-01-21T18:26:00Z</cp:lastPrinted>
  <dcterms:created xsi:type="dcterms:W3CDTF">2020-06-09T20:49:00Z</dcterms:created>
  <dcterms:modified xsi:type="dcterms:W3CDTF">2020-06-13T22:57:00Z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