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6028C1" w:rsidRPr="000754FA" w14:paraId="66D1E573" w14:textId="77777777" w:rsidTr="008F4447">
        <w:trPr>
          <w:trHeight w:hRule="exact" w:val="590"/>
        </w:trPr>
        <w:tc>
          <w:tcPr>
            <w:tcW w:w="9490" w:type="dxa"/>
            <w:vAlign w:val="center"/>
          </w:tcPr>
          <w:p w14:paraId="3C501211" w14:textId="77777777" w:rsidR="006028C1" w:rsidRPr="000754FA" w:rsidRDefault="006028C1" w:rsidP="008F4447">
            <w:pPr>
              <w:tabs>
                <w:tab w:val="left" w:pos="0"/>
                <w:tab w:val="left" w:pos="259"/>
                <w:tab w:val="left" w:pos="518"/>
                <w:tab w:val="left" w:pos="777"/>
                <w:tab w:val="left" w:leader="dot" w:pos="8164"/>
                <w:tab w:val="left" w:pos="8395"/>
                <w:tab w:val="left" w:pos="8769"/>
              </w:tabs>
              <w:jc w:val="left"/>
              <w:rPr>
                <w:rFonts w:cs="Arial"/>
                <w:sz w:val="28"/>
                <w:szCs w:val="22"/>
              </w:rPr>
            </w:pPr>
            <w:r w:rsidRPr="000754FA">
              <w:rPr>
                <w:sz w:val="28"/>
                <w:szCs w:val="22"/>
              </w:rPr>
              <w:tab/>
            </w:r>
            <w:r w:rsidRPr="000754FA">
              <w:rPr>
                <w:noProof/>
                <w:sz w:val="28"/>
                <w:szCs w:val="22"/>
              </w:rPr>
              <mc:AlternateContent>
                <mc:Choice Requires="wps">
                  <w:drawing>
                    <wp:anchor distT="0" distB="0" distL="114300" distR="114300" simplePos="0" relativeHeight="251659264" behindDoc="0" locked="0" layoutInCell="1" allowOverlap="1" wp14:anchorId="7910A16E" wp14:editId="0E0DDF17">
                      <wp:simplePos x="0" y="0"/>
                      <wp:positionH relativeFrom="leftMargin">
                        <wp:posOffset>0</wp:posOffset>
                      </wp:positionH>
                      <wp:positionV relativeFrom="paragraph">
                        <wp:posOffset>-18415</wp:posOffset>
                      </wp:positionV>
                      <wp:extent cx="5943600" cy="329184"/>
                      <wp:effectExtent l="0" t="0" r="0" b="0"/>
                      <wp:wrapNone/>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4D07E2DB" w14:textId="3A14AD95" w:rsidR="006028C1" w:rsidRPr="00E03623" w:rsidRDefault="00E0237E" w:rsidP="006028C1">
                                  <w:pPr>
                                    <w:pStyle w:val="AddendaHeading"/>
                                  </w:pPr>
                                  <w:bookmarkStart w:id="0" w:name="_Toc525542055"/>
                                  <w:r>
                                    <w:t>Valuation Methodology</w:t>
                                  </w:r>
                                  <w:bookmarkEnd w:id="0"/>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10A16E"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Izhw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4w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FNNs+uITiwDybH0R+44B4skUpGppmWRFSFdpb1WmCJUg3A4slIMNfUqHSn5wj+pJrg4EDLukYBU&#10;h07wxY9t4ObNjI6+PTa62WNPGB1HE78S3PTa/KJkwrGsqf25BcNRm48KC1Omee7nOBzy4jrDgzm3&#10;bM4toBhC1RSljdsHF2bfp6H0PfZfK0JrnJgcuOK4RRHj1+Dn+fwcvE4f2Po3AA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CJkiIz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4D07E2DB" w14:textId="3A14AD95" w:rsidR="006028C1" w:rsidRPr="00E03623" w:rsidRDefault="00E0237E" w:rsidP="006028C1">
                            <w:pPr>
                              <w:pStyle w:val="AddendaHeading"/>
                            </w:pPr>
                            <w:bookmarkStart w:id="1" w:name="_Toc525542055"/>
                            <w:r>
                              <w:t>Valuation Methodology</w:t>
                            </w:r>
                            <w:bookmarkEnd w:id="1"/>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v:textbox>
                      <w10:wrap anchorx="margin"/>
                    </v:shape>
                  </w:pict>
                </mc:Fallback>
              </mc:AlternateContent>
            </w:r>
          </w:p>
        </w:tc>
      </w:tr>
    </w:tbl>
    <w:p w14:paraId="586CCA46" w14:textId="77777777" w:rsidR="00E0237E" w:rsidRPr="000754FA" w:rsidRDefault="00E0237E" w:rsidP="00E0237E">
      <w:pPr>
        <w:pStyle w:val="Heading30"/>
        <w:rPr>
          <w:rFonts w:cs="Arial"/>
          <w:color w:val="1E4959"/>
          <w:kern w:val="20"/>
          <w:sz w:val="28"/>
          <w:szCs w:val="22"/>
          <w:u w:val="none"/>
        </w:rPr>
      </w:pPr>
      <w:r w:rsidRPr="000754FA">
        <w:rPr>
          <w:rFonts w:cs="Arial"/>
          <w:color w:val="1E4959"/>
          <w:kern w:val="20"/>
          <w:sz w:val="28"/>
          <w:szCs w:val="22"/>
          <w:u w:val="none"/>
        </w:rPr>
        <w:t>Three Approaches to Value</w:t>
      </w:r>
    </w:p>
    <w:p w14:paraId="6098BA51" w14:textId="77777777" w:rsidR="00E0237E" w:rsidRPr="000754FA" w:rsidRDefault="00E0237E" w:rsidP="00E0237E">
      <w:pPr>
        <w:rPr>
          <w:rFonts w:cs="Arial"/>
          <w:szCs w:val="22"/>
        </w:rPr>
      </w:pPr>
      <w:r w:rsidRPr="000754FA">
        <w:rPr>
          <w:rFonts w:cs="Arial"/>
          <w:szCs w:val="22"/>
        </w:rPr>
        <w:t xml:space="preserve">There are three traditional approaches typically available to develop indications of real property value: the Cost, Sales Comparison, and Income Capitalization Approaches. </w:t>
      </w:r>
    </w:p>
    <w:p w14:paraId="5E309BED" w14:textId="77777777" w:rsidR="00E0237E" w:rsidRPr="000754FA" w:rsidRDefault="00E0237E" w:rsidP="00E0237E">
      <w:pPr>
        <w:pStyle w:val="Heading30"/>
        <w:rPr>
          <w:rFonts w:cs="Arial"/>
          <w:color w:val="1E4959"/>
          <w:kern w:val="20"/>
          <w:sz w:val="24"/>
          <w:szCs w:val="22"/>
        </w:rPr>
      </w:pPr>
      <w:r w:rsidRPr="000754FA">
        <w:rPr>
          <w:rFonts w:cs="Arial"/>
          <w:color w:val="1E4959"/>
          <w:kern w:val="20"/>
          <w:sz w:val="24"/>
          <w:szCs w:val="22"/>
        </w:rPr>
        <w:t>Cost Approach</w:t>
      </w:r>
    </w:p>
    <w:p w14:paraId="09DABF86" w14:textId="77777777" w:rsidR="00E0237E" w:rsidRPr="000754FA" w:rsidRDefault="00E0237E" w:rsidP="00E0237E">
      <w:pPr>
        <w:rPr>
          <w:rFonts w:cs="Arial"/>
          <w:szCs w:val="22"/>
        </w:rPr>
      </w:pPr>
      <w:r w:rsidRPr="000754FA">
        <w:rPr>
          <w:rFonts w:cs="Arial"/>
          <w:szCs w:val="22"/>
        </w:rPr>
        <w:t>The Cost Approach is based upon the principle that a prudent purchaser would pay no more for a property than the cost to purchase a similar site and construct similar improvements without undue delay, producing a property of equal desirability and utility. This approach is particularly applicable when the improvements being appraised are relatively new or proposed, or when the improvements are so specialized that there are too few comparable sales to develop a credible Sales Comparison Approach analysis.</w:t>
      </w:r>
    </w:p>
    <w:p w14:paraId="27F224CA" w14:textId="77777777" w:rsidR="00E0237E" w:rsidRPr="000754FA" w:rsidRDefault="00E0237E" w:rsidP="00E0237E">
      <w:pPr>
        <w:pStyle w:val="Heading30"/>
        <w:rPr>
          <w:rFonts w:cs="Arial"/>
          <w:color w:val="1E4959"/>
          <w:kern w:val="20"/>
          <w:sz w:val="24"/>
          <w:szCs w:val="22"/>
        </w:rPr>
      </w:pPr>
      <w:r w:rsidRPr="000754FA">
        <w:rPr>
          <w:rFonts w:cs="Arial"/>
          <w:color w:val="1E4959"/>
          <w:kern w:val="20"/>
          <w:sz w:val="24"/>
          <w:szCs w:val="22"/>
        </w:rPr>
        <w:t>Sales Comparison Approach</w:t>
      </w:r>
    </w:p>
    <w:p w14:paraId="0F7A1A33" w14:textId="77777777" w:rsidR="00E0237E" w:rsidRPr="000754FA" w:rsidRDefault="00E0237E" w:rsidP="00E0237E">
      <w:pPr>
        <w:rPr>
          <w:rFonts w:cs="Arial"/>
          <w:szCs w:val="22"/>
        </w:rPr>
      </w:pPr>
      <w:r w:rsidRPr="000754FA">
        <w:rPr>
          <w:rFonts w:cs="Arial"/>
          <w:szCs w:val="22"/>
        </w:rPr>
        <w:t>In the Sales Comparison Approach, the appraiser analyzes sales and listings of similar properties, adjusting for differences between the subject property and the comparable properties. This method can be useful for valuing general purpose properties or vacant land. For improved properties, it is particularly applicable when there is an active sales market for the property type being appraised – either by owner-users or investors.</w:t>
      </w:r>
    </w:p>
    <w:p w14:paraId="5A4BCE93" w14:textId="77777777" w:rsidR="00E0237E" w:rsidRPr="000754FA" w:rsidRDefault="00E0237E" w:rsidP="00E0237E">
      <w:pPr>
        <w:pStyle w:val="Heading30"/>
        <w:rPr>
          <w:rFonts w:cs="Arial"/>
          <w:color w:val="1E4959"/>
          <w:kern w:val="20"/>
          <w:sz w:val="24"/>
          <w:szCs w:val="22"/>
        </w:rPr>
      </w:pPr>
      <w:r w:rsidRPr="000754FA">
        <w:rPr>
          <w:rFonts w:cs="Arial"/>
          <w:color w:val="1E4959"/>
          <w:kern w:val="20"/>
          <w:sz w:val="24"/>
          <w:szCs w:val="22"/>
        </w:rPr>
        <w:t>Income Capitalization Approach</w:t>
      </w:r>
    </w:p>
    <w:p w14:paraId="2940B226" w14:textId="77777777" w:rsidR="00E0237E" w:rsidRPr="000754FA" w:rsidRDefault="00E0237E" w:rsidP="00E0237E">
      <w:pPr>
        <w:rPr>
          <w:rFonts w:cs="Arial"/>
          <w:szCs w:val="22"/>
        </w:rPr>
      </w:pPr>
      <w:r w:rsidRPr="000754FA">
        <w:rPr>
          <w:rFonts w:cs="Arial"/>
          <w:szCs w:val="22"/>
        </w:rPr>
        <w:t xml:space="preserve">The Income Capitalization Approach is based on the principle that a prudent investor will pay no more for the property than for another investment of similar risk and cash flow characteristics. The </w:t>
      </w:r>
      <w:r>
        <w:rPr>
          <w:rFonts w:cs="Arial"/>
          <w:szCs w:val="22"/>
        </w:rPr>
        <w:t>I</w:t>
      </w:r>
      <w:r w:rsidRPr="000754FA">
        <w:rPr>
          <w:rFonts w:cs="Arial"/>
          <w:szCs w:val="22"/>
        </w:rPr>
        <w:t xml:space="preserve">ncome </w:t>
      </w:r>
      <w:r>
        <w:rPr>
          <w:rFonts w:cs="Arial"/>
          <w:szCs w:val="22"/>
        </w:rPr>
        <w:t>C</w:t>
      </w:r>
      <w:r w:rsidRPr="000754FA">
        <w:rPr>
          <w:rFonts w:cs="Arial"/>
          <w:szCs w:val="22"/>
        </w:rPr>
        <w:t xml:space="preserve">apitalization </w:t>
      </w:r>
      <w:r>
        <w:rPr>
          <w:rFonts w:cs="Arial"/>
          <w:szCs w:val="22"/>
        </w:rPr>
        <w:t>A</w:t>
      </w:r>
      <w:r w:rsidRPr="000754FA">
        <w:rPr>
          <w:rFonts w:cs="Arial"/>
          <w:szCs w:val="22"/>
        </w:rPr>
        <w:t>pproach is widely used and relied upon in appraising income-producing properties, especially those for which there is an active investment sales market.</w:t>
      </w:r>
    </w:p>
    <w:p w14:paraId="31FF1FFE" w14:textId="4B71B00D" w:rsidR="00E0237E" w:rsidRPr="006356AB" w:rsidRDefault="00E0237E" w:rsidP="00E0237E">
      <w:pPr>
        <w:keepNext/>
        <w:keepLines/>
        <w:spacing w:before="260"/>
        <w:outlineLvl w:val="1"/>
        <w:rPr>
          <w:rFonts w:cs="Arial"/>
          <w:bCs/>
          <w:iCs/>
          <w:color w:val="1E4959"/>
          <w:sz w:val="28"/>
          <w:szCs w:val="22"/>
        </w:rPr>
      </w:pPr>
      <w:r w:rsidRPr="000754FA">
        <w:rPr>
          <w:rFonts w:cs="Arial"/>
          <w:bCs/>
          <w:color w:val="1E4959"/>
          <w:sz w:val="28"/>
          <w:szCs w:val="22"/>
        </w:rPr>
        <w:t xml:space="preserve">Subject </w:t>
      </w:r>
      <w:r w:rsidRPr="006356AB">
        <w:rPr>
          <w:rFonts w:cs="Arial"/>
          <w:bCs/>
          <w:color w:val="1E4959"/>
          <w:sz w:val="28"/>
          <w:szCs w:val="22"/>
        </w:rPr>
        <w:t>Valuation</w:t>
      </w:r>
    </w:p>
    <w:p w14:paraId="348AE543" w14:textId="77777777" w:rsidR="00E84DB2" w:rsidRPr="00EE36B3" w:rsidRDefault="00E84DB2" w:rsidP="00E84DB2">
      <w:pPr>
        <w:rPr>
          <w:rFonts w:cs="Arial"/>
          <w:color w:val="000000"/>
          <w:szCs w:val="22"/>
        </w:rPr>
      </w:pPr>
      <w:r w:rsidRPr="00EE36B3">
        <w:rPr>
          <w:rFonts w:cs="Arial"/>
          <w:color w:val="000000"/>
          <w:szCs w:val="22"/>
        </w:rPr>
        <w:t>In this appraisal, two traditional approaches to value are used to determine the subject's as is market value (as encumbered by the ground lease) of the leased fee interest; which reflect the Income Capitalization and Sales Comparison Approaches.  Due to the age of the improvements and very long remaining duration of the ground lease, a Cost Approach was not deemed applicable in this appraisal.</w:t>
      </w:r>
    </w:p>
    <w:p w14:paraId="4F8A188D" w14:textId="77777777" w:rsidR="00E84DB2" w:rsidRPr="00EE36B3" w:rsidRDefault="00E84DB2" w:rsidP="00E84DB2">
      <w:pPr>
        <w:rPr>
          <w:rFonts w:cs="Arial"/>
          <w:color w:val="000000"/>
          <w:szCs w:val="22"/>
        </w:rPr>
      </w:pPr>
    </w:p>
    <w:p w14:paraId="7FDCB18F" w14:textId="77777777" w:rsidR="00E84DB2" w:rsidRPr="00EE36B3" w:rsidRDefault="00E84DB2" w:rsidP="00E84DB2">
      <w:pPr>
        <w:rPr>
          <w:rFonts w:cs="Arial"/>
          <w:color w:val="000000"/>
          <w:szCs w:val="22"/>
        </w:rPr>
      </w:pPr>
      <w:r w:rsidRPr="00EE36B3">
        <w:rPr>
          <w:rFonts w:cs="Arial"/>
          <w:color w:val="000000"/>
          <w:szCs w:val="22"/>
        </w:rPr>
        <w:t xml:space="preserve">As the scope of this appraisal is to estimate the market value of the subject leased fee interest, and given the lack of such ground leased fee sales from our research, it was initially necessary to appraise the fee simple interest in the subject land.  Thus, in following </w:t>
      </w:r>
      <w:r w:rsidRPr="00E84DB2">
        <w:rPr>
          <w:rFonts w:cs="Arial"/>
          <w:color w:val="000000"/>
          <w:szCs w:val="22"/>
          <w:u w:val="single"/>
        </w:rPr>
        <w:t>Section 1</w:t>
      </w:r>
      <w:r w:rsidRPr="00EE36B3">
        <w:rPr>
          <w:rFonts w:cs="Arial"/>
          <w:color w:val="000000"/>
          <w:szCs w:val="22"/>
        </w:rPr>
        <w:t xml:space="preserve"> – Fee Simple Land Valuation, only the Sales Comparison Approach is used to estimate the underlying land value.  </w:t>
      </w:r>
    </w:p>
    <w:p w14:paraId="5094C112" w14:textId="77777777" w:rsidR="00E84DB2" w:rsidRPr="00EE36B3" w:rsidRDefault="00E84DB2" w:rsidP="00E84DB2">
      <w:pPr>
        <w:rPr>
          <w:rFonts w:cs="Arial"/>
          <w:color w:val="000000"/>
          <w:szCs w:val="22"/>
        </w:rPr>
      </w:pPr>
    </w:p>
    <w:p w14:paraId="75BFAEC5" w14:textId="6741880F" w:rsidR="00E84DB2" w:rsidRPr="00EE36B3" w:rsidRDefault="00E84DB2" w:rsidP="00E84DB2">
      <w:pPr>
        <w:rPr>
          <w:rFonts w:cs="Arial"/>
          <w:color w:val="000000"/>
          <w:szCs w:val="22"/>
        </w:rPr>
      </w:pPr>
      <w:r w:rsidRPr="00EE36B3">
        <w:rPr>
          <w:rFonts w:cs="Arial"/>
          <w:color w:val="000000"/>
          <w:szCs w:val="22"/>
        </w:rPr>
        <w:t xml:space="preserve">Next in </w:t>
      </w:r>
      <w:r w:rsidRPr="00E84DB2">
        <w:rPr>
          <w:rFonts w:cs="Arial"/>
          <w:color w:val="000000"/>
          <w:szCs w:val="22"/>
          <w:u w:val="single"/>
        </w:rPr>
        <w:t>Section 2</w:t>
      </w:r>
      <w:r w:rsidRPr="00EE36B3">
        <w:rPr>
          <w:rFonts w:cs="Arial"/>
          <w:color w:val="000000"/>
          <w:szCs w:val="22"/>
        </w:rPr>
        <w:t xml:space="preserve"> –Leased Fee Valuation, we will estimate the market value of the subject leased fee interest via a series of analyses, first involving an allocation via a direct addition of the lessee’s </w:t>
      </w:r>
      <w:sdt>
        <w:sdtPr>
          <w:rPr>
            <w:rFonts w:cstheme="minorHAnsi"/>
            <w:iCs/>
            <w:highlight w:val="green"/>
          </w:rPr>
          <w:alias w:val="LH Positioin"/>
          <w:tag w:val="LH Positioin"/>
          <w:id w:val="-1811543076"/>
          <w:placeholder>
            <w:docPart w:val="D4DC74739D5A438EA11D831773EE8393"/>
          </w:placeholder>
          <w:dropDownList>
            <w:listItem w:value="Choose an item."/>
            <w:listItem w:displayText="positive" w:value="positive"/>
            <w:listItem w:displayText="negative" w:value="negative"/>
          </w:dropDownList>
        </w:sdtPr>
        <w:sdtContent>
          <w:r w:rsidR="00F15CF2" w:rsidRPr="007A000E">
            <w:rPr>
              <w:rFonts w:cstheme="minorHAnsi"/>
              <w:iCs/>
              <w:highlight w:val="green"/>
            </w:rPr>
            <w:t>positive</w:t>
          </w:r>
        </w:sdtContent>
      </w:sdt>
      <w:r w:rsidR="00F15CF2" w:rsidRPr="003918D5">
        <w:rPr>
          <w:rFonts w:cstheme="minorHAnsi"/>
          <w:iCs/>
        </w:rPr>
        <w:t xml:space="preserve"> </w:t>
      </w:r>
      <w:r w:rsidRPr="00EE36B3">
        <w:rPr>
          <w:rFonts w:cs="Arial"/>
          <w:color w:val="000000"/>
          <w:szCs w:val="22"/>
        </w:rPr>
        <w:t xml:space="preserve">leasehold interest </w:t>
      </w:r>
      <w:r>
        <w:rPr>
          <w:rFonts w:cs="Arial"/>
          <w:color w:val="000000"/>
          <w:szCs w:val="22"/>
        </w:rPr>
        <w:t xml:space="preserve">and </w:t>
      </w:r>
      <w:sdt>
        <w:sdtPr>
          <w:rPr>
            <w:rFonts w:cstheme="minorHAnsi"/>
            <w:highlight w:val="green"/>
          </w:rPr>
          <w:alias w:val="LH Adjustment"/>
          <w:tag w:val="LH Adjustment"/>
          <w:id w:val="1058211101"/>
          <w:placeholder>
            <w:docPart w:val="9F2EF9DA56E4421186B52DA283C8202A"/>
          </w:placeholder>
          <w:dropDownList>
            <w:listItem w:value="Choose an item."/>
            <w:listItem w:displayText="deducting" w:value="deducting"/>
            <w:listItem w:displayText="adding" w:value="adding"/>
          </w:dropDownList>
        </w:sdtPr>
        <w:sdtContent>
          <w:r w:rsidR="00F15CF2">
            <w:rPr>
              <w:rFonts w:cstheme="minorHAnsi"/>
              <w:highlight w:val="green"/>
            </w:rPr>
            <w:t>deducting</w:t>
          </w:r>
        </w:sdtContent>
      </w:sdt>
      <w:r w:rsidR="00F15CF2" w:rsidRPr="003918D5">
        <w:rPr>
          <w:rFonts w:cstheme="minorHAnsi"/>
        </w:rPr>
        <w:t xml:space="preserve"> </w:t>
      </w:r>
      <w:r>
        <w:rPr>
          <w:rFonts w:cs="Arial"/>
          <w:color w:val="000000"/>
          <w:szCs w:val="22"/>
        </w:rPr>
        <w:t xml:space="preserve">this </w:t>
      </w:r>
      <w:sdt>
        <w:sdtPr>
          <w:rPr>
            <w:rFonts w:cstheme="minorHAnsi"/>
            <w:highlight w:val="green"/>
          </w:rPr>
          <w:alias w:val="from - to"/>
          <w:tag w:val="from - to"/>
          <w:id w:val="1639073588"/>
          <w:placeholder>
            <w:docPart w:val="F90CFFF1378E4E978EA01B01248C26F3"/>
          </w:placeholder>
          <w:dropDownList>
            <w:listItem w:value="Choose an item."/>
            <w:listItem w:displayText="from" w:value="from"/>
            <w:listItem w:displayText="to" w:value="to"/>
          </w:dropDownList>
        </w:sdtPr>
        <w:sdtContent>
          <w:r w:rsidR="00F15CF2" w:rsidRPr="007A000E">
            <w:rPr>
              <w:rFonts w:cstheme="minorHAnsi"/>
              <w:highlight w:val="green"/>
            </w:rPr>
            <w:t>from</w:t>
          </w:r>
        </w:sdtContent>
      </w:sdt>
      <w:r w:rsidR="00F15CF2" w:rsidRPr="003918D5">
        <w:rPr>
          <w:rFonts w:cstheme="minorHAnsi"/>
        </w:rPr>
        <w:t xml:space="preserve"> </w:t>
      </w:r>
      <w:r w:rsidRPr="00EE36B3">
        <w:rPr>
          <w:rFonts w:cs="Arial"/>
          <w:color w:val="000000"/>
          <w:szCs w:val="22"/>
        </w:rPr>
        <w:t xml:space="preserve">the concluded fee simple land value in arriving at a subject leased fee value estimate.  </w:t>
      </w:r>
      <w:r>
        <w:rPr>
          <w:rFonts w:cs="Arial"/>
          <w:color w:val="000000"/>
          <w:szCs w:val="22"/>
        </w:rPr>
        <w:t>Alternatively</w:t>
      </w:r>
      <w:r w:rsidRPr="00EE36B3">
        <w:rPr>
          <w:rFonts w:cs="Arial"/>
          <w:color w:val="000000"/>
          <w:szCs w:val="22"/>
        </w:rPr>
        <w:t xml:space="preserve">, this will be cross-checked with a discounted cash flow analysis involving the projection of the contract rent payable on the underlying ground lease over the remaining term of the ground lease, and discounting this cash flow plus the reversionary interest in the subject land back to a present value equating </w:t>
      </w:r>
      <w:r>
        <w:rPr>
          <w:rFonts w:cs="Arial"/>
          <w:color w:val="000000"/>
          <w:szCs w:val="22"/>
        </w:rPr>
        <w:t xml:space="preserve">another value estimate of </w:t>
      </w:r>
      <w:r w:rsidRPr="00EE36B3">
        <w:rPr>
          <w:rFonts w:cs="Arial"/>
          <w:color w:val="000000"/>
          <w:szCs w:val="22"/>
        </w:rPr>
        <w:t xml:space="preserve">the leased fee interest. </w:t>
      </w:r>
    </w:p>
    <w:p w14:paraId="55A0B699" w14:textId="77777777" w:rsidR="00E84DB2" w:rsidRPr="00EE36B3" w:rsidRDefault="00E84DB2" w:rsidP="00E84DB2">
      <w:pPr>
        <w:rPr>
          <w:rFonts w:cs="Arial"/>
          <w:color w:val="000000"/>
          <w:szCs w:val="22"/>
        </w:rPr>
      </w:pPr>
    </w:p>
    <w:p w14:paraId="1189EF51" w14:textId="7681AD4A" w:rsidR="00E84DB2" w:rsidRPr="00EE36B3" w:rsidRDefault="00E84DB2" w:rsidP="00E84DB2">
      <w:pPr>
        <w:rPr>
          <w:rFonts w:cs="Arial"/>
          <w:color w:val="000000"/>
          <w:szCs w:val="22"/>
        </w:rPr>
      </w:pPr>
      <w:r w:rsidRPr="00EE36B3">
        <w:rPr>
          <w:rFonts w:cs="Arial"/>
          <w:color w:val="000000"/>
          <w:szCs w:val="22"/>
        </w:rPr>
        <w:t xml:space="preserve">Finally, in </w:t>
      </w:r>
      <w:r w:rsidRPr="009C4EE1">
        <w:rPr>
          <w:rFonts w:cs="Arial"/>
          <w:color w:val="000000"/>
          <w:szCs w:val="22"/>
          <w:u w:val="single"/>
        </w:rPr>
        <w:t>Section 3</w:t>
      </w:r>
      <w:r w:rsidRPr="00EE36B3">
        <w:rPr>
          <w:rFonts w:cs="Arial"/>
          <w:color w:val="000000"/>
          <w:szCs w:val="22"/>
        </w:rPr>
        <w:t xml:space="preserve"> – Reconciliation and Final Conclusion, these two value estimates will be reconciled into a final </w:t>
      </w:r>
      <w:r>
        <w:rPr>
          <w:rFonts w:cs="Arial"/>
          <w:color w:val="000000"/>
          <w:szCs w:val="22"/>
        </w:rPr>
        <w:t xml:space="preserve">concluded </w:t>
      </w:r>
      <w:r w:rsidRPr="00EE36B3">
        <w:rPr>
          <w:rFonts w:cs="Arial"/>
          <w:color w:val="000000"/>
          <w:szCs w:val="22"/>
        </w:rPr>
        <w:t>as is market value of the subject lease fee interest.</w:t>
      </w:r>
    </w:p>
    <w:p w14:paraId="3324DAB2" w14:textId="77777777" w:rsidR="00E84DB2" w:rsidRDefault="00E84DB2" w:rsidP="00E0237E">
      <w:pPr>
        <w:rPr>
          <w:color w:val="000000"/>
          <w:szCs w:val="22"/>
        </w:rPr>
      </w:pPr>
    </w:p>
    <w:sectPr w:rsidR="00E84DB2" w:rsidSect="00376BB1">
      <w:headerReference w:type="default" r:id="rId11"/>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50B74F" w14:textId="77777777" w:rsidR="00EC1824" w:rsidRDefault="00EC1824">
      <w:r>
        <w:separator/>
      </w:r>
    </w:p>
  </w:endnote>
  <w:endnote w:type="continuationSeparator" w:id="0">
    <w:p w14:paraId="17B3F34C" w14:textId="77777777" w:rsidR="00EC1824" w:rsidRDefault="00EC1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E2085D" w14:textId="4F440B56" w:rsidR="0071494E" w:rsidRDefault="0071494E" w:rsidP="0071494E">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F15CF2">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 </w:t>
    </w:r>
    <w:r w:rsidRPr="00C500E2">
      <w:rPr>
        <w:rFonts w:cs="Segoe UI"/>
        <w:bCs/>
        <w:iCs/>
        <w:kern w:val="0"/>
        <w:sz w:val="20"/>
        <w:szCs w:val="18"/>
      </w:rPr>
      <w:t>${</w:t>
    </w:r>
    <w:proofErr w:type="spellStart"/>
    <w:r w:rsidRPr="00C500E2">
      <w:rPr>
        <w:rFonts w:cs="Segoe UI"/>
        <w:bCs/>
        <w:iCs/>
        <w:kern w:val="0"/>
        <w:sz w:val="20"/>
        <w:szCs w:val="18"/>
      </w:rPr>
      <w:t>reportname</w:t>
    </w:r>
    <w:proofErr w:type="spellEnd"/>
    <w:r w:rsidRPr="00C500E2">
      <w:rPr>
        <w:rFonts w:cs="Segoe UI"/>
        <w:bCs/>
        <w:iCs/>
        <w:kern w:val="0"/>
        <w:sz w:val="20"/>
        <w:szCs w:val="18"/>
      </w:rPr>
      <w:t>}</w:t>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1</w:t>
    </w:r>
    <w:r>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C8284F" w14:textId="77777777" w:rsidR="00EC1824" w:rsidRDefault="00EC1824">
      <w:r>
        <w:separator/>
      </w:r>
    </w:p>
  </w:footnote>
  <w:footnote w:type="continuationSeparator" w:id="0">
    <w:p w14:paraId="5CF73728" w14:textId="77777777" w:rsidR="00EC1824" w:rsidRDefault="00EC1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2"/>
      <w:gridCol w:w="4470"/>
    </w:tblGrid>
    <w:tr w:rsidR="00DB2E0D" w:rsidRPr="006C283F" w14:paraId="141473EB" w14:textId="77777777" w:rsidTr="00BA3AB1">
      <w:trPr>
        <w:trHeight w:val="800"/>
      </w:trPr>
      <w:tc>
        <w:tcPr>
          <w:tcW w:w="5216" w:type="dxa"/>
        </w:tcPr>
        <w:p w14:paraId="1D6783B5" w14:textId="77777777" w:rsidR="00DB2E0D" w:rsidRDefault="00DB2E0D" w:rsidP="00492705">
          <w:pPr>
            <w:pStyle w:val="ValbridgeHeader"/>
            <w:spacing w:line="240" w:lineRule="auto"/>
            <w:jc w:val="left"/>
          </w:pPr>
          <w:r w:rsidRPr="006C283F">
            <w:rPr>
              <w:noProof/>
            </w:rPr>
            <w:drawing>
              <wp:inline distT="0" distB="0" distL="0" distR="0" wp14:anchorId="20CC3C7D" wp14:editId="56395B8E">
                <wp:extent cx="2231136" cy="4937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2" w:type="dxa"/>
          <w:vAlign w:val="center"/>
        </w:tcPr>
        <w:p w14:paraId="4DBE2B49" w14:textId="58EE0C42" w:rsidR="00782513" w:rsidRPr="00F01ADE" w:rsidRDefault="008B2CF2" w:rsidP="00782513">
          <w:pPr>
            <w:pStyle w:val="ValbridgeHeader"/>
            <w:spacing w:before="120" w:line="240" w:lineRule="auto"/>
            <w:rPr>
              <w:rFonts w:asciiTheme="minorHAnsi" w:hAnsiTheme="minorHAnsi"/>
              <w:noProof/>
              <w:color w:val="auto"/>
              <w:sz w:val="20"/>
            </w:rPr>
          </w:pPr>
          <w:r>
            <w:rPr>
              <w:rFonts w:asciiTheme="minorHAnsi" w:hAnsiTheme="minorHAnsi"/>
              <w:caps/>
              <w:noProof/>
              <w:color w:val="auto"/>
              <w:sz w:val="20"/>
            </w:rPr>
            <w:t>${</w:t>
          </w:r>
          <w:r w:rsidRPr="008B2CF2">
            <w:rPr>
              <w:rFonts w:asciiTheme="minorHAnsi" w:hAnsiTheme="minorHAnsi"/>
              <w:caps/>
              <w:noProof/>
              <w:color w:val="auto"/>
              <w:sz w:val="20"/>
            </w:rPr>
            <w:t>cappropname</w:t>
          </w:r>
          <w:r>
            <w:rPr>
              <w:rFonts w:asciiTheme="minorHAnsi" w:hAnsiTheme="minorHAnsi"/>
              <w:caps/>
              <w:noProof/>
              <w:color w:val="auto"/>
              <w:sz w:val="20"/>
            </w:rPr>
            <w:t>}</w:t>
          </w:r>
        </w:p>
        <w:p w14:paraId="207A6F81" w14:textId="7D135A32" w:rsidR="00DB2E0D" w:rsidRPr="00883365" w:rsidRDefault="00E0237E" w:rsidP="00492705">
          <w:pPr>
            <w:pStyle w:val="ValbridgeHeader"/>
            <w:spacing w:line="240" w:lineRule="auto"/>
            <w:rPr>
              <w:rFonts w:ascii="Arial Narrow" w:hAnsi="Arial Narrow" w:cs="Arial"/>
            </w:rPr>
          </w:pPr>
          <w:r w:rsidRPr="00922115">
            <w:rPr>
              <w:rFonts w:asciiTheme="minorHAnsi" w:hAnsiTheme="minorHAnsi"/>
              <w:color w:val="auto"/>
              <w:sz w:val="20"/>
            </w:rPr>
            <w:t>VALUATION METHODOLOGY</w:t>
          </w:r>
        </w:p>
      </w:tc>
    </w:tr>
  </w:tbl>
  <w:p w14:paraId="6FAFBFDB" w14:textId="77777777" w:rsidR="00DB2E0D" w:rsidRPr="00E039CC" w:rsidRDefault="00DB2E0D" w:rsidP="00CE5C66">
    <w:pPr>
      <w:pStyle w:val="ValbridgeHeader"/>
      <w:tabs>
        <w:tab w:val="left" w:pos="2235"/>
        <w:tab w:val="right" w:pos="9360"/>
      </w:tabs>
      <w:jc w:val="left"/>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9ED"/>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2AED"/>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0DF"/>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932"/>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2FF9"/>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6FCC"/>
    <w:rsid w:val="000B719C"/>
    <w:rsid w:val="000B7205"/>
    <w:rsid w:val="000B73C8"/>
    <w:rsid w:val="000B7563"/>
    <w:rsid w:val="000C08E8"/>
    <w:rsid w:val="000C1C5E"/>
    <w:rsid w:val="000C209E"/>
    <w:rsid w:val="000C2D8D"/>
    <w:rsid w:val="000C3981"/>
    <w:rsid w:val="000C3C17"/>
    <w:rsid w:val="000C3EF7"/>
    <w:rsid w:val="000C3F3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8C8"/>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B6E"/>
    <w:rsid w:val="00161B8B"/>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5E4A"/>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1F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BAC"/>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10"/>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34B"/>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70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0DE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78B"/>
    <w:rsid w:val="00336AD1"/>
    <w:rsid w:val="00337017"/>
    <w:rsid w:val="0033786D"/>
    <w:rsid w:val="00340006"/>
    <w:rsid w:val="003401D1"/>
    <w:rsid w:val="00340514"/>
    <w:rsid w:val="00340879"/>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1B5E"/>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3AEF"/>
    <w:rsid w:val="00374580"/>
    <w:rsid w:val="00374A19"/>
    <w:rsid w:val="00374C0A"/>
    <w:rsid w:val="00375732"/>
    <w:rsid w:val="00375A58"/>
    <w:rsid w:val="00375DEB"/>
    <w:rsid w:val="00375FA4"/>
    <w:rsid w:val="003760A4"/>
    <w:rsid w:val="003769C3"/>
    <w:rsid w:val="00376BB1"/>
    <w:rsid w:val="00376FEF"/>
    <w:rsid w:val="00377184"/>
    <w:rsid w:val="003771F5"/>
    <w:rsid w:val="00377C44"/>
    <w:rsid w:val="00380067"/>
    <w:rsid w:val="00380863"/>
    <w:rsid w:val="00380CC6"/>
    <w:rsid w:val="00380FCF"/>
    <w:rsid w:val="00381C51"/>
    <w:rsid w:val="003822AC"/>
    <w:rsid w:val="00382697"/>
    <w:rsid w:val="003829A0"/>
    <w:rsid w:val="00383165"/>
    <w:rsid w:val="0038335A"/>
    <w:rsid w:val="00383761"/>
    <w:rsid w:val="00383E05"/>
    <w:rsid w:val="00384356"/>
    <w:rsid w:val="0038516D"/>
    <w:rsid w:val="003856AB"/>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4C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330"/>
    <w:rsid w:val="003D256C"/>
    <w:rsid w:val="003D2DF2"/>
    <w:rsid w:val="003D2F1E"/>
    <w:rsid w:val="003D3639"/>
    <w:rsid w:val="003D3A89"/>
    <w:rsid w:val="003D3B14"/>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8AF"/>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6AD"/>
    <w:rsid w:val="00444916"/>
    <w:rsid w:val="004453D0"/>
    <w:rsid w:val="0044558A"/>
    <w:rsid w:val="004456AD"/>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7EF"/>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0F33"/>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09"/>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18B"/>
    <w:rsid w:val="00513426"/>
    <w:rsid w:val="005134D6"/>
    <w:rsid w:val="005137AE"/>
    <w:rsid w:val="00513E24"/>
    <w:rsid w:val="0051436D"/>
    <w:rsid w:val="00514472"/>
    <w:rsid w:val="00514AB5"/>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6C50"/>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6C25"/>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8C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63C"/>
    <w:rsid w:val="00634730"/>
    <w:rsid w:val="00634B82"/>
    <w:rsid w:val="00634C2F"/>
    <w:rsid w:val="006360A7"/>
    <w:rsid w:val="006364F6"/>
    <w:rsid w:val="00636A1A"/>
    <w:rsid w:val="00636C53"/>
    <w:rsid w:val="00637454"/>
    <w:rsid w:val="00637E66"/>
    <w:rsid w:val="006405C7"/>
    <w:rsid w:val="006413F8"/>
    <w:rsid w:val="00641938"/>
    <w:rsid w:val="006424B3"/>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A7AC5"/>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4E1"/>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94E"/>
    <w:rsid w:val="00714A6E"/>
    <w:rsid w:val="00714E60"/>
    <w:rsid w:val="00716922"/>
    <w:rsid w:val="00716B78"/>
    <w:rsid w:val="00716EAD"/>
    <w:rsid w:val="00717354"/>
    <w:rsid w:val="0071749A"/>
    <w:rsid w:val="007176FC"/>
    <w:rsid w:val="0072019C"/>
    <w:rsid w:val="007202C2"/>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881"/>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2A8"/>
    <w:rsid w:val="00755639"/>
    <w:rsid w:val="00755F3D"/>
    <w:rsid w:val="00756532"/>
    <w:rsid w:val="0075712F"/>
    <w:rsid w:val="007575B1"/>
    <w:rsid w:val="00760665"/>
    <w:rsid w:val="00760FC8"/>
    <w:rsid w:val="00762332"/>
    <w:rsid w:val="007638F5"/>
    <w:rsid w:val="00763BEB"/>
    <w:rsid w:val="00763CFC"/>
    <w:rsid w:val="0076407F"/>
    <w:rsid w:val="007640D8"/>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911"/>
    <w:rsid w:val="00770BF4"/>
    <w:rsid w:val="00770C1D"/>
    <w:rsid w:val="007713CB"/>
    <w:rsid w:val="0077146C"/>
    <w:rsid w:val="00772002"/>
    <w:rsid w:val="00772CC2"/>
    <w:rsid w:val="00772F0C"/>
    <w:rsid w:val="007739E7"/>
    <w:rsid w:val="00773B61"/>
    <w:rsid w:val="00773E81"/>
    <w:rsid w:val="00773F1D"/>
    <w:rsid w:val="00774009"/>
    <w:rsid w:val="007749D4"/>
    <w:rsid w:val="00774A4B"/>
    <w:rsid w:val="007750FA"/>
    <w:rsid w:val="0077643B"/>
    <w:rsid w:val="00776A6C"/>
    <w:rsid w:val="00776DE9"/>
    <w:rsid w:val="00777267"/>
    <w:rsid w:val="00777952"/>
    <w:rsid w:val="00780E34"/>
    <w:rsid w:val="0078232B"/>
    <w:rsid w:val="00782513"/>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95B"/>
    <w:rsid w:val="00817C3D"/>
    <w:rsid w:val="00820128"/>
    <w:rsid w:val="00820626"/>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117"/>
    <w:rsid w:val="00847530"/>
    <w:rsid w:val="00847A31"/>
    <w:rsid w:val="00847EF9"/>
    <w:rsid w:val="0085014E"/>
    <w:rsid w:val="00850D52"/>
    <w:rsid w:val="00850E59"/>
    <w:rsid w:val="00851BC9"/>
    <w:rsid w:val="00851F3C"/>
    <w:rsid w:val="00852178"/>
    <w:rsid w:val="00852961"/>
    <w:rsid w:val="00852A79"/>
    <w:rsid w:val="00852D80"/>
    <w:rsid w:val="0085318C"/>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850"/>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2CF2"/>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51C"/>
    <w:rsid w:val="00914B24"/>
    <w:rsid w:val="00915655"/>
    <w:rsid w:val="00915DC4"/>
    <w:rsid w:val="00915F51"/>
    <w:rsid w:val="009164EB"/>
    <w:rsid w:val="00916647"/>
    <w:rsid w:val="0091726E"/>
    <w:rsid w:val="009179D8"/>
    <w:rsid w:val="00917CA4"/>
    <w:rsid w:val="009208A9"/>
    <w:rsid w:val="00921476"/>
    <w:rsid w:val="00921508"/>
    <w:rsid w:val="00921897"/>
    <w:rsid w:val="00922672"/>
    <w:rsid w:val="0092344C"/>
    <w:rsid w:val="00923CDD"/>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3DDA"/>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EE1"/>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28C0"/>
    <w:rsid w:val="00A13447"/>
    <w:rsid w:val="00A137A8"/>
    <w:rsid w:val="00A138B7"/>
    <w:rsid w:val="00A13BC4"/>
    <w:rsid w:val="00A14DC8"/>
    <w:rsid w:val="00A1532B"/>
    <w:rsid w:val="00A15A86"/>
    <w:rsid w:val="00A160BB"/>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18F"/>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A6B"/>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30D"/>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C12"/>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7E7"/>
    <w:rsid w:val="00B11C05"/>
    <w:rsid w:val="00B11FF5"/>
    <w:rsid w:val="00B12420"/>
    <w:rsid w:val="00B12B98"/>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1F09"/>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5E7A"/>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5EB"/>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4EA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5FFC"/>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0E2"/>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2D78"/>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0DF2"/>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B61"/>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682"/>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26B"/>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4F7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BB7"/>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903"/>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43C"/>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1C0"/>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37E"/>
    <w:rsid w:val="00E02585"/>
    <w:rsid w:val="00E02ADA"/>
    <w:rsid w:val="00E02B9D"/>
    <w:rsid w:val="00E03623"/>
    <w:rsid w:val="00E039CC"/>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5CD8"/>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4DB2"/>
    <w:rsid w:val="00E85670"/>
    <w:rsid w:val="00E861F8"/>
    <w:rsid w:val="00E86835"/>
    <w:rsid w:val="00E8691C"/>
    <w:rsid w:val="00E86DD0"/>
    <w:rsid w:val="00E873F3"/>
    <w:rsid w:val="00E87A75"/>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824"/>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3CED"/>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379"/>
    <w:rsid w:val="00F15663"/>
    <w:rsid w:val="00F15983"/>
    <w:rsid w:val="00F15CF2"/>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744"/>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5CB3"/>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EAA"/>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12F9E2"/>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4DC74739D5A438EA11D831773EE8393"/>
        <w:category>
          <w:name w:val="General"/>
          <w:gallery w:val="placeholder"/>
        </w:category>
        <w:types>
          <w:type w:val="bbPlcHdr"/>
        </w:types>
        <w:behaviors>
          <w:behavior w:val="content"/>
        </w:behaviors>
        <w:guid w:val="{FCDEBB3C-4C26-4F9D-A592-53070E365B0A}"/>
      </w:docPartPr>
      <w:docPartBody>
        <w:p w:rsidR="00000000" w:rsidRDefault="00F53BB0" w:rsidP="00F53BB0">
          <w:pPr>
            <w:pStyle w:val="D4DC74739D5A438EA11D831773EE8393"/>
          </w:pPr>
          <w:r w:rsidRPr="00485B37">
            <w:rPr>
              <w:rStyle w:val="PlaceholderText"/>
            </w:rPr>
            <w:t>Choose an item.</w:t>
          </w:r>
        </w:p>
      </w:docPartBody>
    </w:docPart>
    <w:docPart>
      <w:docPartPr>
        <w:name w:val="9F2EF9DA56E4421186B52DA283C8202A"/>
        <w:category>
          <w:name w:val="General"/>
          <w:gallery w:val="placeholder"/>
        </w:category>
        <w:types>
          <w:type w:val="bbPlcHdr"/>
        </w:types>
        <w:behaviors>
          <w:behavior w:val="content"/>
        </w:behaviors>
        <w:guid w:val="{9A891E8C-1C35-4618-B686-2A40985B77D7}"/>
      </w:docPartPr>
      <w:docPartBody>
        <w:p w:rsidR="00000000" w:rsidRDefault="00F53BB0" w:rsidP="00F53BB0">
          <w:pPr>
            <w:pStyle w:val="9F2EF9DA56E4421186B52DA283C8202A"/>
          </w:pPr>
          <w:r w:rsidRPr="00485B37">
            <w:rPr>
              <w:rStyle w:val="PlaceholderText"/>
            </w:rPr>
            <w:t>Choose an item.</w:t>
          </w:r>
        </w:p>
      </w:docPartBody>
    </w:docPart>
    <w:docPart>
      <w:docPartPr>
        <w:name w:val="F90CFFF1378E4E978EA01B01248C26F3"/>
        <w:category>
          <w:name w:val="General"/>
          <w:gallery w:val="placeholder"/>
        </w:category>
        <w:types>
          <w:type w:val="bbPlcHdr"/>
        </w:types>
        <w:behaviors>
          <w:behavior w:val="content"/>
        </w:behaviors>
        <w:guid w:val="{7039CD3C-8958-43B0-A0AF-0F35B52F3742}"/>
      </w:docPartPr>
      <w:docPartBody>
        <w:p w:rsidR="00000000" w:rsidRDefault="00F53BB0" w:rsidP="00F53BB0">
          <w:pPr>
            <w:pStyle w:val="F90CFFF1378E4E978EA01B01248C26F3"/>
          </w:pPr>
          <w:r w:rsidRPr="00485B3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BB0"/>
    <w:rsid w:val="006037CB"/>
    <w:rsid w:val="00F53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3BB0"/>
    <w:rPr>
      <w:color w:val="808080"/>
    </w:rPr>
  </w:style>
  <w:style w:type="paragraph" w:customStyle="1" w:styleId="D4DC74739D5A438EA11D831773EE8393">
    <w:name w:val="D4DC74739D5A438EA11D831773EE8393"/>
    <w:rsid w:val="00F53BB0"/>
  </w:style>
  <w:style w:type="paragraph" w:customStyle="1" w:styleId="9F2EF9DA56E4421186B52DA283C8202A">
    <w:name w:val="9F2EF9DA56E4421186B52DA283C8202A"/>
    <w:rsid w:val="00F53BB0"/>
  </w:style>
  <w:style w:type="paragraph" w:customStyle="1" w:styleId="F90CFFF1378E4E978EA01B01248C26F3">
    <w:name w:val="F90CFFF1378E4E978EA01B01248C26F3"/>
    <w:rsid w:val="00F53B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807E80-EB4A-4A19-91B5-5CB07BDA4D22}">
  <ds:schemaRefs>
    <ds:schemaRef ds:uri="http://schemas.openxmlformats.org/officeDocument/2006/bibliography"/>
  </ds:schemaRefs>
</ds:datastoreItem>
</file>

<file path=customXml/itemProps2.xml><?xml version="1.0" encoding="utf-8"?>
<ds:datastoreItem xmlns:ds="http://schemas.openxmlformats.org/officeDocument/2006/customXml" ds:itemID="{1CFCA692-5BD9-4AAB-BDDA-378EB2E33E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298B2E-06B4-4641-8090-26F861ED3785}">
  <ds:schemaRefs>
    <ds:schemaRef ds:uri="http://schemas.microsoft.com/sharepoint/v3/contenttype/forms"/>
  </ds:schemaRefs>
</ds:datastoreItem>
</file>

<file path=customXml/itemProps4.xml><?xml version="1.0" encoding="utf-8"?>
<ds:datastoreItem xmlns:ds="http://schemas.openxmlformats.org/officeDocument/2006/customXml" ds:itemID="{2DE31CA3-3B2E-4B55-AB78-60000BF65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3312</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Kurt Mueller</cp:lastModifiedBy>
  <cp:revision>4</cp:revision>
  <cp:lastPrinted>2019-01-21T18:26:00Z</cp:lastPrinted>
  <dcterms:created xsi:type="dcterms:W3CDTF">2020-05-23T20:49:00Z</dcterms:created>
  <dcterms:modified xsi:type="dcterms:W3CDTF">2020-06-13T22:51:00Z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