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Zava Retail — Past Campaign Performance Summary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Marketing knowledge source — reference data for campaign planning and KPI benchmarking</w:t>
      </w:r>
    </w:p>
    <w:p>
      <w:pPr>
        <w:pStyle w:val="Heading1"/>
      </w:pPr>
      <w:r>
        <w:t xml:space="preserve">1. Purpose of This Document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summary provides performance benchmarks from Zava Retail's most recent comparable campaign. Use these figures as a reference point when proposing realistic KPIs and timelines for new campaigns — do not present them as guaranteed outcomes for a new campaign.</w:t>
      </w:r>
    </w:p>
    <w:p>
      <w:pPr>
        <w:pStyle w:val="Heading1"/>
      </w:pPr>
      <w:r>
        <w:t xml:space="preserve">2. Campaign Snapshot: Spring Refresh Sale</w:t>
      </w:r>
    </w:p>
    <w:tbl>
      <w:tblPr>
        <w:tblW w:type="pct" w:w="100%"/>
        <w:tblBorders>
          <w:top w:val="single" w:color="B7C4C9" w:sz="4"/>
          <w:left w:val="single" w:color="B7C4C9" w:sz="4"/>
          <w:bottom w:val="single" w:color="B7C4C9" w:sz="4"/>
          <w:right w:val="single" w:color="B7C4C9" w:sz="4"/>
          <w:insideH w:val="single" w:color="D9E2E4" w:sz="4"/>
          <w:insideV w:val="single" w:color="D9E2E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pct" w:w="7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Refresh Sale</w:t>
            </w:r>
          </w:p>
        </w:tc>
      </w:tr>
      <w:tr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</w:t>
            </w:r>
          </w:p>
        </w:tc>
        <w:tc>
          <w:tcPr>
            <w:tcW w:type="pct" w:w="7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40% off spring apparel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weeks (early March – late March)</w:t>
            </w:r>
          </w:p>
        </w:tc>
      </w:tr>
      <w:tr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audience</w:t>
            </w:r>
          </w:p>
        </w:tc>
        <w:tc>
          <w:tcPr>
            <w:tcW w:type="pct" w:w="7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Value-conscious shoppers, ages 25–54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audience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Zava Rewards loyalty members (early access, 3 days before general launch)</w:t>
            </w:r>
          </w:p>
        </w:tc>
      </w:tr>
      <w:tr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Channels used</w:t>
            </w:r>
          </w:p>
        </w:tc>
        <w:tc>
          <w:tcPr>
            <w:tcW w:type="pct" w:w="7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Instagram, Facebook, SMS, in-store signage</w:t>
            </w:r>
          </w:p>
        </w:tc>
      </w:tr>
    </w:tbl>
    <w:p>
      <w:pPr>
        <w:pStyle w:val="Heading1"/>
      </w:pPr>
      <w:r>
        <w:t xml:space="preserve">3. Results by Channel</w:t>
      </w:r>
    </w:p>
    <w:tbl>
      <w:tblPr>
        <w:tblW w:type="pct" w:w="100%"/>
        <w:tblBorders>
          <w:top w:val="single" w:color="B7C4C9" w:sz="4"/>
          <w:left w:val="single" w:color="B7C4C9" w:sz="4"/>
          <w:bottom w:val="single" w:color="B7C4C9" w:sz="4"/>
          <w:right w:val="single" w:color="B7C4C9" w:sz="4"/>
          <w:insideH w:val="single" w:color="D9E2E4" w:sz="4"/>
          <w:insideV w:val="single" w:color="D9E2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pct" w:w="35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pct" w:w="4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rate / Click-through rate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34% open rate / 6.1% CTR</w:t>
            </w:r>
          </w:p>
        </w:tc>
      </w:tr>
      <w:tr>
        <w:tc>
          <w:tcPr>
            <w:tcW w:type="pct" w:w="25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</w:t>
            </w:r>
          </w:p>
        </w:tc>
        <w:tc>
          <w:tcPr>
            <w:tcW w:type="pct" w:w="35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Engagement rate</w:t>
            </w:r>
          </w:p>
        </w:tc>
        <w:tc>
          <w:tcPr>
            <w:tcW w:type="pct" w:w="4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4.8% (above 3.2% account average)</w:t>
            </w:r>
          </w:p>
        </w:tc>
      </w:tr>
      <w:t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 / Engagement rate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128,000 reach / 2.9% engagement</w:t>
            </w:r>
          </w:p>
        </w:tc>
      </w:tr>
      <w:tr>
        <w:tc>
          <w:tcPr>
            <w:tcW w:type="pct" w:w="25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</w:t>
            </w:r>
          </w:p>
        </w:tc>
        <w:tc>
          <w:tcPr>
            <w:tcW w:type="pct" w:w="35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Click-through rate / Opt-out rate</w:t>
            </w:r>
          </w:p>
        </w:tc>
        <w:tc>
          <w:tcPr>
            <w:tcW w:type="pct" w:w="4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9.4% CTR / 1.1% opt-out</w:t>
            </w:r>
          </w:p>
        </w:tc>
      </w:tr>
      <w:t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In-store signage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Attributed foot traffic lift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+12% vs. prior 3-week period</w:t>
            </w:r>
          </w:p>
        </w:tc>
      </w:tr>
    </w:tbl>
    <w:p>
      <w:pPr>
        <w:pStyle w:val="Heading1"/>
      </w:pPr>
      <w:r>
        <w:t xml:space="preserve">4. Overall Business Impact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lift: </w:t>
      </w:r>
      <w:r>
        <w:rPr>
          <w:rFonts w:ascii="Calibri" w:cs="Calibri" w:eastAsia="Calibri" w:hAnsi="Calibri"/>
          <w:sz w:val="22"/>
          <w:szCs w:val="22"/>
        </w:rPr>
        <w:t xml:space="preserve">+18% vs. the prior non-promotional 3-week period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Loyalty member conversion: </w:t>
      </w:r>
      <w:r>
        <w:rPr>
          <w:rFonts w:ascii="Calibri" w:cs="Calibri" w:eastAsia="Calibri" w:hAnsi="Calibri"/>
          <w:sz w:val="22"/>
          <w:szCs w:val="22"/>
        </w:rPr>
        <w:t xml:space="preserve">Members who received early access converted at 2.3x the rate of non-members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Inventory sell-through: </w:t>
      </w:r>
      <w:r>
        <w:rPr>
          <w:rFonts w:ascii="Calibri" w:cs="Calibri" w:eastAsia="Calibri" w:hAnsi="Calibri"/>
          <w:sz w:val="22"/>
          <w:szCs w:val="22"/>
        </w:rPr>
        <w:t xml:space="preserve">72% of targeted spring apparel SKUs cleared within the campaign window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Redemption rate: </w:t>
      </w:r>
      <w:r>
        <w:rPr>
          <w:rFonts w:ascii="Calibri" w:cs="Calibri" w:eastAsia="Calibri" w:hAnsi="Calibri"/>
          <w:sz w:val="22"/>
          <w:szCs w:val="22"/>
        </w:rPr>
        <w:t xml:space="preserve">22% of email recipients redeemed the offer in-store or online</w:t>
      </w:r>
    </w:p>
    <w:p>
      <w:pPr>
        <w:pStyle w:val="Heading1"/>
      </w:pPr>
      <w:r>
        <w:t xml:space="preserve">5. What Worked Well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Loyalty early access (3-day head start) drove stronger conversion without cannibalizing general-audience 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SMS had the highest click-through rate of any channel and low opt-out, suggesting continued headroom for SMS investment.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In-store signage paired with a simple, benefit-led headline outperformed more detailed signage copy used in an earlier test.</w:t>
      </w:r>
    </w:p>
    <w:p>
      <w:pPr>
        <w:pStyle w:val="Heading1"/>
      </w:pPr>
      <w:r>
        <w:t xml:space="preserve">6. What to Improve Next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Facebook engagement lagged behind Instagram; consider shorter copy and more product-forward imagery.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Some regional stores reported signage arriving after the campaign start date; confirm regional print/logistics timelines earlier in future campaigns.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Email frequency (4 sends across 3 weeks) trended toward the upper limit of subscriber tolerance; consider capping at 3 sends for shorter campaigns.</w:t>
      </w:r>
    </w:p>
    <w:p>
      <w:pPr>
        <w:pStyle w:val="Heading1"/>
      </w:pPr>
      <w:r>
        <w:t xml:space="preserve">7. Benchmark KPIs for Future Campaign Planning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When proposing KPIs for a new campaign of similar scope, these ranges are reasonable starting benchmarks, to be adjusted for offer size, season, and audience: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 CTR: </w:t>
      </w:r>
      <w:r>
        <w:rPr>
          <w:rFonts w:ascii="Calibri" w:cs="Calibri" w:eastAsia="Calibri" w:hAnsi="Calibri"/>
          <w:sz w:val="22"/>
          <w:szCs w:val="22"/>
        </w:rPr>
        <w:t xml:space="preserve">5–7%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SMS CTR: </w:t>
      </w:r>
      <w:r>
        <w:rPr>
          <w:rFonts w:ascii="Calibri" w:cs="Calibri" w:eastAsia="Calibri" w:hAnsi="Calibri"/>
          <w:sz w:val="22"/>
          <w:szCs w:val="22"/>
        </w:rPr>
        <w:t xml:space="preserve">8–10%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Social engagement rate: </w:t>
      </w:r>
      <w:r>
        <w:rPr>
          <w:rFonts w:ascii="Calibri" w:cs="Calibri" w:eastAsia="Calibri" w:hAnsi="Calibri"/>
          <w:sz w:val="22"/>
          <w:szCs w:val="22"/>
        </w:rPr>
        <w:t xml:space="preserve">3–5%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In-store foot traffic lift: </w:t>
      </w:r>
      <w:r>
        <w:rPr>
          <w:rFonts w:ascii="Calibri" w:cs="Calibri" w:eastAsia="Calibri" w:hAnsi="Calibri"/>
          <w:sz w:val="22"/>
          <w:szCs w:val="22"/>
        </w:rPr>
        <w:t xml:space="preserve">8–15% vs. non-promotional baseline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lift: </w:t>
      </w:r>
      <w:r>
        <w:rPr>
          <w:rFonts w:ascii="Calibri" w:cs="Calibri" w:eastAsia="Calibri" w:hAnsi="Calibri"/>
          <w:sz w:val="22"/>
          <w:szCs w:val="22"/>
        </w:rPr>
        <w:t xml:space="preserve">12–20% vs. non-promotional baseline, depending on discount depth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5F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B7C4C9" w:sz="6" w:space="4"/>
      </w:pBdr>
      <w:spacing w:after="160" w:before="340"/>
    </w:pPr>
    <w:rPr>
      <w:rFonts w:ascii="Calibri" w:cs="Calibri" w:eastAsia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2E6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2026-07-13T04:32:54.753Z</dcterms:created>
  <dcterms:modified xsi:type="dcterms:W3CDTF">2026-07-13T04:32:54.753Z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