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Zava Retail — Product Catalog Excerpt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Marketing knowledge source — Summer Clearance apparel categories, for campaign and creative reference</w:t>
      </w:r>
    </w:p>
    <w:p>
      <w:pPr>
        <w:pStyle w:val="Heading1"/>
      </w:pPr>
      <w:r>
        <w:t xml:space="preserve">1. Scope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excerpt covers the apparel categories included in the upcoming Summer Clearance event (up to 50% off apparel). Use this list when generating creative assets or campaign copy so that product references are accurate and consistent across channels.</w:t>
      </w:r>
    </w:p>
    <w:p>
      <w:pPr>
        <w:pStyle w:val="Heading1"/>
      </w:pPr>
      <w:r>
        <w:t xml:space="preserve">2. Categories Included in Summer Clearance</w:t>
      </w:r>
    </w:p>
    <w:tbl>
      <w:tblPr>
        <w:tblW w:type="pct" w:w="100%"/>
        <w:tblBorders>
          <w:top w:val="single" w:color="B7C4C9" w:sz="4"/>
          <w:left w:val="single" w:color="B7C4C9" w:sz="4"/>
          <w:bottom w:val="single" w:color="B7C4C9" w:sz="4"/>
          <w:right w:val="single" w:color="B7C4C9" w:sz="4"/>
          <w:insideH w:val="single" w:color="D9E2E4" w:sz="4"/>
          <w:insideV w:val="single" w:color="D9E2E4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pct" w:w="18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Discount Range</w:t>
            </w:r>
          </w:p>
        </w:tc>
        <w:tc>
          <w:tcPr>
            <w:tcW w:type="pct" w:w="3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Inventory Notes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Women's tops &amp; dresses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T-shirts, sundresses, blouses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30–50% off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inventory; priority clearance category</w:t>
            </w:r>
          </w:p>
        </w:tc>
      </w:tr>
      <w:tr>
        <w:tc>
          <w:tcPr>
            <w:tcW w:type="pct" w:w="22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Men's shirts &amp; shorts</w:t>
            </w:r>
          </w:p>
        </w:tc>
        <w:tc>
          <w:tcPr>
            <w:tcW w:type="pct" w:w="3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Casual button-downs, chino shorts, graphic tees</w:t>
            </w:r>
          </w:p>
        </w:tc>
        <w:tc>
          <w:tcPr>
            <w:tcW w:type="pct" w:w="18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25–45% off</w:t>
            </w:r>
          </w:p>
        </w:tc>
        <w:tc>
          <w:tcPr>
            <w:tcW w:type="pct" w:w="3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 inventory across sizes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Kids' summer apparel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Swimwear, shorts sets, sandals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30–50% off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 sizes in S/M; strong sell-through expected</w:t>
            </w:r>
          </w:p>
        </w:tc>
      </w:tr>
      <w:tr>
        <w:tc>
          <w:tcPr>
            <w:tcW w:type="pct" w:w="22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Footwear</w:t>
            </w:r>
          </w:p>
        </w:tc>
        <w:tc>
          <w:tcPr>
            <w:tcW w:type="pct" w:w="3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Sandals, sneakers, casual flats</w:t>
            </w:r>
          </w:p>
        </w:tc>
        <w:tc>
          <w:tcPr>
            <w:tcW w:type="pct" w:w="18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20–40% off</w:t>
            </w:r>
          </w:p>
        </w:tc>
        <w:tc>
          <w:tcPr>
            <w:tcW w:type="pct" w:w="30%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styles only; check store-level availability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Accessories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 hats, sunglasses, tote bags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20–30% off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inventory; good add-on promotion candidate</w:t>
            </w:r>
          </w:p>
        </w:tc>
      </w:tr>
    </w:tbl>
    <w:p>
      <w:pPr>
        <w:pStyle w:val="Heading1"/>
      </w:pPr>
      <w:r>
        <w:t xml:space="preserve">3. Categories Excluded from This Event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Fall/winter pre-order items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New arrivals marked “Just In” within the last 14 days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Clearance-exempt partner/collaboration collections</w:t>
      </w:r>
    </w:p>
    <w:p>
      <w:pPr>
        <w:pStyle w:val="Heading1"/>
      </w:pPr>
      <w:r>
        <w:t xml:space="preserve">4. Notes for Creative and Copy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When referencing “up to 50% off apparel,” ensure the top-line discount matches the highest discount actually available (currently 50%, in Women's tops &amp; dresses and Kids' summer apparel).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Footwear and accessories should be positioned as complementary/add-on categories, not the lead offer, since their discount range is lower.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Regional creative should flag that footwear and accessory availability varies by store — include “while supplies last” or “select styles” language where relevant.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4E5F"/>
      <w:sz w:val="40"/>
      <w:szCs w:val="40"/>
    </w:rPr>
  </w:style>
  <w:style w:type="paragraph" w:styleId="Heading1">
    <w:name w:val="Heading 1"/>
    <w:basedOn w:val="Normal"/>
    <w:next w:val="Normal"/>
    <w:pPr>
      <w:pBdr>
        <w:bottom w:val="single" w:color="B7C4C9" w:sz="6" w:space="4"/>
      </w:pBdr>
      <w:spacing w:after="160" w:before="340"/>
    </w:pPr>
    <w:rPr>
      <w:rFonts w:ascii="Calibri" w:cs="Calibri" w:eastAsia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20"/>
    </w:pPr>
    <w:rPr>
      <w:rFonts w:ascii="Calibri" w:cs="Calibri" w:eastAsia="Calibri" w:hAnsi="Calibri"/>
      <w:b/>
      <w:bCs/>
      <w:color w:val="2E6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2026-07-13T04:32:54.824Z</dcterms:created>
  <dcterms:modified xsi:type="dcterms:W3CDTF">2026-07-13T04:32:54.824Z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