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3,4</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p>
    <w:p>
      <w:pPr>
        <w:pStyle w:val="noIndentParagraph"/>
      </w:pPr>
      <w:r>
        <w:rPr>
          <w:bCs/>
          <w:b/>
        </w:rPr>
        <w:t xml:space="preserve">Ethical Approval</w:t>
      </w:r>
      <w:r>
        <w:t xml:space="preserve">: This study was deemed exempt by the Institutional Review Board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pPr>
        <w:pStyle w:val="noIndentParagraph"/>
      </w:pPr>
    </w:p>
    <w:p>
      <w:pPr>
        <w:pStyle w:val="noIndentParagraph"/>
      </w:pPr>
      <w:r>
        <w:rPr>
          <w:bCs/>
          <w:b/>
        </w:rPr>
        <w:t xml:space="preserve">Study Preregistration and Data Availability</w:t>
      </w:r>
      <w:r>
        <w:t xml:space="preserve">: The study preregistration (https://osf.io/vhgq2) and associated data and analysis scripts (https://osf.io/yhkqf/?view_only=) are publicly available on the Open Science Framework (</w:t>
      </w:r>
      <w:r>
        <w:rPr>
          <w:bCs/>
          <w:b/>
        </w:rPr>
        <w:t xml:space="preserve">Note</w:t>
      </w:r>
      <w:r>
        <w:t xml:space="preserve">:</w:t>
      </w:r>
      <w:r>
        <w:t xml:space="preserve"> </w:t>
      </w:r>
      <w:r>
        <w:rPr>
          <w:iCs/>
          <w:i/>
        </w:rPr>
        <w:t xml:space="preserve">update both private links when these are made public after peer review</w:t>
      </w:r>
      <w:r>
        <w:t xml:space="preserve">).</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evaluates the performance of synthetic data generation using open data from previously published studies across the American Speech-Language-Hearing Association (ASHA)</w:t>
      </w:r>
      <w:r>
        <w:t xml:space="preserve"> </w:t>
      </w:r>
      <w:r>
        <w:t xml:space="preserve">‘</w:t>
      </w:r>
      <w:r>
        <w:t xml:space="preserve">Big Nine</w:t>
      </w:r>
      <w:r>
        <w:t xml:space="preserve">’</w:t>
      </w:r>
      <w:r>
        <w:t xml:space="preserve"> </w:t>
      </w:r>
      <w:r>
        <w:t xml:space="preserve">domains.</w:t>
      </w:r>
    </w:p>
    <w:p>
      <w:pPr>
        <w:pStyle w:val="noIndentParagraph"/>
      </w:pPr>
      <w:r>
        <w:rPr>
          <w:bCs/>
          <w:b/>
        </w:rPr>
        <w:t xml:space="preserve">Method</w:t>
      </w:r>
      <w:r>
        <w:t xml:space="preserve">: Open datasets were obtained from previously published research within the ASHA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Inferential statistics (</w:t>
      </w:r>
      <w:r>
        <w:rPr>
          <w:iCs/>
          <w:i/>
        </w:rPr>
        <w:t xml:space="preserve">p</w:t>
      </w:r>
      <w:r>
        <w:t xml:space="preserve">-values) and effect sizes from synthetic datasets were compared to those from the original datasets.</w:t>
      </w:r>
    </w:p>
    <w:p>
      <w:pPr>
        <w:pStyle w:val="noIndentParagraph"/>
      </w:pPr>
      <w:r>
        <w:rPr>
          <w:bCs/>
          <w:b/>
        </w:rPr>
        <w:t xml:space="preserve">Results</w:t>
      </w:r>
      <w:r>
        <w:t xml:space="preserve">: Synthetic datasets maintained the direction of</w:t>
      </w:r>
      <w:r>
        <w:t xml:space="preserve"> </w:t>
      </w:r>
      <w:r>
        <w:rPr>
          <w:iCs/>
          <w:i/>
        </w:rPr>
        <w:t xml:space="preserve">p</w:t>
      </w:r>
      <w:r>
        <w:t xml:space="preserve">-values in six studies and effect size categorizations in five out of nine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pPr>
        <w:pStyle w:val="noIndentParagraph"/>
      </w:pPr>
      <w:r>
        <w:rPr>
          <w:bCs/>
          <w:b/>
        </w:rPr>
        <w:t xml:space="preserve">Conclusion</w:t>
      </w:r>
      <w:r>
        <w:t xml:space="preserve">: Findings suggest that synthetic data can effectively maintain statistical properties and relationships across a wide range of data commonly seen in the field of CSD. While some studies with fewer observations than recommended (i.e., n &lt; 130) showed lower agreement and greater variability in</w:t>
      </w:r>
      <w:r>
        <w:t xml:space="preserve"> </w:t>
      </w:r>
      <w:r>
        <w:rPr>
          <w:iCs/>
          <w:i/>
        </w:rPr>
        <w:t xml:space="preserve">p</w:t>
      </w:r>
      <w:r>
        <w:t xml:space="preserve">-values and effect size estimates, this was not consistently appreciated. Therefore, researchers who use synthetic data should assess its stability in preserving their results. This study concludes with a general framework on sharing open data to facilitate computational reproducibility and foster a cumulative science in the field of CSD.</w:t>
      </w:r>
    </w:p>
    <w:bookmarkEnd w:id="20"/>
    <w:p>
      <w:r>
        <w:br w:type="page"/>
      </w:r>
    </w:p>
    <w:bookmarkStart w:id="22" w:name="introduction"/>
    <w:p>
      <w:pPr>
        <w:pStyle w:val="Heading1"/>
      </w:pPr>
      <w:r>
        <w:t xml:space="preserve">Introduction</w:t>
      </w:r>
    </w:p>
    <w:p>
      <w:pPr>
        <w:pStyle w:val="FirstParagraph"/>
      </w:pPr>
      <w:r>
        <w:t xml:space="preserve">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including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w:t>
      </w:r>
    </w:p>
    <w:p>
      <w:pPr>
        <w:pStyle w:val="BodyText"/>
      </w:pPr>
      <w:r>
        <w:t xml:space="preserve">Providing open, publicly available data benefits scientists, funding bodies, and society at large by enabling researchers to verify results, generate new knowledge (e.g., meta-analyses, secondary analyses), develop hypotheses, and minimize redundant data collection</w:t>
      </w:r>
      <w:r>
        <w:t xml:space="preserve"> </w:t>
      </w:r>
      <w:r>
        <w:t xml:space="preserve">(Chow et al., 2023)</w:t>
      </w:r>
      <w:r>
        <w:t xml:space="preserve">. In this sense, sharing data promotes a cumulative and self-correcting science. Despite the clear benefits of open data and its growing adoption in other fields like psychology and the biobehavioral sciences</w:t>
      </w:r>
      <w:r>
        <w:t xml:space="preserve"> </w:t>
      </w:r>
      <w:r>
        <w:t xml:space="preserve">(Quintana, 2020)</w:t>
      </w:r>
      <w:r>
        <w:t xml:space="preserve">, only 26% of a sample of researchers in the field of Communication Sciences and Disorders (CSD) reported sharing their data publicly at least once</w:t>
      </w:r>
      <w:r>
        <w:t xml:space="preserve"> </w:t>
      </w:r>
      <w:r>
        <w:t xml:space="preserve">(El Amin et al., 2023)</w:t>
      </w:r>
      <w:r>
        <w:t xml:space="preserve">.</w:t>
      </w:r>
    </w:p>
    <w:p>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misconception is that open data refers solely to sharing raw data (e.g., audio recordings, videos, MRI data)</w:t>
      </w:r>
      <w:r>
        <w:t xml:space="preserve"> </w:t>
      </w:r>
      <w:r>
        <w:t xml:space="preserve">(Pfeiffer et al., 2024)</w:t>
      </w:r>
      <w:r>
        <w:t xml:space="preserve">.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bookmarkStart w:id="21" w:name="table-1-here."/>
    <w:p>
      <w:pPr>
        <w:pStyle w:val="Heading5"/>
      </w:pPr>
      <w:r>
        <w:t xml:space="preserve">Table 1 here.</w:t>
      </w:r>
    </w:p>
    <w:p>
      <w:pPr>
        <w:pStyle w:val="FirstParagraph"/>
      </w:pPr>
      <w:r>
        <w:t xml:space="preserve">Both individual and system-level barriers hinder data sharing, including a lack of time, knowledge, support from colleagues, and perceived incentives</w:t>
      </w:r>
      <w:r>
        <w:t xml:space="preserve"> </w:t>
      </w:r>
      <w:r>
        <w:t xml:space="preserve">(Pfeiffer et al., 2024)</w:t>
      </w:r>
      <w:r>
        <w:t xml:space="preserve">.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w:t>
      </w:r>
      <w:r>
        <w:t xml:space="preserve"> </w:t>
      </w:r>
      <w:r>
        <w:t xml:space="preserve">(Rocher et al., 2019)</w:t>
      </w:r>
      <w:r>
        <w:t xml:space="preserve">. Therefore, although sharing de-identified analysis data is the minimum requirement for ensuring computational reproducibility and promoting cumulative science, concerns about privacy and confidentiality may persist.</w:t>
      </w:r>
    </w:p>
    <w:p>
      <w:pPr>
        <w:pStyle w:val="BodyText"/>
      </w:pPr>
      <w:r>
        <w:t xml:space="preserve">Synthetic data generation offers a potential solution to maintaining participants’ privacy and confidentiality in publicly available datasets</w:t>
      </w:r>
      <w:r>
        <w:t xml:space="preserve"> </w:t>
      </w:r>
      <w:r>
        <w:t xml:space="preserve">(Drechsler &amp; Haensch, 2024; Rubin, 1993)</w:t>
      </w:r>
      <w:r>
        <w:t xml:space="preserve">. Synthetic data involves creating an artificial dataset that does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w:t>
      </w:r>
      <w:r>
        <w:t xml:space="preserve"> </w:t>
      </w:r>
      <w:r>
        <w:t xml:space="preserve">(Jarmin et al., 2014)</w:t>
      </w:r>
      <w:r>
        <w:t xml:space="preserve">. Though synthetic data methods were first proposed more than 30 years ago</w:t>
      </w:r>
      <w:r>
        <w:t xml:space="preserve"> </w:t>
      </w:r>
      <w:r>
        <w:t xml:space="preserve">(Rubin, 1993)</w:t>
      </w:r>
      <w:r>
        <w:t xml:space="preserve">, recent analytic and software developments have made it easier and more efficient to generate high-quality synthetic data</w:t>
      </w:r>
      <w:r>
        <w:t xml:space="preserve"> </w:t>
      </w:r>
      <w:r>
        <w:t xml:space="preserve">(Nowok et al., 2016)</w:t>
      </w:r>
      <w:r>
        <w:t xml:space="preserve">.</w:t>
      </w:r>
    </w:p>
    <w:p>
      <w:pPr>
        <w:pStyle w:val="BodyText"/>
      </w:pPr>
      <w:r>
        <w:t xml:space="preserve">Despite the potential utility of synthetic data to promote data sharing in the field of CSD, this approach is not widely known or adopted in the field. Data commonly collected in CSD research poses unique challenges, including smaller sample sizes than are typically recommended for synthetic data generation and a wide range of outcomes and analyses</w:t>
      </w:r>
      <w:r>
        <w:t xml:space="preserve"> </w:t>
      </w:r>
      <w:r>
        <w:t xml:space="preserve">(Borders et al., 2022; Gaeta &amp; Brydges, 2020)</w:t>
      </w:r>
      <w:r>
        <w:t xml:space="preserve">.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Speech-Language-Hearing Association (ASHA) domains. We hypothesized that synthetic datasets would maintain the statistical properties and relationships (i.e.,</w:t>
      </w:r>
      <w:r>
        <w:t xml:space="preserve"> </w:t>
      </w:r>
      <w:r>
        <w:rPr>
          <w:iCs/>
          <w:i/>
        </w:rPr>
        <w:t xml:space="preserve">p</w:t>
      </w:r>
      <w:r>
        <w:t xml:space="preserve">-value and effect size) of the original datasets, and that synthetic data would remain stable when generating multiple datasets. A secondary goal was to provide a framework to describe considerations when sharing data, thereby addressing concerns regarding researcher knowledge and participant confidentiality in open data.</w:t>
      </w:r>
    </w:p>
    <w:bookmarkEnd w:id="21"/>
    <w:bookmarkEnd w:id="22"/>
    <w:bookmarkStart w:id="27" w:name="method"/>
    <w:p>
      <w:pPr>
        <w:pStyle w:val="Heading1"/>
      </w:pPr>
      <w:r>
        <w:t xml:space="preserve">Method</w:t>
      </w:r>
    </w:p>
    <w:bookmarkStart w:id="24"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 the</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Authors then reproduced an analysis from each study. Table 2 provides a description of the population, analysis, and open materials for each study.</w:t>
      </w:r>
    </w:p>
    <w:bookmarkStart w:id="23" w:name="table-2-here."/>
    <w:p>
      <w:pPr>
        <w:pStyle w:val="Heading5"/>
      </w:pPr>
      <w:r>
        <w:t xml:space="preserve">Table 2 here.</w:t>
      </w:r>
    </w:p>
    <w:bookmarkEnd w:id="23"/>
    <w:bookmarkEnd w:id="24"/>
    <w:bookmarkStart w:id="26" w:name="X321e19ec81b75917a55c1464328791a1d343239"/>
    <w:p>
      <w:pPr>
        <w:pStyle w:val="Heading2"/>
      </w:pPr>
      <w:r>
        <w:t xml:space="preserve">Generation of Synthetic Datasets and Comparison with Original Dataset</w:t>
      </w:r>
    </w:p>
    <w:p>
      <w:pPr>
        <w:pStyle w:val="FirstParagraph"/>
      </w:pPr>
      <w:r>
        <w:t xml:space="preserve">Synthetic data generation and statistical analyses were conducted in R version 4.2.1</w:t>
      </w:r>
      <w:r>
        <w:t xml:space="preserve"> </w:t>
      </w:r>
      <w:r>
        <w:t xml:space="preserve">(R Core Team, 2022)</w:t>
      </w:r>
      <w:r>
        <w:t xml:space="preserve">. Synthetic data was generated with the</w:t>
      </w:r>
      <w:r>
        <w:t xml:space="preserve"> </w:t>
      </w:r>
      <w:r>
        <w:rPr>
          <w:iCs/>
          <w:i/>
        </w:rPr>
        <w:t xml:space="preserve">synthpop</w:t>
      </w:r>
      <w:r>
        <w:t xml:space="preserve"> </w:t>
      </w:r>
      <w:r>
        <w:t xml:space="preserve">R package (version 1.8.0)</w:t>
      </w:r>
      <w:r>
        <w:t xml:space="preserve"> </w:t>
      </w:r>
      <w:r>
        <w:t xml:space="preserve">(Nowok et al., 2016)</w:t>
      </w:r>
      <w:r>
        <w:t xml:space="preserve">. Specifically,</w:t>
      </w:r>
      <w:r>
        <w:t xml:space="preserve"> </w:t>
      </w:r>
      <w:r>
        <w:rPr>
          <w:iCs/>
          <w:i/>
        </w:rPr>
        <w:t xml:space="preserve">synthpop</w:t>
      </w:r>
      <w:r>
        <w:t xml:space="preserve"> </w:t>
      </w:r>
      <w:r>
        <w:t xml:space="preserve">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w:t>
      </w:r>
      <w:r>
        <w:t xml:space="preserve"> </w:t>
      </w:r>
      <w:r>
        <w:rPr>
          <w:iCs/>
          <w:i/>
        </w:rPr>
        <w:t xml:space="preserve">p</w:t>
      </w:r>
      <w:r>
        <w:t xml:space="preserve">-values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based on conventional thresholds (e.g., a</w:t>
      </w:r>
      <w:r>
        <w:t xml:space="preserve"> </w:t>
      </w:r>
      <w:r>
        <w:t xml:space="preserve">‘</w:t>
      </w:r>
      <w:r>
        <w:t xml:space="preserve">medium</w:t>
      </w:r>
      <w:r>
        <w:t xml:space="preserve">’</w:t>
      </w:r>
      <w:r>
        <w:t xml:space="preserve"> </w:t>
      </w:r>
      <w:r>
        <w:t xml:space="preserve">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t>
      </w:r>
    </w:p>
    <w:bookmarkStart w:id="25" w:name="table-3-here."/>
    <w:p>
      <w:pPr>
        <w:pStyle w:val="Heading5"/>
      </w:pPr>
      <w:r>
        <w:t xml:space="preserve">Table 3 here.</w:t>
      </w:r>
    </w:p>
    <w:p>
      <w:pPr>
        <w:pStyle w:val="FirstParagraph"/>
      </w:pPr>
      <w:r>
        <w:t xml:space="preserve">In addition to these inferential comparisons, we provide a brief tutorial to guide the reader through the required steps to generate synthetic data. This is accomplished in the context of two datasets</w:t>
      </w:r>
      <w:r>
        <w:t xml:space="preserve"> </w:t>
      </w:r>
      <w:r>
        <w:t xml:space="preserve">(Curtis et al., 2023; Thompson et al., 2023)</w:t>
      </w:r>
      <w:r>
        <w:t xml:space="preserve"> </w:t>
      </w:r>
      <w:r>
        <w:t xml:space="preserve">with additional data visualization and detailed R code. Since</w:t>
      </w:r>
      <w:r>
        <w:t xml:space="preserve"> </w:t>
      </w:r>
      <w:r>
        <w:t xml:space="preserve">Curtis et al. (2023)</w:t>
      </w:r>
      <w:r>
        <w:t xml:space="preserve"> </w:t>
      </w:r>
      <w:r>
        <w:t xml:space="preserve">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(version 5.4.3)</w:t>
      </w:r>
      <w:r>
        <w:t xml:space="preserve"> </w:t>
      </w:r>
      <w:r>
        <w:t xml:space="preserve">(Stasinopoulos &amp; Rigby, 2007)</w:t>
      </w:r>
      <w:r>
        <w:t xml:space="preserve">. This model included fixed effects of dataset type (synthetic/original) and bolus consistency (thin liquid/extremely 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as evidence of no statistically significant difference between the synthetic and original dataset.</w:t>
      </w:r>
    </w:p>
    <w:bookmarkEnd w:id="25"/>
    <w:bookmarkEnd w:id="26"/>
    <w:bookmarkEnd w:id="27"/>
    <w:bookmarkStart w:id="32" w:name="results"/>
    <w:p>
      <w:pPr>
        <w:pStyle w:val="Heading1"/>
      </w:pPr>
      <w:r>
        <w:t xml:space="preserve">Results</w:t>
      </w:r>
    </w:p>
    <w:p>
      <w:pPr>
        <w:pStyle w:val="FirstParagraph"/>
      </w:pPr>
      <w:r>
        <w:t xml:space="preserve">The tutorial data and accompanying code can be accessed on the Open Science Framework (https://osf.io/yhkqf/). To get started, download R (https://cran.r-project.org/) and an interface like RStudio (https://posit.co/download/rstudio-desktop/). Open the</w:t>
      </w:r>
      <w:r>
        <w:t xml:space="preserve"> </w:t>
      </w:r>
      <w:r>
        <w:rPr>
          <w:iCs/>
          <w:i/>
        </w:rPr>
        <w:t xml:space="preserve">open-and-synthetic-data.Rproj</w:t>
      </w:r>
      <w:r>
        <w:t xml:space="preserve"> </w:t>
      </w:r>
      <w:r>
        <w:t xml:space="preserve">file in RStudio and then X file.</w:t>
      </w:r>
      <w:r>
        <w:t xml:space="preserve"> </w:t>
      </w:r>
      <w:r>
        <w:rPr>
          <w:bCs/>
          <w:b/>
        </w:rPr>
        <w:t xml:space="preserve">Add more here about the tutorial scripts</w:t>
      </w:r>
      <w:r>
        <w:t xml:space="preserve">.</w:t>
      </w:r>
    </w:p>
    <w:bookmarkStart w:id="28"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pPr>
        <w:pStyle w:val="BodyText"/>
      </w:pPr>
      <w:r>
        <w:t xml:space="preserve">To generate synthetic data, we first load in the original dataset, wrangle the dataset using the</w:t>
      </w:r>
      <w:r>
        <w:t xml:space="preserve"> </w:t>
      </w:r>
      <w:r>
        <w:rPr>
          <w:iCs/>
          <w:i/>
        </w:rPr>
        <w:t xml:space="preserve">tidyverse</w:t>
      </w:r>
      <w:r>
        <w:t xml:space="preserve"> </w:t>
      </w:r>
      <w:r>
        <w:t xml:space="preserve">collection of packages</w:t>
      </w:r>
      <w:r>
        <w:t xml:space="preserve"> </w:t>
      </w:r>
      <w:r>
        <w:t xml:space="preserve">(Wickham et al., 2019)</w:t>
      </w:r>
      <w:r>
        <w:t xml:space="preserve"> </w:t>
      </w:r>
      <w:r>
        <w:t xml:space="preserve">(v. 1.3.2) and then create a synthetic dataset with the syn() function from the</w:t>
      </w:r>
      <w:r>
        <w:t xml:space="preserve"> </w:t>
      </w:r>
      <w:r>
        <w:rPr>
          <w:iCs/>
          <w:i/>
        </w:rPr>
        <w:t xml:space="preserve">synthpop</w:t>
      </w:r>
      <w:r>
        <w:t xml:space="preserve"> </w:t>
      </w:r>
      <w:r>
        <w:t xml:space="preserve">package. The data wrangling steps include (1) loading required R packages, (2) importing the original dataset csv file, (3) reformatting variable names for consistency and readability, (4) selecting the variables needed for the analysis, (4) converting appropriate categorical variables to factors, and (5) calculating the laryngeal vestibule severity rating as a percentage. These steps are shown below with the following commands:</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p>
    <w:p>
      <w:pPr>
        <w:pStyle w:val="FirstParagraph"/>
      </w:pPr>
      <w:r>
        <w:t xml:space="preserve">Next, we create a synthetic dataset with the syn() function from the</w:t>
      </w:r>
      <w:r>
        <w:t xml:space="preserve"> </w:t>
      </w:r>
      <w:r>
        <w:rPr>
          <w:iCs/>
          <w:i/>
        </w:rPr>
        <w:t xml:space="preserve">synthpop</w:t>
      </w:r>
      <w:r>
        <w:t xml:space="preserve"> </w:t>
      </w:r>
      <w:r>
        <w:t xml:space="preserve">package. Within the function,</w:t>
      </w:r>
      <w:r>
        <w:t xml:space="preserve"> </w:t>
      </w:r>
      <w:r>
        <w:t xml:space="preserve">‘</w:t>
      </w:r>
      <w:r>
        <w:t xml:space="preserve">method</w:t>
      </w:r>
      <w:r>
        <w:t xml:space="preserve">’</w:t>
      </w:r>
      <w:r>
        <w:t xml:space="preserve"> </w:t>
      </w:r>
      <w:r>
        <w:t xml:space="preserve">specifies the synthesising method for the data. The default in synthpop is</w:t>
      </w:r>
      <w:r>
        <w:t xml:space="preserve"> </w:t>
      </w:r>
      <w:r>
        <w:t xml:space="preserve">“</w:t>
      </w:r>
      <w:r>
        <w:t xml:space="preserve">cart</w:t>
      </w:r>
      <w:r>
        <w:t xml:space="preserve">”</w:t>
      </w:r>
      <w:r>
        <w:t xml:space="preserve"> </w:t>
      </w:r>
      <w:r>
        <w:t xml:space="preserve">(Classification and Regression Tree). If a synthetic dataset fails to generate with this method, Nowok et al. (2018) recommend an alternative implementation of the CART technique from package</w:t>
      </w:r>
      <w:r>
        <w:t xml:space="preserve"> </w:t>
      </w:r>
      <w:r>
        <w:rPr>
          <w:iCs/>
          <w:i/>
        </w:rPr>
        <w:t xml:space="preserve">party</w:t>
      </w:r>
      <w:r>
        <w:t xml:space="preserve"> </w:t>
      </w:r>
      <w:r>
        <w:t xml:space="preserve">(Hothorn et al., 2006)</w:t>
      </w:r>
      <w:r>
        <w:t xml:space="preserve">. This dataset, for example, required the</w:t>
      </w:r>
      <w:r>
        <w:t xml:space="preserve"> </w:t>
      </w:r>
      <w:r>
        <w:t xml:space="preserve">‘</w:t>
      </w:r>
      <w:r>
        <w:t xml:space="preserve">ctree</w:t>
      </w:r>
      <w:r>
        <w:t xml:space="preserve">’</w:t>
      </w:r>
      <w:r>
        <w:t xml:space="preserve"> </w:t>
      </w:r>
      <w:r>
        <w:t xml:space="preserve">CART specification. Next, specify the number of synthetic datasets to generate within</w:t>
      </w:r>
      <w:r>
        <w:t xml:space="preserve"> </w:t>
      </w:r>
      <w:r>
        <w:t xml:space="preserve">‘</w:t>
      </w:r>
      <w:r>
        <w:t xml:space="preserve">m</w:t>
      </w:r>
      <w:r>
        <w:t xml:space="preserve">’</w:t>
      </w:r>
      <w:r>
        <w:t xml:space="preserve">. Once the synthetic dataset is generated, extract and convert it to a dataframe for additional wrangling and visualization.</w:t>
      </w:r>
    </w:p>
    <w:p>
      <w:pPr>
        <w:pStyle w:val="SourceCode"/>
      </w:pP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the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synthetic_dataset,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Descriptively, the synthetic dataset classified 64%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p>
    <w:bookmarkEnd w:id="28"/>
    <w:bookmarkStart w:id="29"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3).</w:t>
      </w:r>
    </w:p>
    <w:p>
      <w:pPr>
        <w:pStyle w:val="BodyText"/>
      </w:pPr>
      <w:r>
        <w:t xml:space="preserve">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p>
    <w:p>
      <w:pPr>
        <w:pStyle w:val="FirstParagraph"/>
      </w:pPr>
      <w:r>
        <w:t xml:space="preserve">Next, we generate a synthetic dataset with the syn() function, extract the dataset, and convert it to a dataframe.</w:t>
      </w:r>
      <w:r>
        <w:t xml:space="preserve"> </w:t>
      </w:r>
      <w:r>
        <w:rPr>
          <w:iCs/>
          <w:i/>
        </w:rPr>
        <w:t xml:space="preserve">Synthpop</w:t>
      </w:r>
      <w:r>
        <w:t xml:space="preserve"> </w:t>
      </w:r>
      <w:r>
        <w:t xml:space="preserve">provides a warning message that this dataset has fewer observations than recommended (&gt; 130).</w:t>
      </w:r>
    </w:p>
    <w:p>
      <w:pPr>
        <w:pStyle w:val="SourceCode"/>
      </w:pP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29"/>
    <w:bookmarkStart w:id="31" w:name="results-for-studies-3---9"/>
    <w:p>
      <w:pPr>
        <w:pStyle w:val="Heading3"/>
      </w:pPr>
      <w:r>
        <w:t xml:space="preserve">Results for Studies 3 - 9</w:t>
      </w:r>
    </w:p>
    <w:p>
      <w:pPr>
        <w:pStyle w:val="FirstParagraph"/>
      </w:pPr>
      <w:r>
        <w:t xml:space="preserve">Studies in the domains of fluency, voice and resonance, communication modalities, receptive and expressive language, and social aspects of communication demonstrated more than 95%</w:t>
      </w:r>
      <w:r>
        <w:t xml:space="preserve"> </w:t>
      </w:r>
      <w:r>
        <w:rPr>
          <w:iCs/>
          <w:i/>
        </w:rPr>
        <w:t xml:space="preserve">p</w:t>
      </w:r>
      <w:r>
        <w:t xml:space="preserve">-value agreement between the original and synthetic datasets (Table 3). Among studies that demonstrated lower agreement, the absolute mean difference between the synthetic</w:t>
      </w:r>
      <w:r>
        <w:t xml:space="preserve"> </w:t>
      </w:r>
      <w:r>
        <w:rPr>
          <w:iCs/>
          <w:i/>
        </w:rPr>
        <w:t xml:space="preserve">p</w:t>
      </w:r>
      <w:r>
        <w:t xml:space="preserve">-values and the original</w:t>
      </w:r>
      <w:r>
        <w:t xml:space="preserve"> </w:t>
      </w:r>
      <w:r>
        <w:rPr>
          <w:iCs/>
          <w:i/>
        </w:rPr>
        <w:t xml:space="preserve">p</w:t>
      </w:r>
      <w:r>
        <w:t xml:space="preserve">-value was 0.05 (</w:t>
      </w:r>
      <w:r>
        <w:rPr>
          <w:iCs/>
          <w:i/>
        </w:rPr>
        <w:t xml:space="preserve">SD</w:t>
      </w:r>
      <w:r>
        <w:t xml:space="preserve"> </w:t>
      </w:r>
      <w:r>
        <w:t xml:space="preserve">= 0.1) for articulation, 0.03 (</w:t>
      </w:r>
      <w:r>
        <w:rPr>
          <w:iCs/>
          <w:i/>
        </w:rPr>
        <w:t xml:space="preserve">SD</w:t>
      </w:r>
      <w:r>
        <w:t xml:space="preserve"> </w:t>
      </w:r>
      <w:r>
        <w:t xml:space="preserve">= 0.04) for hearing, and 0.25 (</w:t>
      </w:r>
      <w:r>
        <w:rPr>
          <w:iCs/>
          <w:i/>
        </w:rPr>
        <w:t xml:space="preserve">SD</w:t>
      </w:r>
      <w:r>
        <w:t xml:space="preserve"> </w:t>
      </w:r>
      <w:r>
        <w:t xml:space="preserve">=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Cs/>
          <w:i/>
        </w:rPr>
        <w:t xml:space="preserve">SD</w:t>
      </w:r>
      <w:r>
        <w:t xml:space="preserve"> </w:t>
      </w:r>
      <w:r>
        <w:t xml:space="preserve">= 0.07) for voice and resonance, 0.06 (</w:t>
      </w:r>
      <w:r>
        <w:rPr>
          <w:iCs/>
          <w:i/>
        </w:rPr>
        <w:t xml:space="preserve">SD</w:t>
      </w:r>
      <w:r>
        <w:t xml:space="preserve"> </w:t>
      </w:r>
      <w:r>
        <w:t xml:space="preserve">= 0.05) for receptive and expressive language, and 0.21 (</w:t>
      </w:r>
      <w:r>
        <w:rPr>
          <w:iCs/>
          <w:i/>
        </w:rPr>
        <w:t xml:space="preserve">SD</w:t>
      </w:r>
      <w:r>
        <w:t xml:space="preserve"> </w:t>
      </w:r>
      <w:r>
        <w:t xml:space="preserve">= 0.2) for social aspects of communication.</w:t>
      </w:r>
    </w:p>
    <w:bookmarkStart w:id="30" w:name="table-4-here."/>
    <w:p>
      <w:pPr>
        <w:pStyle w:val="Heading5"/>
      </w:pPr>
      <w:r>
        <w:t xml:space="preserve">Table 4 here.</w:t>
      </w:r>
    </w:p>
    <w:bookmarkEnd w:id="30"/>
    <w:bookmarkEnd w:id="31"/>
    <w:bookmarkEnd w:id="32"/>
    <w:bookmarkStart w:id="36" w:name="discussion"/>
    <w:p>
      <w:pPr>
        <w:pStyle w:val="Heading1"/>
      </w:pPr>
      <w:r>
        <w:t xml:space="preserve">Discussion</w:t>
      </w:r>
    </w:p>
    <w:p>
      <w:pPr>
        <w:pStyle w:val="FirstParagraph"/>
      </w:pPr>
      <w:r>
        <w:t xml:space="preserve">Although computational reproducibility is a core principle of science, data sharing is uncommon in CSD, partly due to concerns regarding disclosure risk</w:t>
      </w:r>
      <w:r>
        <w:t xml:space="preserve"> </w:t>
      </w:r>
      <w:r>
        <w:t xml:space="preserve">(Pfeiffer et al., 2024)</w:t>
      </w:r>
      <w:r>
        <w:t xml:space="preserve">.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w:t>
      </w:r>
      <w:r>
        <w:t xml:space="preserve"> </w:t>
      </w:r>
      <w:r>
        <w:t xml:space="preserve">“</w:t>
      </w:r>
      <w:r>
        <w:t xml:space="preserve">small</w:t>
      </w:r>
      <w:r>
        <w:t xml:space="preserve">”</w:t>
      </w:r>
      <w:r>
        <w:t xml:space="preserve"> </w:t>
      </w:r>
      <w:r>
        <w:t xml:space="preserve">to</w:t>
      </w:r>
      <w:r>
        <w:t xml:space="preserve"> </w:t>
      </w:r>
      <w:r>
        <w:t xml:space="preserve">“</w:t>
      </w:r>
      <w:r>
        <w:t xml:space="preserve">large</w:t>
      </w:r>
      <w:r>
        <w:t xml:space="preserve">”</w:t>
      </w:r>
      <w:r>
        <w:t xml:space="preserve">). These results suggest that synthetic datasets can be effectively used across a wide range of studies in the field of CSD to preserve participant confidentiality when sharing data.</w:t>
      </w:r>
    </w:p>
    <w:p>
      <w:pPr>
        <w:pStyle w:val="BodyText"/>
      </w:pPr>
      <w:r>
        <w:t xml:space="preserve">One key finding is that lower agreement between synthetic and original datasets was not attributed to sample size, despite the</w:t>
      </w:r>
      <w:r>
        <w:t xml:space="preserve"> </w:t>
      </w:r>
      <w:r>
        <w:rPr>
          <w:iCs/>
          <w:i/>
        </w:rPr>
        <w:t xml:space="preserve">synthpop</w:t>
      </w:r>
      <w:r>
        <w:t xml:space="preserve"> </w:t>
      </w:r>
      <w:r>
        <w:t xml:space="preserve">package’s recommendation of a minimum of 130 observations for generating synthetic datasets</w:t>
      </w:r>
      <w:r>
        <w:t xml:space="preserve"> </w:t>
      </w:r>
      <w:r>
        <w:t xml:space="preserve">(Nowok et al., 2016)</w:t>
      </w:r>
      <w:r>
        <w:t xml:space="preserve">. For example, in the original study from the cognition domain, which included over 8,000 observations, only 35% of synthetic datasets maintained the same inferential result as the original dataset. Instead,</w:t>
      </w:r>
      <w:r>
        <w:t xml:space="preserve"> </w:t>
      </w:r>
      <w:r>
        <w:rPr>
          <w:iCs/>
          <w:i/>
        </w:rPr>
        <w:t xml:space="preserve">p</w:t>
      </w:r>
      <w:r>
        <w:t xml:space="preserve">-value and effect size agreement between the synthetic and original datasets was influenced by the original data’s proximity to the statistical significance or effect size thresholds. For example, the original cognition study reported a</w:t>
      </w:r>
      <w:r>
        <w:t xml:space="preserve"> </w:t>
      </w:r>
      <w:r>
        <w:rPr>
          <w:iCs/>
          <w:i/>
        </w:rPr>
        <w:t xml:space="preserve">p</w:t>
      </w:r>
      <w:r>
        <w:t xml:space="preserve">-value of .013, resulting in a 35% agreement rate for synthetic datasets. Conversely, studies that reported an original</w:t>
      </w:r>
      <w:r>
        <w:t xml:space="preserve"> </w:t>
      </w:r>
      <w:r>
        <w:rPr>
          <w:iCs/>
          <w:i/>
        </w:rPr>
        <w:t xml:space="preserve">p</w:t>
      </w:r>
      <w:r>
        <w:t xml:space="preserve">-value of &lt;.001 showed a</w:t>
      </w:r>
      <w:r>
        <w:t xml:space="preserve"> </w:t>
      </w:r>
      <w:r>
        <w:rPr>
          <w:iCs/>
          <w:i/>
        </w:rPr>
        <w:t xml:space="preserve">p</w:t>
      </w:r>
      <w:r>
        <w:t xml:space="preserve">-value agreement rate of 97-100%, with the exception of the articulation study, which had a</w:t>
      </w:r>
      <w:r>
        <w:t xml:space="preserve"> </w:t>
      </w:r>
      <w:r>
        <w:rPr>
          <w:iCs/>
          <w:i/>
        </w:rPr>
        <w:t xml:space="preserve">p</w:t>
      </w:r>
      <w:r>
        <w:t xml:space="preserve">-value agreement of 71%.</w:t>
      </w:r>
    </w:p>
    <w:p>
      <w:pPr>
        <w:pStyle w:val="BodyText"/>
      </w:pPr>
      <w:r>
        <w:t xml:space="preserve">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pPr>
        <w:pStyle w:val="BodyText"/>
      </w:pPr>
      <w:r>
        <w:t xml:space="preserve">This study is not without limitations. We used predetermined thresholds (e.g.,</w:t>
      </w:r>
      <w:r>
        <w:t xml:space="preserve"> </w:t>
      </w:r>
      <w:r>
        <w:t xml:space="preserve">‘</w:t>
      </w:r>
      <w:r>
        <w:t xml:space="preserve">significant</w:t>
      </w:r>
      <w:r>
        <w:t xml:space="preserve">’</w:t>
      </w:r>
      <w:r>
        <w:t xml:space="preserve"> </w:t>
      </w:r>
      <w:r>
        <w:rPr>
          <w:iCs/>
          <w:i/>
        </w:rPr>
        <w:t xml:space="preserve">p</w:t>
      </w:r>
      <w:r>
        <w:t xml:space="preserve">-values and effect size categories) to evaluate whether synthetic data maintained the relationships observed in the original study. When the original analyses had</w:t>
      </w:r>
      <w:r>
        <w:t xml:space="preserve"> </w:t>
      </w:r>
      <w:r>
        <w:rPr>
          <w:iCs/>
          <w:i/>
        </w:rPr>
        <w:t xml:space="preserve">p</w:t>
      </w:r>
      <w:r>
        <w:t xml:space="preserve">-values near the threshold for significance (e.g., .01 &lt;</w:t>
      </w:r>
      <w:r>
        <w:t xml:space="preserve"> </w:t>
      </w:r>
      <w:r>
        <w:rPr>
          <w:iCs/>
          <w:i/>
        </w:rPr>
        <w:t xml:space="preserve">p</w:t>
      </w:r>
      <w:r>
        <w:t xml:space="preserve"> </w:t>
      </w:r>
      <w:r>
        <w:t xml:space="preserve">&lt;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w:t>
      </w:r>
      <w:r>
        <w:t xml:space="preserve"> </w:t>
      </w:r>
      <w:r>
        <w:t xml:space="preserve">(Obels et al., 2020)</w:t>
      </w:r>
      <w:r>
        <w:t xml:space="preserve">. Reproducible workflows in languages like R have been proposed and warrant consideration</w:t>
      </w:r>
      <w:r>
        <w:t xml:space="preserve"> </w:t>
      </w:r>
      <w:r>
        <w:t xml:space="preserve">(Peikert et al., 2021)</w:t>
      </w:r>
      <w:r>
        <w:t xml:space="preserve">.</w:t>
      </w:r>
    </w:p>
    <w:bookmarkStart w:id="35" w:name="data-sharing-framework"/>
    <w:p>
      <w:pPr>
        <w:pStyle w:val="Heading2"/>
      </w:pPr>
      <w:r>
        <w:t xml:space="preserve">Data Sharing Framework</w:t>
      </w:r>
    </w:p>
    <w:p>
      <w:pPr>
        <w:pStyle w:val="FirstParagraph"/>
      </w:pPr>
      <w:r>
        <w:t xml:space="preserve">Sharing data is not a trivial task and requires careful planning from the beginning of a project. Unfortunately, researchers lack formal data management training, and doctoral coursework on best practices is uncommon. Fortunately, an abundance of resources exist that outline each step of data sharing in detail (e.g.,</w:t>
      </w:r>
      <w:r>
        <w:t xml:space="preserve"> </w:t>
      </w:r>
      <w:r>
        <w:t xml:space="preserve">(Lewis, 2024; Meyer, 2018; Shero &amp; Hart, 2020)</w:t>
      </w:r>
      <w:r>
        <w:t xml:space="preserve">). Here we provide a framework to briefly discuss the benefits of data sharing, how to decide when and what type of data to share, and recommendations on steps to move towards data sharing as the norm in CSD. This framework is by no means meant to be exhaustive; instead, we hope this framework will foster discussion on the merits and current barriers of data sharing in CSD.</w:t>
      </w:r>
    </w:p>
    <w:bookmarkStart w:id="33" w:name="benefits-of-data-sharing"/>
    <w:p>
      <w:pPr>
        <w:pStyle w:val="Heading3"/>
      </w:pPr>
      <w:r>
        <w:t xml:space="preserve">Benefits of Data Sharing</w:t>
      </w:r>
    </w:p>
    <w:p>
      <w:pPr>
        <w:pStyle w:val="FirstParagraph"/>
      </w:pPr>
      <w:r>
        <w:t xml:space="preserve">Sharing data offers substantial benefits for both the scientific community and the researcher collecting the data. Open data enables researchers to verify results during peer review or after publication, leading to a more transparent and reliable scientific record. Publicly available data also allows researchers to generate new knowledge through secondary analyses or meta-analysis, accelerating scientific discoveries and the implementation of research in clinical practice. Access to data is critical for meta-analyses, since traditional meta-analyses that rely on studies with aggregate data or slight variations in statistical methods can be especially challenging to conduct. Specifically, open data allows for a higher-quality synthesis of data across studies via individual participant data (IPD) meta-analyses, yielding more precise and robust estimates. Moreover, open data minimizes redundant data collection. For instance, normative data or control groups can serve as historical comparisons for studies with patient populations, saving valuable time and resources. Lastly, sharing data benefits researchers directly, as studies have shown that openly shared data are associated with higher citation rates for the original work</w:t>
      </w:r>
      <w:r>
        <w:t xml:space="preserve"> </w:t>
      </w:r>
      <w:r>
        <w:t xml:space="preserve">(Drachen et al., 2016; Piwowar et al., 2007; Piwowar &amp; Vision, 2013)</w:t>
      </w:r>
      <w:r>
        <w:t xml:space="preserve">.</w:t>
      </w:r>
    </w:p>
    <w:p>
      <w:pPr>
        <w:pStyle w:val="BodyText"/>
      </w:pPr>
      <w:r>
        <w:t xml:space="preserve">Closed data is not only inefficient and counterproductive to cumulative science, but also conflicts with research ethics. Researchers hold an ethical responsibility to maximize the use of clinical data and patients agree to participate in research studies with the understanding that their data will help answer important public health questions. However, many research questions cannot be fully addressed in a single study, often due to factors like low statistical power or unrepresentative samples. Data sharing extends the value and longevity of collected data. Alternatively, keeping data closed places an undue burden on future participants. Many research methodologies are invasive and pose additional risk to the participant (e.g., radiation from videofluroscopic swallow studies) or requires extensive travel and time to participate. If previously collected data are not made open, future participants may be unnecessarily subjected to the same procedures.</w:t>
      </w:r>
    </w:p>
    <w:p>
      <w:pPr>
        <w:pStyle w:val="BodyText"/>
      </w:pPr>
      <w:r>
        <w:t xml:space="preserve">Beyond the advantages of open data for the scientific community, researcher, and participant, data sharing also fulfills an important ethical obligation to society. Researchers conducting publicly funded studies have a responsibility to return the data to the public that financed their research - a sentiment that has recently been emphasized by funding agencies like the National Institutes of Health and the National Science Foundation (Watson et al., 2023; Wilkinson et al., 2016). Even in cases where research is not publicly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pPr>
        <w:pStyle w:val="BodyText"/>
      </w:pPr>
      <w:r>
        <w:t xml:space="preserve">Although some researchers may consider data availability statements like</w:t>
      </w:r>
      <w:r>
        <w:t xml:space="preserve"> </w:t>
      </w:r>
      <w:r>
        <w:t xml:space="preserve">“</w:t>
      </w:r>
      <w:r>
        <w:t xml:space="preserve">available upon reasonable request</w:t>
      </w:r>
      <w:r>
        <w:t xml:space="preserve">”</w:t>
      </w:r>
      <w:r>
        <w:t xml:space="preserve"> </w:t>
      </w:r>
      <w:r>
        <w:t xml:space="preserve">as a step toward data sharing, recent research has shown poor compliance with less than half of studies providing requested data</w:t>
      </w:r>
      <w:r>
        <w:t xml:space="preserve"> </w:t>
      </w:r>
      <w:r>
        <w:t xml:space="preserve">(Tedersoo et al., 2021)</w:t>
      </w:r>
      <w:r>
        <w:t xml:space="preserve">. Moreover, purposefully vague and unclear data availability statements may exacerbate inequities in the field. Researchers may not devote the time to properly organize their data, thereby hindering its availability when requested, or may restrict access to unnecessarily protect their data from reuse. This practice limits access, particularly for those with fewer resources or opportunities, and poses a direct barrier to a cumulative and transparent scientific literature. In cases where data is identifiable or where informed consent cannot be obtained, synthetic data offers a solution by preserving the privacy of the original data while maintaining the statistical properties necessary for computational reproducibility. Consequently, some degree of data sharing is achievable, suggesting that data sharing becoming the norm in CSD, not the exception.</w:t>
      </w:r>
    </w:p>
    <w:bookmarkEnd w:id="33"/>
    <w:bookmarkStart w:id="34" w:name="X933f1a06cb1c0e9787afb6f3ed58fe42af74fe3"/>
    <w:p>
      <w:pPr>
        <w:pStyle w:val="Heading3"/>
      </w:pPr>
      <w:r>
        <w:t xml:space="preserve">Considerations for Deciding When and What Data to Share</w:t>
      </w:r>
    </w:p>
    <w:p>
      <w:pPr>
        <w:pStyle w:val="FirstParagraph"/>
      </w:pPr>
      <w:r>
        <w:t xml:space="preserve">Then, we can walk the reader through identifying what type of data to share using the</w:t>
      </w:r>
      <w:r>
        <w:t xml:space="preserve"> </w:t>
      </w:r>
      <w:r>
        <w:t xml:space="preserve">“</w:t>
      </w:r>
      <w:r>
        <w:t xml:space="preserve">Can I share my data</w:t>
      </w:r>
      <w:r>
        <w:t xml:space="preserve">”</w:t>
      </w:r>
      <w:r>
        <w:t xml:space="preserve"> </w:t>
      </w:r>
      <w:r>
        <w:t xml:space="preserve">flowchart.</w:t>
      </w:r>
      <w:r>
        <w:t xml:space="preserve"> </w:t>
      </w:r>
      <w:r>
        <w:t xml:space="preserve">In the introduction, we discussed the challenges with sharing each type of data. However, here, we can discuss the benefits of sharing each type of data.</w:t>
      </w:r>
      <w:r>
        <w:t xml:space="preserve"> </w:t>
      </w:r>
      <w:r>
        <w:t xml:space="preserve">Sharing analysis data/synthetic data can help researchers conduct meta-analyses, which has implications for cumulative science.</w:t>
      </w:r>
      <w:r>
        <w:t xml:space="preserve"> </w:t>
      </w:r>
      <w:r>
        <w:t xml:space="preserve">Sharing raw and/or intermediate data can relieve the burden of each research team collecting data in their silos, therefore, speeding up our ability to investigate these populations, which can be especially helpful for these low-incidence/less well-understood populations.</w:t>
      </w:r>
    </w:p>
    <w:p>
      <w:pPr>
        <w:pStyle w:val="BodyText"/>
      </w:pPr>
      <w:r>
        <w:t xml:space="preserve">Ideas:</w:t>
      </w:r>
      <w:r>
        <w:t xml:space="preserve"> </w:t>
      </w:r>
      <w:r>
        <w:t xml:space="preserve">- planning what data you’d like to share (raw vs analyzed)</w:t>
      </w:r>
      <w:r>
        <w:t xml:space="preserve"> </w:t>
      </w:r>
      <w:r>
        <w:t xml:space="preserve">- obtaining approval from an institutional review board</w:t>
      </w:r>
      <w:r>
        <w:t xml:space="preserve"> </w:t>
      </w:r>
      <w:r>
        <w:t xml:space="preserve">- creating a data dictionary or codebook to describe the data</w:t>
      </w:r>
      <w:r>
        <w:t xml:space="preserve"> </w:t>
      </w:r>
      <w:r>
        <w:t xml:space="preserve">- providing code to reproduce analyses</w:t>
      </w:r>
      <w:r>
        <w:t xml:space="preserve"> </w:t>
      </w:r>
      <w:r>
        <w:t xml:space="preserve">- selecting repositories to store the data</w:t>
      </w:r>
    </w:p>
    <w:p>
      <w:pPr>
        <w:pStyle w:val="BodyText"/>
      </w:pPr>
      <w:r>
        <w:rPr>
          <w:iCs/>
          <w:i/>
        </w:rPr>
        <w:t xml:space="preserve">SCRAP</w:t>
      </w:r>
      <w:r>
        <w:t xml:space="preserve"> </w:t>
      </w:r>
      <w:r>
        <w:t xml:space="preserve">Steps to ensure data is open and reproducible (Howard et al., 2024)</w:t>
      </w:r>
      <w:r>
        <w:t xml:space="preserve"> </w:t>
      </w:r>
      <w:r>
        <w:t xml:space="preserve">* Store data files in a freely downloadable or protected access repository (e.g., https://osf.io, https://nda.nih.gov, https:// www.ldbase.org, https://www.icpsr.umich.edu).</w:t>
      </w:r>
      <w:r>
        <w:t xml:space="preserve"> </w:t>
      </w:r>
      <w:r>
        <w:t xml:space="preserve">* Include enough data to reproduce all elements of a study, including variables used for descriptive statistics and item-level data behind composite-scale scores.</w:t>
      </w:r>
      <w:r>
        <w:br/>
      </w:r>
      <w:r>
        <w:t xml:space="preserve">* Provide a data dictionary or codebook.</w:t>
      </w:r>
      <w:r>
        <w:br/>
      </w:r>
      <w:r>
        <w:t xml:space="preserve">* Provide syntax files that document all statistical analyses (and ensure the files referenced in syntax match the files included with open data).</w:t>
      </w:r>
      <w:r>
        <w:t xml:space="preserve"> </w:t>
      </w:r>
      <w:r>
        <w:t xml:space="preserve">* As possible and practical, statistical analyses should be performed in freely available software for maximal reproducibility. Otherwise, include copies of data and syntax files from proprietary software in a generic format (e.g., .csv files for data; .txt or .pdf for syntax).</w:t>
      </w:r>
      <w:r>
        <w:br/>
      </w:r>
      <w:r>
        <w:t xml:space="preserve">* In the repository in which data and/or materials are stored, include detailed instructions (e.g., a</w:t>
      </w:r>
      <w:r>
        <w:t xml:space="preserve"> </w:t>
      </w:r>
      <w:r>
        <w:t xml:space="preserve">“</w:t>
      </w:r>
      <w:r>
        <w:t xml:space="preserve">Read Me</w:t>
      </w:r>
      <w:r>
        <w:t xml:space="preserve">”</w:t>
      </w:r>
      <w:r>
        <w:t xml:space="preserve"> </w:t>
      </w:r>
      <w:r>
        <w:t xml:space="preserve">file) to help visitors navigate and use the provided files.</w:t>
      </w:r>
    </w:p>
    <w:p>
      <w:pPr>
        <w:pStyle w:val="BodyText"/>
      </w:pPr>
      <w:r>
        <w:t xml:space="preserve">Decision-tree (eg diagram that Austin created)</w:t>
      </w:r>
      <w:r>
        <w:t xml:space="preserve"> </w:t>
      </w:r>
      <w:r>
        <w:t xml:space="preserve">* Guidance on when to obtain IRB approval, how to define</w:t>
      </w:r>
      <w:r>
        <w:t xml:space="preserve"> </w:t>
      </w:r>
      <w:r>
        <w:t xml:space="preserve">‘</w:t>
      </w:r>
      <w:r>
        <w:t xml:space="preserve">de-identified</w:t>
      </w:r>
      <w:r>
        <w:t xml:space="preserve">’</w:t>
      </w:r>
      <w:r>
        <w:t xml:space="preserve"> </w:t>
      </w:r>
      <w:r>
        <w:t xml:space="preserve">data, etc.</w:t>
      </w:r>
    </w:p>
    <w:bookmarkEnd w:id="34"/>
    <w:bookmarkEnd w:id="35"/>
    <w:bookmarkEnd w:id="36"/>
    <w:bookmarkStart w:id="37" w:name="conclusions"/>
    <w:p>
      <w:pPr>
        <w:pStyle w:val="Heading1"/>
      </w:pPr>
      <w:r>
        <w:t xml:space="preserve">Conclusions</w:t>
      </w:r>
    </w:p>
    <w:p>
      <w:pPr>
        <w:pStyle w:val="FirstParagraph"/>
      </w:pPr>
      <w:r>
        <w:t xml:space="preserve">To ensure computational reproducibility and promote a cumulative science, de-identified data should be shared whenever ethically permissible. Synthetic data should be reserved for instances where the data cannot be de-identified, and participants did not consent to sharing identifiable data.</w:t>
      </w:r>
    </w:p>
    <w:p>
      <w:r>
        <w:br w:type="page"/>
      </w:r>
    </w:p>
    <w:bookmarkEnd w:id="37"/>
    <w:bookmarkStart w:id="38"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38"/>
    <w:bookmarkStart w:id="107" w:name="references"/>
    <w:p>
      <w:pPr>
        <w:pStyle w:val="Heading1"/>
      </w:pPr>
      <w:r>
        <w:t xml:space="preserve">References</w:t>
      </w:r>
    </w:p>
    <w:bookmarkStart w:id="106" w:name="refs"/>
    <w:bookmarkStart w:id="40"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39">
        <w:r>
          <w:rPr>
            <w:rStyle w:val="Hyperlink"/>
          </w:rPr>
          <w:t xml:space="preserve">https://doi.org/10.31234/osf.io/veh7t</w:t>
        </w:r>
      </w:hyperlink>
    </w:p>
    <w:bookmarkEnd w:id="40"/>
    <w:bookmarkStart w:id="42"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41">
        <w:r>
          <w:rPr>
            <w:rStyle w:val="Hyperlink"/>
          </w:rPr>
          <w:t xml:space="preserve">https://doi.org/10.1007/s00455-022-10428-2</w:t>
        </w:r>
      </w:hyperlink>
    </w:p>
    <w:bookmarkEnd w:id="42"/>
    <w:bookmarkStart w:id="44"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43">
        <w:r>
          <w:rPr>
            <w:rStyle w:val="Hyperlink"/>
          </w:rPr>
          <w:t xml:space="preserve">https://doi.org/10.1080/10489223.2023.2262457</w:t>
        </w:r>
      </w:hyperlink>
    </w:p>
    <w:bookmarkEnd w:id="44"/>
    <w:bookmarkStart w:id="46" w:name="ref-chow_etal23"/>
    <w:p>
      <w:pPr>
        <w:pStyle w:val="Bibliography"/>
      </w:pPr>
      <w:r>
        <w:t xml:space="preserve">Chow, J. C., Sandbank, M., &amp; Hampton, L. H. (2023). Guidance for</w:t>
      </w:r>
      <w:r>
        <w:t xml:space="preserve"> </w:t>
      </w:r>
      <w:r>
        <w:t xml:space="preserve">Increasing Primary Study Inclusion</w:t>
      </w:r>
      <w:r>
        <w:t xml:space="preserve"> </w:t>
      </w:r>
      <w:r>
        <w:t xml:space="preserve">and the</w:t>
      </w:r>
      <w:r>
        <w:t xml:space="preserve"> </w:t>
      </w:r>
      <w:r>
        <w:t xml:space="preserve">Usability</w:t>
      </w:r>
      <w:r>
        <w:t xml:space="preserve"> </w:t>
      </w:r>
      <w:r>
        <w:t xml:space="preserve">of</w:t>
      </w:r>
      <w:r>
        <w:t xml:space="preserve"> </w:t>
      </w:r>
      <w:r>
        <w:t xml:space="preserve">Data</w:t>
      </w:r>
      <w:r>
        <w:t xml:space="preserve"> </w:t>
      </w:r>
      <w:r>
        <w:t xml:space="preserve">in</w:t>
      </w:r>
      <w:r>
        <w:t xml:space="preserve"> </w:t>
      </w:r>
      <w:r>
        <w:t xml:space="preserve">Meta-Analysis</w:t>
      </w:r>
      <w:r>
        <w:t xml:space="preserve">:</w:t>
      </w:r>
      <w:r>
        <w:t xml:space="preserve"> </w:t>
      </w:r>
      <w:r>
        <w:t xml:space="preserve">A Reporting Tutorial</w:t>
      </w:r>
      <w:r>
        <w:t xml:space="preserve">.</w:t>
      </w:r>
      <w:r>
        <w:t xml:space="preserve"> </w:t>
      </w:r>
      <w:r>
        <w:rPr>
          <w:iCs/>
          <w:i/>
        </w:rPr>
        <w:t xml:space="preserve">Journal of Speech, Language, and Hearing Research</w:t>
      </w:r>
      <w:r>
        <w:t xml:space="preserve">.</w:t>
      </w:r>
      <w:r>
        <w:t xml:space="preserve"> </w:t>
      </w:r>
      <w:hyperlink r:id="rId45">
        <w:r>
          <w:rPr>
            <w:rStyle w:val="Hyperlink"/>
          </w:rPr>
          <w:t xml:space="preserve">https://doi.org/10.1044/2023_JSLHR-22-00318</w:t>
        </w:r>
      </w:hyperlink>
    </w:p>
    <w:bookmarkEnd w:id="46"/>
    <w:bookmarkStart w:id="48"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47">
        <w:r>
          <w:rPr>
            <w:rStyle w:val="Hyperlink"/>
          </w:rPr>
          <w:t xml:space="preserve">https://doi.org/10.1080/02699052.2023.2181401</w:t>
        </w:r>
      </w:hyperlink>
    </w:p>
    <w:bookmarkEnd w:id="48"/>
    <w:bookmarkStart w:id="50"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49">
        <w:r>
          <w:rPr>
            <w:rStyle w:val="Hyperlink"/>
          </w:rPr>
          <w:t xml:space="preserve">https://doi.org/10.1044/2023_JSLHR-23-00132</w:t>
        </w:r>
      </w:hyperlink>
    </w:p>
    <w:bookmarkEnd w:id="50"/>
    <w:bookmarkStart w:id="52" w:name="ref-drachen_etal16"/>
    <w:p>
      <w:pPr>
        <w:pStyle w:val="Bibliography"/>
      </w:pPr>
      <w:r>
        <w:t xml:space="preserve">Drachen, T. M., Ellegaard, O., Larsen, A. V., &amp; Dorch, S. B. F. (2016). Sharing data increases citations.</w:t>
      </w:r>
      <w:r>
        <w:t xml:space="preserve"> </w:t>
      </w:r>
      <w:r>
        <w:rPr>
          <w:iCs/>
          <w:i/>
        </w:rPr>
        <w:t xml:space="preserve">LIBER Quarterly: The Journal of the Association of European Research Libraries</w:t>
      </w:r>
      <w:r>
        <w:t xml:space="preserve">,</w:t>
      </w:r>
      <w:r>
        <w:t xml:space="preserve"> </w:t>
      </w:r>
      <w:r>
        <w:rPr>
          <w:iCs/>
          <w:i/>
        </w:rPr>
        <w:t xml:space="preserve">26</w:t>
      </w:r>
      <w:r>
        <w:t xml:space="preserve">(2, 2), 67–82.</w:t>
      </w:r>
      <w:r>
        <w:t xml:space="preserve"> </w:t>
      </w:r>
      <w:hyperlink r:id="rId51">
        <w:r>
          <w:rPr>
            <w:rStyle w:val="Hyperlink"/>
          </w:rPr>
          <w:t xml:space="preserve">https://doi.org/10.18352/lq.10149</w:t>
        </w:r>
      </w:hyperlink>
    </w:p>
    <w:bookmarkEnd w:id="52"/>
    <w:bookmarkStart w:id="54"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53">
        <w:r>
          <w:rPr>
            <w:rStyle w:val="Hyperlink"/>
          </w:rPr>
          <w:t xml:space="preserve">https://doi.org/10.1214/24-STS927</w:t>
        </w:r>
      </w:hyperlink>
    </w:p>
    <w:bookmarkEnd w:id="54"/>
    <w:bookmarkStart w:id="56"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55">
        <w:r>
          <w:rPr>
            <w:rStyle w:val="Hyperlink"/>
          </w:rPr>
          <w:t xml:space="preserve">https://doi.org/10.1044/2022_JSLHR-22-00062</w:t>
        </w:r>
      </w:hyperlink>
    </w:p>
    <w:bookmarkEnd w:id="56"/>
    <w:bookmarkStart w:id="58"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57">
        <w:r>
          <w:rPr>
            <w:rStyle w:val="Hyperlink"/>
          </w:rPr>
          <w:t xml:space="preserve">https://doi.org/10.1016/j.jfludis.2020.105827</w:t>
        </w:r>
      </w:hyperlink>
    </w:p>
    <w:bookmarkEnd w:id="58"/>
    <w:bookmarkStart w:id="60"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59">
        <w:r>
          <w:rPr>
            <w:rStyle w:val="Hyperlink"/>
          </w:rPr>
          <w:t xml:space="preserve">https://doi.org/10.1044/2020_JSLHR-19-00299</w:t>
        </w:r>
      </w:hyperlink>
    </w:p>
    <w:bookmarkEnd w:id="60"/>
    <w:bookmarkStart w:id="62" w:name="ref-hothorn_etal06"/>
    <w:p>
      <w:pPr>
        <w:pStyle w:val="Bibliography"/>
      </w:pPr>
      <w:r>
        <w:t xml:space="preserve">Hothorn, T., Hornik, K., &amp; Zeileis, A. (2006). Unbiased</w:t>
      </w:r>
      <w:r>
        <w:t xml:space="preserve"> </w:t>
      </w:r>
      <w:r>
        <w:t xml:space="preserve">Recursive Partitioning</w:t>
      </w:r>
      <w:r>
        <w:t xml:space="preserve">:</w:t>
      </w:r>
      <w:r>
        <w:t xml:space="preserve"> </w:t>
      </w:r>
      <w:r>
        <w:t xml:space="preserve">A Conditional Inference Framework</w:t>
      </w:r>
      <w:r>
        <w:t xml:space="preserve">.</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61">
        <w:r>
          <w:rPr>
            <w:rStyle w:val="Hyperlink"/>
          </w:rPr>
          <w:t xml:space="preserve">https://doi.org/10.1198/106186006X133933</w:t>
        </w:r>
      </w:hyperlink>
    </w:p>
    <w:bookmarkEnd w:id="62"/>
    <w:bookmarkStart w:id="64"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63">
        <w:r>
          <w:rPr>
            <w:rStyle w:val="Hyperlink"/>
          </w:rPr>
          <w:t xml:space="preserve">https://doi.org/10.2139/ssrn.2408030</w:t>
        </w:r>
      </w:hyperlink>
    </w:p>
    <w:bookmarkEnd w:id="64"/>
    <w:bookmarkStart w:id="66"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65">
        <w:r>
          <w:rPr>
            <w:rStyle w:val="Hyperlink"/>
          </w:rPr>
          <w:t xml:space="preserve">https://www.sciencedirect.com/science/article/pii/S0028393223001653</w:t>
        </w:r>
      </w:hyperlink>
    </w:p>
    <w:bookmarkEnd w:id="66"/>
    <w:bookmarkStart w:id="68"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67">
        <w:r>
          <w:rPr>
            <w:rStyle w:val="Hyperlink"/>
          </w:rPr>
          <w:t xml:space="preserve">https://doi.org/10.1044/2022_AJSLP-22-00003</w:t>
        </w:r>
      </w:hyperlink>
    </w:p>
    <w:bookmarkEnd w:id="68"/>
    <w:bookmarkStart w:id="70" w:name="ref-lewis24"/>
    <w:p>
      <w:pPr>
        <w:pStyle w:val="Bibliography"/>
      </w:pPr>
      <w:r>
        <w:t xml:space="preserve">Lewis, C. (2024).</w:t>
      </w:r>
      <w:r>
        <w:t xml:space="preserve"> </w:t>
      </w:r>
      <w:r>
        <w:rPr>
          <w:iCs/>
          <w:i/>
        </w:rPr>
        <w:t xml:space="preserve">Data</w:t>
      </w:r>
      <w:r>
        <w:rPr>
          <w:iCs/>
          <w:i/>
        </w:rPr>
        <w:t xml:space="preserve"> </w:t>
      </w:r>
      <w:r>
        <w:rPr>
          <w:iCs/>
          <w:i/>
        </w:rPr>
        <w:t xml:space="preserve">Management</w:t>
      </w:r>
      <w:r>
        <w:rPr>
          <w:iCs/>
          <w:i/>
        </w:rPr>
        <w:t xml:space="preserve"> </w:t>
      </w:r>
      <w:r>
        <w:rPr>
          <w:iCs/>
          <w:i/>
        </w:rPr>
        <w:t xml:space="preserve">in</w:t>
      </w:r>
      <w:r>
        <w:rPr>
          <w:iCs/>
          <w:i/>
        </w:rPr>
        <w:t xml:space="preserve"> </w:t>
      </w:r>
      <w:r>
        <w:rPr>
          <w:iCs/>
          <w:i/>
        </w:rPr>
        <w:t xml:space="preserve">Large-Scale Education Research</w:t>
      </w:r>
      <w:r>
        <w:t xml:space="preserve">. CRC Press.</w:t>
      </w:r>
      <w:r>
        <w:t xml:space="preserve"> </w:t>
      </w:r>
      <w:hyperlink r:id="rId69">
        <w:r>
          <w:rPr>
            <w:rStyle w:val="Hyperlink"/>
          </w:rPr>
          <w:t xml:space="preserve">https://books.google.com/books?hl=en&amp;lr=&amp;id=z54LEQAAQBAJ&amp;oi=fnd&amp;pg=PT12&amp;dq=Data+Management+in+Large-Scale+Education+Research&amp;ots=6h09wWzI1A&amp;sig=-Eq8b942JpPzrApSvO2M2y8MhCo</w:t>
        </w:r>
      </w:hyperlink>
    </w:p>
    <w:bookmarkEnd w:id="70"/>
    <w:bookmarkStart w:id="72" w:name="ref-meyer18"/>
    <w:p>
      <w:pPr>
        <w:pStyle w:val="Bibliography"/>
      </w:pPr>
      <w:r>
        <w:t xml:space="preserve">Meyer, M. N. (2018). Practical</w:t>
      </w:r>
      <w:r>
        <w:t xml:space="preserve"> </w:t>
      </w:r>
      <w:r>
        <w:t xml:space="preserve">Tips</w:t>
      </w:r>
      <w:r>
        <w:t xml:space="preserve"> </w:t>
      </w:r>
      <w:r>
        <w:t xml:space="preserve">for</w:t>
      </w:r>
      <w:r>
        <w:t xml:space="preserve"> </w:t>
      </w:r>
      <w:r>
        <w:t xml:space="preserve">Ethical Data Sharing</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(1), 131–144.</w:t>
      </w:r>
      <w:r>
        <w:t xml:space="preserve"> </w:t>
      </w:r>
      <w:hyperlink r:id="rId71">
        <w:r>
          <w:rPr>
            <w:rStyle w:val="Hyperlink"/>
          </w:rPr>
          <w:t xml:space="preserve">https://doi.org/10.1177/2515245917747656</w:t>
        </w:r>
      </w:hyperlink>
    </w:p>
    <w:bookmarkEnd w:id="72"/>
    <w:bookmarkStart w:id="74"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73">
        <w:r>
          <w:rPr>
            <w:rStyle w:val="Hyperlink"/>
          </w:rPr>
          <w:t xml:space="preserve">https://doi.org/10.7717/peerj.2530</w:t>
        </w:r>
      </w:hyperlink>
    </w:p>
    <w:bookmarkEnd w:id="74"/>
    <w:bookmarkStart w:id="76"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75">
        <w:r>
          <w:rPr>
            <w:rStyle w:val="Hyperlink"/>
          </w:rPr>
          <w:t xml:space="preserve">https://doi.org/10.18637/jss.v074.i11</w:t>
        </w:r>
      </w:hyperlink>
    </w:p>
    <w:bookmarkEnd w:id="76"/>
    <w:bookmarkStart w:id="78" w:name="ref-obels_etal20a"/>
    <w:p>
      <w:pPr>
        <w:pStyle w:val="Bibliography"/>
      </w:pPr>
      <w:r>
        <w:t xml:space="preserve">Obels, P., Lakens, D., Coles, N. A., Gottfried, J., &amp; Green, S. A. (2020). Analysis of</w:t>
      </w:r>
      <w:r>
        <w:t xml:space="preserve"> </w:t>
      </w:r>
      <w:r>
        <w:t xml:space="preserve">Open Data</w:t>
      </w:r>
      <w:r>
        <w:t xml:space="preserve"> </w:t>
      </w:r>
      <w:r>
        <w:t xml:space="preserve">and</w:t>
      </w:r>
      <w:r>
        <w:t xml:space="preserve"> </w:t>
      </w:r>
      <w:r>
        <w:t xml:space="preserve">Computational Reproducibility</w:t>
      </w:r>
      <w:r>
        <w:t xml:space="preserve"> </w:t>
      </w:r>
      <w:r>
        <w:t xml:space="preserve">in</w:t>
      </w:r>
      <w:r>
        <w:t xml:space="preserve"> </w:t>
      </w:r>
      <w:r>
        <w:t xml:space="preserve">Registered Reports</w:t>
      </w:r>
      <w:r>
        <w:t xml:space="preserve"> </w:t>
      </w:r>
      <w:r>
        <w:t xml:space="preserve">in</w:t>
      </w:r>
      <w:r>
        <w:t xml:space="preserve"> </w:t>
      </w:r>
      <w:r>
        <w:t xml:space="preserve">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77">
        <w:r>
          <w:rPr>
            <w:rStyle w:val="Hyperlink"/>
          </w:rPr>
          <w:t xml:space="preserve">https://doi.org/10.1177/2515245920918872</w:t>
        </w:r>
      </w:hyperlink>
    </w:p>
    <w:bookmarkEnd w:id="78"/>
    <w:bookmarkStart w:id="80" w:name="ref-peikert_etal21a"/>
    <w:p>
      <w:pPr>
        <w:pStyle w:val="Bibliography"/>
      </w:pPr>
      <w:r>
        <w:t xml:space="preserve">Peikert, A., van Lissa, C. J., &amp; Brandmaier, A. M. (2021). Reproducible</w:t>
      </w:r>
      <w:r>
        <w:t xml:space="preserve"> </w:t>
      </w:r>
      <w:r>
        <w:t xml:space="preserve">Research</w:t>
      </w:r>
      <w:r>
        <w:t xml:space="preserve"> </w:t>
      </w:r>
      <w:r>
        <w:t xml:space="preserve">in</w:t>
      </w:r>
      <w:r>
        <w:t xml:space="preserve"> </w:t>
      </w:r>
      <w:r>
        <w:t xml:space="preserve">R</w:t>
      </w:r>
      <w:r>
        <w:t xml:space="preserve">:</w:t>
      </w:r>
      <w:r>
        <w:t xml:space="preserve"> </w:t>
      </w:r>
      <w:r>
        <w:t xml:space="preserve">A Tutorial</w:t>
      </w:r>
      <w:r>
        <w:t xml:space="preserve"> </w:t>
      </w:r>
      <w:r>
        <w:t xml:space="preserve">on</w:t>
      </w:r>
      <w:r>
        <w:t xml:space="preserve"> </w:t>
      </w:r>
      <w:r>
        <w:t xml:space="preserve">How</w:t>
      </w:r>
      <w:r>
        <w:t xml:space="preserve"> </w:t>
      </w:r>
      <w:r>
        <w:t xml:space="preserve">to</w:t>
      </w:r>
      <w:r>
        <w:t xml:space="preserve"> </w:t>
      </w:r>
      <w:r>
        <w:t xml:space="preserve">Do</w:t>
      </w:r>
      <w:r>
        <w:t xml:space="preserve"> </w:t>
      </w:r>
      <w:r>
        <w:t xml:space="preserve">the</w:t>
      </w:r>
      <w:r>
        <w:t xml:space="preserve"> </w:t>
      </w:r>
      <w:r>
        <w:t xml:space="preserve">Same Thing More Than Once</w:t>
      </w:r>
      <w:r>
        <w:t xml:space="preserve">.</w:t>
      </w:r>
      <w:r>
        <w:t xml:space="preserve"> </w:t>
      </w:r>
      <w:r>
        <w:rPr>
          <w:iCs/>
          <w:i/>
        </w:rPr>
        <w:t xml:space="preserve">Psych</w:t>
      </w:r>
      <w:r>
        <w:t xml:space="preserve">,</w:t>
      </w:r>
      <w:r>
        <w:t xml:space="preserve"> </w:t>
      </w:r>
      <w:r>
        <w:rPr>
          <w:iCs/>
          <w:i/>
        </w:rPr>
        <w:t xml:space="preserve">3</w:t>
      </w:r>
      <w:r>
        <w:t xml:space="preserve">(4, 4), 836–867.</w:t>
      </w:r>
      <w:r>
        <w:t xml:space="preserve"> </w:t>
      </w:r>
      <w:hyperlink r:id="rId79">
        <w:r>
          <w:rPr>
            <w:rStyle w:val="Hyperlink"/>
          </w:rPr>
          <w:t xml:space="preserve">https://doi.org/10.3390/psych3040053</w:t>
        </w:r>
      </w:hyperlink>
    </w:p>
    <w:bookmarkEnd w:id="80"/>
    <w:bookmarkStart w:id="82"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81">
        <w:r>
          <w:rPr>
            <w:rStyle w:val="Hyperlink"/>
          </w:rPr>
          <w:t xml:space="preserve">https://doi.org/10.31219/osf.io/9kxa7</w:t>
        </w:r>
      </w:hyperlink>
    </w:p>
    <w:bookmarkEnd w:id="82"/>
    <w:bookmarkStart w:id="84" w:name="ref-piwowar_etal07"/>
    <w:p>
      <w:pPr>
        <w:pStyle w:val="Bibliography"/>
      </w:pPr>
      <w:r>
        <w:t xml:space="preserve">Piwowar, H. A., Day, R. S., &amp; Fridsma, D. B. (2007). Sharing</w:t>
      </w:r>
      <w:r>
        <w:t xml:space="preserve"> </w:t>
      </w:r>
      <w:r>
        <w:t xml:space="preserve">Detailed Research Data Is Associated</w:t>
      </w:r>
      <w:r>
        <w:t xml:space="preserve"> </w:t>
      </w:r>
      <w:r>
        <w:t xml:space="preserve">with</w:t>
      </w:r>
      <w:r>
        <w:t xml:space="preserve"> </w:t>
      </w:r>
      <w:r>
        <w:t xml:space="preserve">Increased Citation Rate</w:t>
      </w:r>
      <w:r>
        <w:t xml:space="preserve">.</w:t>
      </w:r>
      <w:r>
        <w:t xml:space="preserve"> </w:t>
      </w:r>
      <w:r>
        <w:rPr>
          <w:iCs/>
          <w:i/>
        </w:rPr>
        <w:t xml:space="preserve">PLOS ONE</w:t>
      </w:r>
      <w:r>
        <w:t xml:space="preserve">,</w:t>
      </w:r>
      <w:r>
        <w:t xml:space="preserve"> </w:t>
      </w:r>
      <w:r>
        <w:rPr>
          <w:iCs/>
          <w:i/>
        </w:rPr>
        <w:t xml:space="preserve">2</w:t>
      </w:r>
      <w:r>
        <w:t xml:space="preserve">(3), e308.</w:t>
      </w:r>
      <w:r>
        <w:t xml:space="preserve"> </w:t>
      </w:r>
      <w:hyperlink r:id="rId83">
        <w:r>
          <w:rPr>
            <w:rStyle w:val="Hyperlink"/>
          </w:rPr>
          <w:t xml:space="preserve">https://doi.org/10.1371/journal.pone.0000308</w:t>
        </w:r>
      </w:hyperlink>
    </w:p>
    <w:bookmarkEnd w:id="84"/>
    <w:bookmarkStart w:id="86" w:name="ref-piwowar_vision13"/>
    <w:p>
      <w:pPr>
        <w:pStyle w:val="Bibliography"/>
      </w:pPr>
      <w:r>
        <w:t xml:space="preserve">Piwowar, H. A., &amp; Vision, T. J. (2013). Data reuse and the open data citation advantage.</w:t>
      </w:r>
      <w:r>
        <w:t xml:space="preserve"> </w:t>
      </w:r>
      <w:r>
        <w:rPr>
          <w:iCs/>
          <w:i/>
        </w:rPr>
        <w:t xml:space="preserve">PeerJ</w:t>
      </w:r>
      <w:r>
        <w:t xml:space="preserve">,</w:t>
      </w:r>
      <w:r>
        <w:t xml:space="preserve"> </w:t>
      </w:r>
      <w:r>
        <w:rPr>
          <w:iCs/>
          <w:i/>
        </w:rPr>
        <w:t xml:space="preserve">1</w:t>
      </w:r>
      <w:r>
        <w:t xml:space="preserve">, e175.</w:t>
      </w:r>
      <w:r>
        <w:t xml:space="preserve"> </w:t>
      </w:r>
      <w:hyperlink r:id="rId85">
        <w:r>
          <w:rPr>
            <w:rStyle w:val="Hyperlink"/>
          </w:rPr>
          <w:t xml:space="preserve">https://doi.org/10.7717/peerj.175</w:t>
        </w:r>
      </w:hyperlink>
    </w:p>
    <w:bookmarkEnd w:id="86"/>
    <w:bookmarkStart w:id="88"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87">
        <w:r>
          <w:rPr>
            <w:rStyle w:val="Hyperlink"/>
          </w:rPr>
          <w:t xml:space="preserve">https://doi.org/10.7554/eLife.53275</w:t>
        </w:r>
      </w:hyperlink>
    </w:p>
    <w:bookmarkEnd w:id="88"/>
    <w:bookmarkStart w:id="90" w:name="ref-rcoreteam22"/>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r>
        <w:t xml:space="preserve"> </w:t>
      </w:r>
      <w:hyperlink r:id="rId89">
        <w:r>
          <w:rPr>
            <w:rStyle w:val="Hyperlink"/>
          </w:rPr>
          <w:t xml:space="preserve">https://www.R-project.org/</w:t>
        </w:r>
      </w:hyperlink>
    </w:p>
    <w:bookmarkEnd w:id="90"/>
    <w:bookmarkStart w:id="92"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91">
        <w:r>
          <w:rPr>
            <w:rStyle w:val="Hyperlink"/>
          </w:rPr>
          <w:t xml:space="preserve">https://doi.org/10.1038/s41467-019-10933-3</w:t>
        </w:r>
      </w:hyperlink>
    </w:p>
    <w:bookmarkEnd w:id="92"/>
    <w:bookmarkStart w:id="93"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93"/>
    <w:bookmarkStart w:id="94" w:name="ref-shero_hart20"/>
    <w:p>
      <w:pPr>
        <w:pStyle w:val="Bibliography"/>
      </w:pPr>
      <w:r>
        <w:t xml:space="preserve">Shero, J., &amp; Hart, S. A. (2020).</w:t>
      </w:r>
      <w:r>
        <w:t xml:space="preserve"> </w:t>
      </w:r>
      <w:r>
        <w:rPr>
          <w:iCs/>
          <w:i/>
        </w:rPr>
        <w:t xml:space="preserve">Working with your</w:t>
      </w:r>
      <w:r>
        <w:rPr>
          <w:iCs/>
          <w:i/>
        </w:rPr>
        <w:t xml:space="preserve"> </w:t>
      </w:r>
      <w:r>
        <w:rPr>
          <w:iCs/>
          <w:i/>
        </w:rPr>
        <w:t xml:space="preserve">IRB</w:t>
      </w:r>
      <w:r>
        <w:rPr>
          <w:iCs/>
          <w:i/>
        </w:rPr>
        <w:t xml:space="preserve">:</w:t>
      </w:r>
      <w:r>
        <w:rPr>
          <w:iCs/>
          <w:i/>
        </w:rPr>
        <w:t xml:space="preserve"> </w:t>
      </w:r>
      <w:r>
        <w:rPr>
          <w:iCs/>
          <w:i/>
        </w:rPr>
        <w:t xml:space="preserve">Obtaining</w:t>
      </w:r>
      <w:r>
        <w:rPr>
          <w:iCs/>
          <w:i/>
        </w:rPr>
        <w:t xml:space="preserve"> </w:t>
      </w:r>
      <w:r>
        <w:rPr>
          <w:iCs/>
          <w:i/>
        </w:rPr>
        <w:t xml:space="preserve">consent for open data sharing through consent forms and data use agreements (</w:t>
      </w:r>
      <w:r>
        <w:rPr>
          <w:iCs/>
          <w:i/>
        </w:rPr>
        <w:t xml:space="preserve">Version</w:t>
      </w:r>
      <w:r>
        <w:rPr>
          <w:iCs/>
          <w:i/>
        </w:rPr>
        <w:t xml:space="preserve"> </w:t>
      </w:r>
      <w:r>
        <w:rPr>
          <w:iCs/>
          <w:i/>
        </w:rPr>
        <w:t xml:space="preserve">1). figshare</w:t>
      </w:r>
      <w:r>
        <w:t xml:space="preserve">.</w:t>
      </w:r>
    </w:p>
    <w:bookmarkEnd w:id="94"/>
    <w:bookmarkStart w:id="95" w:name="ref-stasinopoulos_rigby07"/>
    <w:p>
      <w:pPr>
        <w:pStyle w:val="Bibliography"/>
      </w:pPr>
      <w:r>
        <w:t xml:space="preserve">Stasinopoulos, D. M., &amp; Rigby, R. A. (2007). Generalized additive models for location scale and shape (</w:t>
      </w:r>
      <w:r>
        <w:t xml:space="preserve">GAMLSS</w:t>
      </w:r>
      <w:r>
        <w:t xml:space="preserve">)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23</w:t>
      </w:r>
      <w:r>
        <w:t xml:space="preserve">(7), 1–46.</w:t>
      </w:r>
    </w:p>
    <w:bookmarkEnd w:id="95"/>
    <w:bookmarkStart w:id="97" w:name="ref-tedersoo_etal21"/>
    <w:p>
      <w:pPr>
        <w:pStyle w:val="Bibliography"/>
      </w:pPr>
      <w:r>
        <w:t xml:space="preserve">Tedersoo, L., Küngas, R., Oras, E., Köster, K., Eenmaa, H., Leijen, Ä., Pedaste, M., Raju, M., Astapova, A., Lukner, H., Kogermann, K., &amp; Sepp, T. (2021). Data sharing practices and data availability upon request differ across scientific disciplines.</w:t>
      </w:r>
      <w:r>
        <w:t xml:space="preserve"> </w:t>
      </w:r>
      <w:r>
        <w:rPr>
          <w:iCs/>
          <w:i/>
        </w:rPr>
        <w:t xml:space="preserve">Scientific Data</w:t>
      </w:r>
      <w:r>
        <w:t xml:space="preserve">,</w:t>
      </w:r>
      <w:r>
        <w:t xml:space="preserve"> </w:t>
      </w:r>
      <w:r>
        <w:rPr>
          <w:iCs/>
          <w:i/>
        </w:rPr>
        <w:t xml:space="preserve">8</w:t>
      </w:r>
      <w:r>
        <w:t xml:space="preserve">(1), 192.</w:t>
      </w:r>
      <w:r>
        <w:t xml:space="preserve"> </w:t>
      </w:r>
      <w:hyperlink r:id="rId96">
        <w:r>
          <w:rPr>
            <w:rStyle w:val="Hyperlink"/>
          </w:rPr>
          <w:t xml:space="preserve">https://doi.org/10.1038/s41597-021-00981-0</w:t>
        </w:r>
      </w:hyperlink>
    </w:p>
    <w:bookmarkEnd w:id="97"/>
    <w:bookmarkStart w:id="99"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98">
        <w:r>
          <w:rPr>
            <w:rStyle w:val="Hyperlink"/>
          </w:rPr>
          <w:t xml:space="preserve">https://doi.org/10.1044/2022_JSLHR-22-00287</w:t>
        </w:r>
      </w:hyperlink>
    </w:p>
    <w:bookmarkEnd w:id="99"/>
    <w:bookmarkStart w:id="101"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100">
        <w:r>
          <w:rPr>
            <w:rStyle w:val="Hyperlink"/>
          </w:rPr>
          <w:t xml:space="preserve">https://doi.org/10.1136/bmjhci-2023-100771</w:t>
        </w:r>
      </w:hyperlink>
    </w:p>
    <w:bookmarkEnd w:id="101"/>
    <w:bookmarkStart w:id="103" w:name="ref-wickham_etal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02">
        <w:r>
          <w:rPr>
            <w:rStyle w:val="Hyperlink"/>
          </w:rPr>
          <w:t xml:space="preserve">https://doi.org/10.21105/joss.01686</w:t>
        </w:r>
      </w:hyperlink>
    </w:p>
    <w:bookmarkEnd w:id="103"/>
    <w:bookmarkStart w:id="105"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04">
        <w:r>
          <w:rPr>
            <w:rStyle w:val="Hyperlink"/>
          </w:rPr>
          <w:t xml:space="preserve">https://doi.org/10.1038/sdata.2016.18</w:t>
        </w:r>
      </w:hyperlink>
    </w:p>
    <w:bookmarkEnd w:id="105"/>
    <w:bookmarkEnd w:id="106"/>
    <w:p>
      <w:r>
        <w:br w:type="page"/>
      </w:r>
    </w:p>
    <w:bookmarkEnd w:id="107"/>
    <w:bookmarkStart w:id="108" w:name="table-and-figure-captions"/>
    <w:p>
      <w:pPr>
        <w:pStyle w:val="Heading1"/>
      </w:pPr>
      <w:r>
        <w:t xml:space="preserve">Table and Figure Captions</w:t>
      </w:r>
    </w:p>
    <w:p>
      <w:pPr>
        <w:pStyle w:val="noIndentParagraph"/>
      </w:pPr>
      <w:r>
        <w:t xml:space="preserve">Table 1: Description of types of data.</w:t>
      </w:r>
    </w:p>
    <w:p>
      <w:pPr>
        <w:pStyle w:val="noIndentParagraph"/>
      </w:pPr>
    </w:p>
    <w:p>
      <w:pPr>
        <w:pStyle w:val="noIndentParagraph"/>
      </w:pPr>
      <w:r>
        <w:t xml:space="preserve">Table 2: Characteristics of included studies by ASHA domain.</w:t>
      </w:r>
    </w:p>
    <w:p>
      <w:pPr>
        <w:pStyle w:val="noIndentParagraph"/>
      </w:pPr>
    </w:p>
    <w:p>
      <w:pPr>
        <w:pStyle w:val="noIndentParagraph"/>
      </w:pPr>
      <w:r>
        <w:t xml:space="preserve">Table 3: Effect size measures and interpretation by statistical test.</w:t>
      </w:r>
    </w:p>
    <w:p>
      <w:pPr>
        <w:pStyle w:val="noIndentParagraph"/>
      </w:pPr>
    </w:p>
    <w:p>
      <w:pPr>
        <w:pStyle w:val="noIndentParagraph"/>
      </w:pPr>
      <w:r>
        <w:t xml:space="preserve">Table 4: Stability of synthetic datasets across ASHA domains.</w:t>
      </w:r>
    </w:p>
    <w:p>
      <w:pPr>
        <w:pStyle w:val="noIndentParagraph"/>
      </w:pPr>
    </w:p>
    <w:p>
      <w:pPr>
        <w:pStyle w:val="noIndentParagraph"/>
      </w:pPr>
      <w:r>
        <w:t xml:space="preserve">Figure 1. Visualization of data distributions from synthetic and original data for Study #1 (Curtis et al., 2023).</w:t>
      </w:r>
    </w:p>
    <w:p>
      <w:pPr>
        <w:pStyle w:val="noIndentParagraph"/>
      </w:pPr>
      <w:r>
        <w:rPr>
          <w:iCs/>
          <w:i/>
        </w:rPr>
        <w:t xml:space="preserve">Caption</w:t>
      </w:r>
      <w:r>
        <w:t xml:space="preserve">: Panel A displays the overall distribution of laryngeal vestibule residue. Panel B displays the frequency of values by bolus consistency.</w:t>
      </w:r>
    </w:p>
    <w:p>
      <w:pPr>
        <w:pStyle w:val="noIndentParagraph"/>
      </w:pPr>
    </w:p>
    <w:p>
      <w:pPr>
        <w:pStyle w:val="noIndentParagraph"/>
      </w:pPr>
      <w:r>
        <w:t xml:space="preserve">Figure 2. Visualization of data distributions from synthetic and original data for Study #2 (Thompson et al., 2023).</w:t>
      </w:r>
    </w:p>
    <w:p>
      <w:pPr>
        <w:pStyle w:val="noIndentParagraph"/>
      </w:pPr>
      <w:r>
        <w:rPr>
          <w:iCs/>
          <w:i/>
        </w:rPr>
        <w:t xml:space="preserve">Caption</w:t>
      </w:r>
      <w:r>
        <w:t xml:space="preserve">: Panel A displays the distribution of vowel space area and panel B displays the distribution of speech intelligibility.</w:t>
      </w:r>
    </w:p>
    <w:p>
      <w:pPr>
        <w:pStyle w:val="noIndentParagraph"/>
      </w:pPr>
    </w:p>
    <w:p>
      <w:pPr>
        <w:pStyle w:val="noIndentParagraph"/>
      </w:pPr>
      <w:r>
        <w:t xml:space="preserve">Figure 3. Distribution of log-transformed</w:t>
      </w:r>
      <w:r>
        <w:t xml:space="preserve"> </w:t>
      </w:r>
      <w:r>
        <w:rPr>
          <w:iCs/>
          <w:i/>
        </w:rPr>
        <w:t xml:space="preserve">p</w:t>
      </w:r>
      <w:r>
        <w:t xml:space="preserve">-values in synthetic datasets across ASHA domains.</w:t>
      </w:r>
    </w:p>
    <w:p>
      <w:pPr>
        <w:pStyle w:val="noIndentParagraph"/>
      </w:pPr>
      <w:r>
        <w:rPr>
          <w:iCs/>
          <w:i/>
        </w:rPr>
        <w:t xml:space="preserve">Caption</w:t>
      </w:r>
      <w:r>
        <w:t xml:space="preserve">: Each panel displays the distribution of log-transformed</w:t>
      </w:r>
      <w:r>
        <w:t xml:space="preserve"> </w:t>
      </w:r>
      <w:r>
        <w:rPr>
          <w:iCs/>
          <w:i/>
        </w:rPr>
        <w:t xml:space="preserve">p</w:t>
      </w:r>
      <w:r>
        <w:t xml:space="preserve">-values across 100 synthetic datasets for a given ASHA domain. The dashed line indicates the threshold for statistical significance from the original study. Shaded green areas indicate synthetic</w:t>
      </w:r>
      <w:r>
        <w:t xml:space="preserve"> </w:t>
      </w:r>
      <w:r>
        <w:rPr>
          <w:iCs/>
          <w:i/>
        </w:rPr>
        <w:t xml:space="preserve">p</w:t>
      </w:r>
      <w:r>
        <w:t xml:space="preserve">-values that maintained the statistical inferential result of the original study. The mean difference and standard deviation of raw</w:t>
      </w:r>
      <w:r>
        <w:t xml:space="preserve"> </w:t>
      </w:r>
      <w:r>
        <w:rPr>
          <w:iCs/>
          <w:i/>
        </w:rPr>
        <w:t xml:space="preserve">p</w:t>
      </w:r>
      <w:r>
        <w:t xml:space="preserve">-values compared to the</w:t>
      </w:r>
      <w:r>
        <w:t xml:space="preserve"> </w:t>
      </w:r>
      <w:r>
        <w:rPr>
          <w:iCs/>
          <w:i/>
        </w:rPr>
        <w:t xml:space="preserve">p</w:t>
      </w:r>
      <w:r>
        <w:t xml:space="preserve">-value reported in the original study is shown below each panel’s title.</w:t>
      </w:r>
    </w:p>
    <w:p>
      <w:pPr>
        <w:pStyle w:val="noIndentParagraph"/>
      </w:pPr>
    </w:p>
    <w:p>
      <w:pPr>
        <w:pStyle w:val="noIndentParagraph"/>
      </w:pPr>
      <w:r>
        <w:t xml:space="preserve">Figure 4. Distribution of effect sizes in synthetic datasets across ASHA domains.</w:t>
      </w:r>
    </w:p>
    <w:p>
      <w:pPr>
        <w:pStyle w:val="noIndentParagraph"/>
      </w:pPr>
      <w:r>
        <w:rPr>
          <w:iCs/>
          <w:i/>
        </w:rPr>
        <w:t xml:space="preserve">Caption</w:t>
      </w:r>
      <w:r>
        <w:t xml:space="preserve">: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bookmarkEnd w:id="108"/>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69"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41" Target="https://doi.org/10.1007/s00455-022-10428-2" TargetMode="External" /><Relationship Type="http://schemas.openxmlformats.org/officeDocument/2006/relationships/hyperlink" Id="rId57" Target="https://doi.org/10.1016/j.jfludis.2020.105827" TargetMode="External" /><Relationship Type="http://schemas.openxmlformats.org/officeDocument/2006/relationships/hyperlink" Id="rId91" Target="https://doi.org/10.1038/s41467-019-10933-3" TargetMode="External" /><Relationship Type="http://schemas.openxmlformats.org/officeDocument/2006/relationships/hyperlink" Id="rId96" Target="https://doi.org/10.1038/s41597-021-00981-0" TargetMode="External" /><Relationship Type="http://schemas.openxmlformats.org/officeDocument/2006/relationships/hyperlink" Id="rId104" Target="https://doi.org/10.1038/sdata.2016.18" TargetMode="External" /><Relationship Type="http://schemas.openxmlformats.org/officeDocument/2006/relationships/hyperlink" Id="rId59" Target="https://doi.org/10.1044/2020_JSLHR-19-00299" TargetMode="External" /><Relationship Type="http://schemas.openxmlformats.org/officeDocument/2006/relationships/hyperlink" Id="rId67" Target="https://doi.org/10.1044/2022_AJSLP-22-00003" TargetMode="External" /><Relationship Type="http://schemas.openxmlformats.org/officeDocument/2006/relationships/hyperlink" Id="rId55" Target="https://doi.org/10.1044/2022_JSLHR-22-00062" TargetMode="External" /><Relationship Type="http://schemas.openxmlformats.org/officeDocument/2006/relationships/hyperlink" Id="rId98" Target="https://doi.org/10.1044/2022_JSLHR-22-00287" TargetMode="External" /><Relationship Type="http://schemas.openxmlformats.org/officeDocument/2006/relationships/hyperlink" Id="rId45" Target="https://doi.org/10.1044/2023_JSLHR-22-00318" TargetMode="External" /><Relationship Type="http://schemas.openxmlformats.org/officeDocument/2006/relationships/hyperlink" Id="rId49" Target="https://doi.org/10.1044/2023_JSLHR-23-00132" TargetMode="External" /><Relationship Type="http://schemas.openxmlformats.org/officeDocument/2006/relationships/hyperlink" Id="rId47" Target="https://doi.org/10.1080/02699052.2023.2181401" TargetMode="External" /><Relationship Type="http://schemas.openxmlformats.org/officeDocument/2006/relationships/hyperlink" Id="rId43" Target="https://doi.org/10.1080/10489223.2023.2262457" TargetMode="External" /><Relationship Type="http://schemas.openxmlformats.org/officeDocument/2006/relationships/hyperlink" Id="rId100" Target="https://doi.org/10.1136/bmjhci-2023-100771" TargetMode="External" /><Relationship Type="http://schemas.openxmlformats.org/officeDocument/2006/relationships/hyperlink" Id="rId71" Target="https://doi.org/10.1177/2515245917747656" TargetMode="External" /><Relationship Type="http://schemas.openxmlformats.org/officeDocument/2006/relationships/hyperlink" Id="rId77" Target="https://doi.org/10.1177/2515245920918872" TargetMode="External" /><Relationship Type="http://schemas.openxmlformats.org/officeDocument/2006/relationships/hyperlink" Id="rId61" Target="https://doi.org/10.1198/106186006X133933" TargetMode="External" /><Relationship Type="http://schemas.openxmlformats.org/officeDocument/2006/relationships/hyperlink" Id="rId53" Target="https://doi.org/10.1214/24-STS927" TargetMode="External" /><Relationship Type="http://schemas.openxmlformats.org/officeDocument/2006/relationships/hyperlink" Id="rId83" Target="https://doi.org/10.1371/journal.pone.0000308" TargetMode="External" /><Relationship Type="http://schemas.openxmlformats.org/officeDocument/2006/relationships/hyperlink" Id="rId51" Target="https://doi.org/10.18352/lq.10149" TargetMode="External" /><Relationship Type="http://schemas.openxmlformats.org/officeDocument/2006/relationships/hyperlink" Id="rId75" Target="https://doi.org/10.18637/jss.v074.i11" TargetMode="External" /><Relationship Type="http://schemas.openxmlformats.org/officeDocument/2006/relationships/hyperlink" Id="rId102" Target="https://doi.org/10.21105/joss.01686" TargetMode="External" /><Relationship Type="http://schemas.openxmlformats.org/officeDocument/2006/relationships/hyperlink" Id="rId63" Target="https://doi.org/10.2139/ssrn.2408030" TargetMode="External" /><Relationship Type="http://schemas.openxmlformats.org/officeDocument/2006/relationships/hyperlink" Id="rId81" Target="https://doi.org/10.31219/osf.io/9kxa7" TargetMode="External" /><Relationship Type="http://schemas.openxmlformats.org/officeDocument/2006/relationships/hyperlink" Id="rId39" Target="https://doi.org/10.31234/osf.io/veh7t" TargetMode="External" /><Relationship Type="http://schemas.openxmlformats.org/officeDocument/2006/relationships/hyperlink" Id="rId79" Target="https://doi.org/10.3390/psych3040053" TargetMode="External" /><Relationship Type="http://schemas.openxmlformats.org/officeDocument/2006/relationships/hyperlink" Id="rId87" Target="https://doi.org/10.7554/eLife.53275" TargetMode="External" /><Relationship Type="http://schemas.openxmlformats.org/officeDocument/2006/relationships/hyperlink" Id="rId85" Target="https://doi.org/10.7717/peerj.175" TargetMode="External" /><Relationship Type="http://schemas.openxmlformats.org/officeDocument/2006/relationships/hyperlink" Id="rId73" Target="https://doi.org/10.7717/peerj.2530" TargetMode="External" /><Relationship Type="http://schemas.openxmlformats.org/officeDocument/2006/relationships/hyperlink" Id="rId89" Target="https://www.R-project.org/" TargetMode="External" /><Relationship Type="http://schemas.openxmlformats.org/officeDocument/2006/relationships/hyperlink" Id="rId65"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69"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41" Target="https://doi.org/10.1007/s00455-022-10428-2" TargetMode="External" /><Relationship Type="http://schemas.openxmlformats.org/officeDocument/2006/relationships/hyperlink" Id="rId57" Target="https://doi.org/10.1016/j.jfludis.2020.105827" TargetMode="External" /><Relationship Type="http://schemas.openxmlformats.org/officeDocument/2006/relationships/hyperlink" Id="rId91" Target="https://doi.org/10.1038/s41467-019-10933-3" TargetMode="External" /><Relationship Type="http://schemas.openxmlformats.org/officeDocument/2006/relationships/hyperlink" Id="rId96" Target="https://doi.org/10.1038/s41597-021-00981-0" TargetMode="External" /><Relationship Type="http://schemas.openxmlformats.org/officeDocument/2006/relationships/hyperlink" Id="rId104" Target="https://doi.org/10.1038/sdata.2016.18" TargetMode="External" /><Relationship Type="http://schemas.openxmlformats.org/officeDocument/2006/relationships/hyperlink" Id="rId59" Target="https://doi.org/10.1044/2020_JSLHR-19-00299" TargetMode="External" /><Relationship Type="http://schemas.openxmlformats.org/officeDocument/2006/relationships/hyperlink" Id="rId67" Target="https://doi.org/10.1044/2022_AJSLP-22-00003" TargetMode="External" /><Relationship Type="http://schemas.openxmlformats.org/officeDocument/2006/relationships/hyperlink" Id="rId55" Target="https://doi.org/10.1044/2022_JSLHR-22-00062" TargetMode="External" /><Relationship Type="http://schemas.openxmlformats.org/officeDocument/2006/relationships/hyperlink" Id="rId98" Target="https://doi.org/10.1044/2022_JSLHR-22-00287" TargetMode="External" /><Relationship Type="http://schemas.openxmlformats.org/officeDocument/2006/relationships/hyperlink" Id="rId45" Target="https://doi.org/10.1044/2023_JSLHR-22-00318" TargetMode="External" /><Relationship Type="http://schemas.openxmlformats.org/officeDocument/2006/relationships/hyperlink" Id="rId49" Target="https://doi.org/10.1044/2023_JSLHR-23-00132" TargetMode="External" /><Relationship Type="http://schemas.openxmlformats.org/officeDocument/2006/relationships/hyperlink" Id="rId47" Target="https://doi.org/10.1080/02699052.2023.2181401" TargetMode="External" /><Relationship Type="http://schemas.openxmlformats.org/officeDocument/2006/relationships/hyperlink" Id="rId43" Target="https://doi.org/10.1080/10489223.2023.2262457" TargetMode="External" /><Relationship Type="http://schemas.openxmlformats.org/officeDocument/2006/relationships/hyperlink" Id="rId100" Target="https://doi.org/10.1136/bmjhci-2023-100771" TargetMode="External" /><Relationship Type="http://schemas.openxmlformats.org/officeDocument/2006/relationships/hyperlink" Id="rId71" Target="https://doi.org/10.1177/2515245917747656" TargetMode="External" /><Relationship Type="http://schemas.openxmlformats.org/officeDocument/2006/relationships/hyperlink" Id="rId77" Target="https://doi.org/10.1177/2515245920918872" TargetMode="External" /><Relationship Type="http://schemas.openxmlformats.org/officeDocument/2006/relationships/hyperlink" Id="rId61" Target="https://doi.org/10.1198/106186006X133933" TargetMode="External" /><Relationship Type="http://schemas.openxmlformats.org/officeDocument/2006/relationships/hyperlink" Id="rId53" Target="https://doi.org/10.1214/24-STS927" TargetMode="External" /><Relationship Type="http://schemas.openxmlformats.org/officeDocument/2006/relationships/hyperlink" Id="rId83" Target="https://doi.org/10.1371/journal.pone.0000308" TargetMode="External" /><Relationship Type="http://schemas.openxmlformats.org/officeDocument/2006/relationships/hyperlink" Id="rId51" Target="https://doi.org/10.18352/lq.10149" TargetMode="External" /><Relationship Type="http://schemas.openxmlformats.org/officeDocument/2006/relationships/hyperlink" Id="rId75" Target="https://doi.org/10.18637/jss.v074.i11" TargetMode="External" /><Relationship Type="http://schemas.openxmlformats.org/officeDocument/2006/relationships/hyperlink" Id="rId102" Target="https://doi.org/10.21105/joss.01686" TargetMode="External" /><Relationship Type="http://schemas.openxmlformats.org/officeDocument/2006/relationships/hyperlink" Id="rId63" Target="https://doi.org/10.2139/ssrn.2408030" TargetMode="External" /><Relationship Type="http://schemas.openxmlformats.org/officeDocument/2006/relationships/hyperlink" Id="rId81" Target="https://doi.org/10.31219/osf.io/9kxa7" TargetMode="External" /><Relationship Type="http://schemas.openxmlformats.org/officeDocument/2006/relationships/hyperlink" Id="rId39" Target="https://doi.org/10.31234/osf.io/veh7t" TargetMode="External" /><Relationship Type="http://schemas.openxmlformats.org/officeDocument/2006/relationships/hyperlink" Id="rId79" Target="https://doi.org/10.3390/psych3040053" TargetMode="External" /><Relationship Type="http://schemas.openxmlformats.org/officeDocument/2006/relationships/hyperlink" Id="rId87" Target="https://doi.org/10.7554/eLife.53275" TargetMode="External" /><Relationship Type="http://schemas.openxmlformats.org/officeDocument/2006/relationships/hyperlink" Id="rId85" Target="https://doi.org/10.7717/peerj.175" TargetMode="External" /><Relationship Type="http://schemas.openxmlformats.org/officeDocument/2006/relationships/hyperlink" Id="rId73" Target="https://doi.org/10.7717/peerj.2530" TargetMode="External" /><Relationship Type="http://schemas.openxmlformats.org/officeDocument/2006/relationships/hyperlink" Id="rId89" Target="https://www.R-project.org/" TargetMode="External" /><Relationship Type="http://schemas.openxmlformats.org/officeDocument/2006/relationships/hyperlink" Id="rId65"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dcterms:created xsi:type="dcterms:W3CDTF">2024-10-06T23:49:22Z</dcterms:created>
  <dcterms:modified xsi:type="dcterms:W3CDTF">2024-10-06T23:49:22Z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asynthetic.bib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