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Preregistration, data, and analysis scripts are publicly available on the Open Science Framework (https://osf.io/vhgq2 -</w:t>
      </w:r>
      <w:r>
        <w:t xml:space="preserve"> </w:t>
      </w:r>
      <w:r>
        <w:rPr>
          <w:iCs/>
          <w:i/>
        </w:rPr>
        <w:t xml:space="preserve">update this link when preregistration goes public</w:t>
      </w:r>
      <w:r>
        <w:t xml:space="preserve">).</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required to reproduce its findings. However, data sharing is uncommon in the field of Communication Sciences and Disorders and exacerbated by concerns related to privacy and disclosure risks. Synthetic data offers a potential solution to this barrier by generating artificial datasets that do not represent real individuals yet retain statistical properties and relationships from the original data. The present study evaluates the performance of synthetic data generation using open data from previously published studies across the</w:t>
      </w:r>
      <w:r>
        <w:t xml:space="preserve"> </w:t>
      </w:r>
      <w:r>
        <w:t xml:space="preserve">‘</w:t>
      </w:r>
      <w:r>
        <w:t xml:space="preserve">Big Nine</w:t>
      </w:r>
      <w:r>
        <w:t xml:space="preserve">’</w:t>
      </w:r>
      <w:r>
        <w:t xml:space="preserve"> </w:t>
      </w:r>
      <w:r>
        <w:t xml:space="preserve">domains defined by the American Speech-Language-Hearing Association.</w:t>
      </w:r>
    </w:p>
    <w:p>
      <w:pPr>
        <w:pStyle w:val="noIndentParagraph"/>
      </w:pPr>
      <w:r>
        <w:rPr>
          <w:bCs/>
          <w:b/>
        </w:rPr>
        <w:t xml:space="preserve">Method</w:t>
      </w:r>
      <w:r>
        <w:t xml:space="preserve">: Open datasets were obtained from previously published research across the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Inferential (</w:t>
      </w:r>
      <w:r>
        <w:rPr>
          <w:iCs/>
          <w:i/>
        </w:rPr>
        <w:t xml:space="preserve">p</w:t>
      </w:r>
      <w:r>
        <w:t xml:space="preserve">-values) and effect size results from synthetic datasets were compared to those from the original published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studies and effect size categorizations in five out of nine studies. Among studies that did not maintain 95% of inferential or effect size results with synthetic datasets, the absolute mean difference between synthetic and original results was relatively low.</w:t>
      </w:r>
    </w:p>
    <w:p>
      <w:pPr>
        <w:pStyle w:val="noIndentParagraph"/>
      </w:pPr>
      <w:r>
        <w:rPr>
          <w:bCs/>
          <w:b/>
        </w:rPr>
        <w:t xml:space="preserve">Conclusion</w:t>
      </w:r>
      <w:r>
        <w:t xml:space="preserve">: Findings indicate that synthetic data maintained the statistical properties and relationships of the original data. Studies with a lower number of observations tended to demonstrate lower agreement and more variability in</w:t>
      </w:r>
      <w:r>
        <w:t xml:space="preserve"> </w:t>
      </w:r>
      <w:r>
        <w:rPr>
          <w:iCs/>
          <w:i/>
        </w:rPr>
        <w:t xml:space="preserve">p</w:t>
      </w:r>
      <w:r>
        <w:t xml:space="preserve">-values and effect size estimates. Studies that generate synthetic data as a means to share their data should evaluate the stability of synthetic data to maintain their findings. We provide a general framework to promote sharing open data to facilitate computational reproducibility and a cumulative science in the field of Communication Sciences and Disorders.</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One aspect of transparency and openness in science relates to computational reproducibility, or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 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w:t>
      </w:r>
    </w:p>
    <w:p>
      <w:pPr>
        <w:pStyle w:val="BodyText"/>
      </w:pPr>
      <w:r>
        <w:t xml:space="preserve">Despite the clear benefits of open data and its growing adoption in other fields like psychology and the biobehavioral sciences</w:t>
      </w:r>
      <w:r>
        <w:t xml:space="preserve"> </w:t>
      </w:r>
      <w:r>
        <w:t xml:space="preserve">(Quintana, 2020)</w:t>
      </w:r>
      <w:r>
        <w:t xml:space="preserve">, only 26% of researchers in the field of Communication Sciences and Disorders (CSD) reported sharing their data publicly at least once</w:t>
      </w:r>
      <w:r>
        <w:t xml:space="preserve"> </w:t>
      </w:r>
      <w:r>
        <w:t xml:space="preserve">(El Amin et al., 2023)</w:t>
      </w:r>
      <w:r>
        <w:t xml:space="preserve">. Both individual and system-level barriers hinder data sharing, including a lack of time, knowledge, support from colleagues, and perceived incentives. Privacy and confidentiality concerns, particularly in low-incidence populations, also pose significant challenges</w:t>
      </w:r>
      <w:r>
        <w:t xml:space="preserve"> </w:t>
      </w:r>
      <w:r>
        <w:t xml:space="preserve">(Pfeiffer et al., 2024)</w:t>
      </w:r>
      <w:r>
        <w:t xml:space="preserve">.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w:t>
      </w:r>
      <w:r>
        <w:t xml:space="preserve"> </w:t>
      </w:r>
      <w:r>
        <w:t xml:space="preserve">(Rocher et al., 2019)</w:t>
      </w:r>
      <w:r>
        <w:t xml:space="preserve">. A further challenge in sharing data can occur when researchers do not prospectively obtain consent to share data and may not be able to contact participants after data collection</w:t>
      </w:r>
      <w:r>
        <w:t xml:space="preserve"> </w:t>
      </w:r>
      <w:r>
        <w:t xml:space="preserve">(Pfeiffer et al., 2024)</w:t>
      </w:r>
      <w:r>
        <w:t xml:space="preserve">.</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proposed more than 30 years ago</w:t>
      </w:r>
      <w:r>
        <w:t xml:space="preserve"> </w:t>
      </w:r>
      <w:r>
        <w:t xml:space="preserve">(Rubin, 1993)</w:t>
      </w:r>
      <w:r>
        <w:t xml:space="preserve">, recent analytic and practical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open data in the field of CSD, this approach is not widely known or adopted in the field. Data commonly collected in CSD research poses unique challenges, including smaller sample sizes than are typically recommended for synthetic data generation</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 that synthetic datasets will maintain the statistical properties and relationships (i.e.,</w:t>
      </w:r>
      <w:r>
        <w:t xml:space="preserve"> </w:t>
      </w:r>
      <w:r>
        <w:rPr>
          <w:iCs/>
          <w:i/>
        </w:rPr>
        <w:t xml:space="preserve">p</w:t>
      </w:r>
      <w:r>
        <w:t xml:space="preserve">-value and effect size) of the original datasets, and that synthetic data will remain stable when generating multiple datasets. A secondary goal is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All data generation and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(CART) approach that can handle any data type and generates data by sampling from a probability distribution.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 p-values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tutorial to walk through the required steps to generate synthetic data for the reader.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4"/>
    <w:bookmarkEnd w:id="25"/>
    <w:bookmarkEnd w:id="26"/>
    <w:bookmarkStart w:id="31" w:name="results"/>
    <w:p>
      <w:pPr>
        <w:pStyle w:val="Heading1"/>
      </w:pPr>
      <w:r>
        <w:t xml:space="preserve">Results</w:t>
      </w:r>
    </w:p>
    <w:p>
      <w:pPr>
        <w:pStyle w:val="FirstParagraph"/>
      </w:pPr>
      <w:r>
        <w:t xml:space="preserve">The tutorial data and accompanying code can be accessed on the Open Science Framework (OSF: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and then X file.</w:t>
      </w:r>
      <w:r>
        <w:t xml:space="preserve"> </w:t>
      </w:r>
      <w:r>
        <w:rPr>
          <w:bCs/>
          <w:b/>
        </w:rPr>
        <w:t xml:space="preserve">Add more here about the tutorial scripts</w:t>
      </w:r>
      <w:r>
        <w:t xml:space="preserve">.</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and then create a synthetic dataset with the syn() function in the</w:t>
      </w:r>
      <w:r>
        <w:t xml:space="preserve"> </w:t>
      </w:r>
      <w:r>
        <w:rPr>
          <w:iCs/>
          <w:i/>
        </w:rPr>
        <w:t xml:space="preserve">synthpop</w:t>
      </w:r>
      <w:r>
        <w:t xml:space="preserve"> </w:t>
      </w:r>
      <w:r>
        <w:t xml:space="preserve">package. The data wrangling steps include (1) loading required R packages, (2) importing the original dataset csv file, (3) reformatting variable names for consistency and readability, (4) selecting the variables needed for the analysis, (4) converting appropriate categorical variables to factors, and (4) calculating the laryngeal vestibule severity rating as a percentage.</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72%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0.02 (IQR: 0.02 - 0.04) compared to 0.03 (IQR: 0.02 - 0.04) in the original dataset. 98.39% of extremely thick liquids were classified as having no laryngeal vestibule residue compared to 100% in the original dataset. A similar pattern was appreciated for regular solids (97.26% in synthetic vs. 100% in original dataset). Number of trials was lower for extremely thick (77 trials) and regular solid (78 trials) boluses compared to thin liquid (429 trials). When examined across 100 synthetic datasets, findings from the zero-inflated beta multilevel models indicate that 100% of synthetic datasets were not statistically significantly different than the original dataset for both the zero-inflated and beta portions of the model (Table 3). Additionally, effect size categorizations were maintained for 100% of both zero-inflated and beta portions of the model.</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functionm extract the dataset, and convert it to a dataframe.</w:t>
      </w:r>
      <w:r>
        <w:t xml:space="preserve"> </w:t>
      </w:r>
      <w:r>
        <w:rPr>
          <w:iCs/>
          <w:i/>
        </w:rPr>
        <w:t xml:space="preserve">Synthpop</w:t>
      </w:r>
      <w:r>
        <w:t xml:space="preserve"> </w:t>
      </w:r>
      <w:r>
        <w:t xml:space="preserve">provides a warning message since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 This might affect the quality of inferences with this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29" w:name="table-3-here."/>
    <w:p>
      <w:pPr>
        <w:pStyle w:val="Heading5"/>
      </w:pPr>
      <w:r>
        <w:t xml:space="preserve">Table 3 here.</w:t>
      </w:r>
    </w:p>
    <w:bookmarkEnd w:id="29"/>
    <w:bookmarkEnd w:id="30"/>
    <w:bookmarkEnd w:id="31"/>
    <w:bookmarkStart w:id="32" w:name="discussion"/>
    <w:p>
      <w:pPr>
        <w:pStyle w:val="Heading1"/>
      </w:pPr>
      <w:r>
        <w:t xml:space="preserve">Discussion</w:t>
      </w:r>
    </w:p>
    <w:p>
      <w:pPr>
        <w:pStyle w:val="FirstParagraph"/>
      </w:pPr>
      <w:r>
        <w:t xml:space="preserve">XXX</w:t>
      </w:r>
    </w:p>
    <w:bookmarkEnd w:id="32"/>
    <w:bookmarkStart w:id="33" w:name="conclusions"/>
    <w:p>
      <w:pPr>
        <w:pStyle w:val="Heading1"/>
      </w:pPr>
      <w:r>
        <w:t xml:space="preserve">Conclusions</w:t>
      </w:r>
    </w:p>
    <w:p>
      <w:pPr>
        <w:pStyle w:val="FirstParagraph"/>
      </w:pPr>
      <w:r>
        <w:t xml:space="preserve">XXX</w:t>
      </w:r>
    </w:p>
    <w:p>
      <w:r>
        <w:br w:type="page"/>
      </w:r>
    </w:p>
    <w:bookmarkEnd w:id="33"/>
    <w:bookmarkStart w:id="34"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4"/>
    <w:bookmarkStart w:id="86" w:name="references"/>
    <w:p>
      <w:pPr>
        <w:pStyle w:val="Heading1"/>
      </w:pPr>
      <w:r>
        <w:t xml:space="preserve">References</w:t>
      </w:r>
    </w:p>
    <w:bookmarkStart w:id="85" w:name="refs"/>
    <w:bookmarkStart w:id="36"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5">
        <w:r>
          <w:rPr>
            <w:rStyle w:val="Hyperlink"/>
          </w:rPr>
          <w:t xml:space="preserve">https://doi.org/10.31234/osf.io/veh7t</w:t>
        </w:r>
      </w:hyperlink>
    </w:p>
    <w:bookmarkEnd w:id="36"/>
    <w:bookmarkStart w:id="38"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37">
        <w:r>
          <w:rPr>
            <w:rStyle w:val="Hyperlink"/>
          </w:rPr>
          <w:t xml:space="preserve">https://doi.org/10.1007/s00455-022-10428-2</w:t>
        </w:r>
      </w:hyperlink>
    </w:p>
    <w:bookmarkEnd w:id="38"/>
    <w:bookmarkStart w:id="40"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39">
        <w:r>
          <w:rPr>
            <w:rStyle w:val="Hyperlink"/>
          </w:rPr>
          <w:t xml:space="preserve">https://doi.org/10.1080/10489223.2023.2262457</w:t>
        </w:r>
      </w:hyperlink>
    </w:p>
    <w:bookmarkEnd w:id="40"/>
    <w:bookmarkStart w:id="42"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41">
        <w:r>
          <w:rPr>
            <w:rStyle w:val="Hyperlink"/>
          </w:rPr>
          <w:t xml:space="preserve">https://doi.org/10.1044/2023_JSLHR-22-00318</w:t>
        </w:r>
      </w:hyperlink>
    </w:p>
    <w:bookmarkEnd w:id="42"/>
    <w:bookmarkStart w:id="44"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3">
        <w:r>
          <w:rPr>
            <w:rStyle w:val="Hyperlink"/>
          </w:rPr>
          <w:t xml:space="preserve">https://doi.org/10.1080/02699052.2023.2181401</w:t>
        </w:r>
      </w:hyperlink>
    </w:p>
    <w:bookmarkEnd w:id="44"/>
    <w:bookmarkStart w:id="46"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5">
        <w:r>
          <w:rPr>
            <w:rStyle w:val="Hyperlink"/>
          </w:rPr>
          <w:t xml:space="preserve">https://doi.org/10.1044/2023_JSLHR-23-00132</w:t>
        </w:r>
      </w:hyperlink>
    </w:p>
    <w:bookmarkEnd w:id="46"/>
    <w:bookmarkStart w:id="48"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47">
        <w:r>
          <w:rPr>
            <w:rStyle w:val="Hyperlink"/>
          </w:rPr>
          <w:t xml:space="preserve">https://doi.org/10.1214/24-STS927</w:t>
        </w:r>
      </w:hyperlink>
    </w:p>
    <w:bookmarkEnd w:id="48"/>
    <w:bookmarkStart w:id="50"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49">
        <w:r>
          <w:rPr>
            <w:rStyle w:val="Hyperlink"/>
          </w:rPr>
          <w:t xml:space="preserve">https://doi.org/10.1044/2022_JSLHR-22-00062</w:t>
        </w:r>
      </w:hyperlink>
    </w:p>
    <w:bookmarkEnd w:id="50"/>
    <w:bookmarkStart w:id="52"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1">
        <w:r>
          <w:rPr>
            <w:rStyle w:val="Hyperlink"/>
          </w:rPr>
          <w:t xml:space="preserve">https://doi.org/10.1016/j.jfludis.2020.105827</w:t>
        </w:r>
      </w:hyperlink>
    </w:p>
    <w:bookmarkEnd w:id="52"/>
    <w:bookmarkStart w:id="54"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3">
        <w:r>
          <w:rPr>
            <w:rStyle w:val="Hyperlink"/>
          </w:rPr>
          <w:t xml:space="preserve">https://doi.org/10.1044/2020_JSLHR-19-00299</w:t>
        </w:r>
      </w:hyperlink>
    </w:p>
    <w:bookmarkEnd w:id="54"/>
    <w:bookmarkStart w:id="56"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55">
        <w:r>
          <w:rPr>
            <w:rStyle w:val="Hyperlink"/>
          </w:rPr>
          <w:t xml:space="preserve">https://doi.org/10.1198/106186006X133933</w:t>
        </w:r>
      </w:hyperlink>
    </w:p>
    <w:bookmarkEnd w:id="56"/>
    <w:bookmarkStart w:id="58"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57">
        <w:r>
          <w:rPr>
            <w:rStyle w:val="Hyperlink"/>
          </w:rPr>
          <w:t xml:space="preserve">https://doi.org/10.2139/ssrn.2408030</w:t>
        </w:r>
      </w:hyperlink>
    </w:p>
    <w:bookmarkEnd w:id="58"/>
    <w:bookmarkStart w:id="60"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59">
        <w:r>
          <w:rPr>
            <w:rStyle w:val="Hyperlink"/>
          </w:rPr>
          <w:t xml:space="preserve">https://www.sciencedirect.com/science/article/pii/S0028393223001653</w:t>
        </w:r>
      </w:hyperlink>
    </w:p>
    <w:bookmarkEnd w:id="60"/>
    <w:bookmarkStart w:id="62"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61">
        <w:r>
          <w:rPr>
            <w:rStyle w:val="Hyperlink"/>
          </w:rPr>
          <w:t xml:space="preserve">https://doi.org/10.1044/2022_AJSLP-22-00003</w:t>
        </w:r>
      </w:hyperlink>
    </w:p>
    <w:bookmarkEnd w:id="62"/>
    <w:bookmarkStart w:id="64"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63">
        <w:r>
          <w:rPr>
            <w:rStyle w:val="Hyperlink"/>
          </w:rPr>
          <w:t xml:space="preserve">https://doi.org/10.7717/peerj.2530</w:t>
        </w:r>
      </w:hyperlink>
    </w:p>
    <w:bookmarkEnd w:id="64"/>
    <w:bookmarkStart w:id="66"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65">
        <w:r>
          <w:rPr>
            <w:rStyle w:val="Hyperlink"/>
          </w:rPr>
          <w:t xml:space="preserve">https://doi.org/10.18637/jss.v074.i11</w:t>
        </w:r>
      </w:hyperlink>
    </w:p>
    <w:bookmarkEnd w:id="66"/>
    <w:bookmarkStart w:id="68"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67">
        <w:r>
          <w:rPr>
            <w:rStyle w:val="Hyperlink"/>
          </w:rPr>
          <w:t xml:space="preserve">https://doi.org/10.31219/osf.io/9kxa7</w:t>
        </w:r>
      </w:hyperlink>
    </w:p>
    <w:bookmarkEnd w:id="68"/>
    <w:bookmarkStart w:id="70"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69">
        <w:r>
          <w:rPr>
            <w:rStyle w:val="Hyperlink"/>
          </w:rPr>
          <w:t xml:space="preserve">https://doi.org/10.7554/eLife.53275</w:t>
        </w:r>
      </w:hyperlink>
    </w:p>
    <w:bookmarkEnd w:id="70"/>
    <w:bookmarkStart w:id="72"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71">
        <w:r>
          <w:rPr>
            <w:rStyle w:val="Hyperlink"/>
          </w:rPr>
          <w:t xml:space="preserve">https://www.R-project.org/</w:t>
        </w:r>
      </w:hyperlink>
    </w:p>
    <w:bookmarkEnd w:id="72"/>
    <w:bookmarkStart w:id="74"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73">
        <w:r>
          <w:rPr>
            <w:rStyle w:val="Hyperlink"/>
          </w:rPr>
          <w:t xml:space="preserve">https://doi.org/10.1038/s41467-019-10933-3</w:t>
        </w:r>
      </w:hyperlink>
    </w:p>
    <w:bookmarkEnd w:id="74"/>
    <w:bookmarkStart w:id="75"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75"/>
    <w:bookmarkStart w:id="76"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76"/>
    <w:bookmarkStart w:id="78"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77">
        <w:r>
          <w:rPr>
            <w:rStyle w:val="Hyperlink"/>
          </w:rPr>
          <w:t xml:space="preserve">https://doi.org/10.1044/2022_JSLHR-22-00287</w:t>
        </w:r>
      </w:hyperlink>
    </w:p>
    <w:bookmarkEnd w:id="78"/>
    <w:bookmarkStart w:id="80"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79">
        <w:r>
          <w:rPr>
            <w:rStyle w:val="Hyperlink"/>
          </w:rPr>
          <w:t xml:space="preserve">https://doi.org/10.1136/bmjhci-2023-100771</w:t>
        </w:r>
      </w:hyperlink>
    </w:p>
    <w:bookmarkEnd w:id="80"/>
    <w:bookmarkStart w:id="82"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1">
        <w:r>
          <w:rPr>
            <w:rStyle w:val="Hyperlink"/>
          </w:rPr>
          <w:t xml:space="preserve">https://doi.org/10.21105/joss.01686</w:t>
        </w:r>
      </w:hyperlink>
    </w:p>
    <w:bookmarkEnd w:id="82"/>
    <w:bookmarkStart w:id="84"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83">
        <w:r>
          <w:rPr>
            <w:rStyle w:val="Hyperlink"/>
          </w:rPr>
          <w:t xml:space="preserve">https://doi.org/10.1038/sdata.2016.18</w:t>
        </w:r>
      </w:hyperlink>
    </w:p>
    <w:bookmarkEnd w:id="84"/>
    <w:bookmarkEnd w:id="85"/>
    <w:p>
      <w:r>
        <w:br w:type="page"/>
      </w:r>
    </w:p>
    <w:bookmarkEnd w:id="86"/>
    <w:bookmarkStart w:id="87"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 p-values in synthetic datasets across ASHA domains.</w:t>
      </w:r>
    </w:p>
    <w:p>
      <w:pPr>
        <w:pStyle w:val="noIndentParagraph"/>
      </w:pPr>
      <w:r>
        <w:rPr>
          <w:iCs/>
          <w:i/>
        </w:rPr>
        <w:t xml:space="preserve">Caption</w:t>
      </w:r>
      <w:r>
        <w:t xml:space="preserve">: Each panel displays the distribution of log-transformed p-values across 100 synthetic datasets for a given ASHA domain. The dashed line indicates the threshold for statistical significance from the original study. Shaded green areas indicate synthetic p-values that maintained the statistical inferential result of the original study. The mean difference and standard deviation of raw p-values compared to the p-value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The mean difference and standard deviation of the effect size compared to the result reported in the original study is shown below each panel’s title.</w:t>
      </w:r>
    </w:p>
    <w:bookmarkEnd w:id="87"/>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37" Target="https://doi.org/10.1007/s00455-022-10428-2" TargetMode="External" /><Relationship Type="http://schemas.openxmlformats.org/officeDocument/2006/relationships/hyperlink" Id="rId51" Target="https://doi.org/10.1016/j.jfludis.2020.105827" TargetMode="External" /><Relationship Type="http://schemas.openxmlformats.org/officeDocument/2006/relationships/hyperlink" Id="rId73" Target="https://doi.org/10.1038/s41467-019-10933-3" TargetMode="External" /><Relationship Type="http://schemas.openxmlformats.org/officeDocument/2006/relationships/hyperlink" Id="rId83" Target="https://doi.org/10.1038/sdata.2016.18" TargetMode="External" /><Relationship Type="http://schemas.openxmlformats.org/officeDocument/2006/relationships/hyperlink" Id="rId53" Target="https://doi.org/10.1044/2020_JSLHR-19-00299" TargetMode="External" /><Relationship Type="http://schemas.openxmlformats.org/officeDocument/2006/relationships/hyperlink" Id="rId61" Target="https://doi.org/10.1044/2022_AJSLP-22-00003" TargetMode="External" /><Relationship Type="http://schemas.openxmlformats.org/officeDocument/2006/relationships/hyperlink" Id="rId49" Target="https://doi.org/10.1044/2022_JSLHR-22-00062" TargetMode="External" /><Relationship Type="http://schemas.openxmlformats.org/officeDocument/2006/relationships/hyperlink" Id="rId77" Target="https://doi.org/10.1044/2022_JSLHR-22-00287" TargetMode="External" /><Relationship Type="http://schemas.openxmlformats.org/officeDocument/2006/relationships/hyperlink" Id="rId41" Target="https://doi.org/10.1044/2023_JSLHR-22-00318" TargetMode="External" /><Relationship Type="http://schemas.openxmlformats.org/officeDocument/2006/relationships/hyperlink" Id="rId45" Target="https://doi.org/10.1044/2023_JSLHR-23-00132" TargetMode="External" /><Relationship Type="http://schemas.openxmlformats.org/officeDocument/2006/relationships/hyperlink" Id="rId43" Target="https://doi.org/10.1080/02699052.2023.2181401" TargetMode="External" /><Relationship Type="http://schemas.openxmlformats.org/officeDocument/2006/relationships/hyperlink" Id="rId39" Target="https://doi.org/10.1080/10489223.2023.2262457" TargetMode="External" /><Relationship Type="http://schemas.openxmlformats.org/officeDocument/2006/relationships/hyperlink" Id="rId79" Target="https://doi.org/10.1136/bmjhci-2023-100771" TargetMode="External" /><Relationship Type="http://schemas.openxmlformats.org/officeDocument/2006/relationships/hyperlink" Id="rId55" Target="https://doi.org/10.1198/106186006X133933" TargetMode="External" /><Relationship Type="http://schemas.openxmlformats.org/officeDocument/2006/relationships/hyperlink" Id="rId47" Target="https://doi.org/10.1214/24-STS927" TargetMode="External" /><Relationship Type="http://schemas.openxmlformats.org/officeDocument/2006/relationships/hyperlink" Id="rId65" Target="https://doi.org/10.18637/jss.v074.i11" TargetMode="External" /><Relationship Type="http://schemas.openxmlformats.org/officeDocument/2006/relationships/hyperlink" Id="rId81" Target="https://doi.org/10.21105/joss.01686" TargetMode="External" /><Relationship Type="http://schemas.openxmlformats.org/officeDocument/2006/relationships/hyperlink" Id="rId57" Target="https://doi.org/10.2139/ssrn.2408030" TargetMode="External" /><Relationship Type="http://schemas.openxmlformats.org/officeDocument/2006/relationships/hyperlink" Id="rId67" Target="https://doi.org/10.31219/osf.io/9kxa7" TargetMode="External" /><Relationship Type="http://schemas.openxmlformats.org/officeDocument/2006/relationships/hyperlink" Id="rId35" Target="https://doi.org/10.31234/osf.io/veh7t" TargetMode="External" /><Relationship Type="http://schemas.openxmlformats.org/officeDocument/2006/relationships/hyperlink" Id="rId69" Target="https://doi.org/10.7554/eLife.53275" TargetMode="External" /><Relationship Type="http://schemas.openxmlformats.org/officeDocument/2006/relationships/hyperlink" Id="rId63" Target="https://doi.org/10.7717/peerj.2530" TargetMode="External" /><Relationship Type="http://schemas.openxmlformats.org/officeDocument/2006/relationships/hyperlink" Id="rId71" Target="https://www.R-project.org/" TargetMode="External" /><Relationship Type="http://schemas.openxmlformats.org/officeDocument/2006/relationships/hyperlink" Id="rId59"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7/s00455-022-10428-2" TargetMode="External" /><Relationship Type="http://schemas.openxmlformats.org/officeDocument/2006/relationships/hyperlink" Id="rId51" Target="https://doi.org/10.1016/j.jfludis.2020.105827" TargetMode="External" /><Relationship Type="http://schemas.openxmlformats.org/officeDocument/2006/relationships/hyperlink" Id="rId73" Target="https://doi.org/10.1038/s41467-019-10933-3" TargetMode="External" /><Relationship Type="http://schemas.openxmlformats.org/officeDocument/2006/relationships/hyperlink" Id="rId83" Target="https://doi.org/10.1038/sdata.2016.18" TargetMode="External" /><Relationship Type="http://schemas.openxmlformats.org/officeDocument/2006/relationships/hyperlink" Id="rId53" Target="https://doi.org/10.1044/2020_JSLHR-19-00299" TargetMode="External" /><Relationship Type="http://schemas.openxmlformats.org/officeDocument/2006/relationships/hyperlink" Id="rId61" Target="https://doi.org/10.1044/2022_AJSLP-22-00003" TargetMode="External" /><Relationship Type="http://schemas.openxmlformats.org/officeDocument/2006/relationships/hyperlink" Id="rId49" Target="https://doi.org/10.1044/2022_JSLHR-22-00062" TargetMode="External" /><Relationship Type="http://schemas.openxmlformats.org/officeDocument/2006/relationships/hyperlink" Id="rId77" Target="https://doi.org/10.1044/2022_JSLHR-22-00287" TargetMode="External" /><Relationship Type="http://schemas.openxmlformats.org/officeDocument/2006/relationships/hyperlink" Id="rId41" Target="https://doi.org/10.1044/2023_JSLHR-22-00318" TargetMode="External" /><Relationship Type="http://schemas.openxmlformats.org/officeDocument/2006/relationships/hyperlink" Id="rId45" Target="https://doi.org/10.1044/2023_JSLHR-23-00132" TargetMode="External" /><Relationship Type="http://schemas.openxmlformats.org/officeDocument/2006/relationships/hyperlink" Id="rId43" Target="https://doi.org/10.1080/02699052.2023.2181401" TargetMode="External" /><Relationship Type="http://schemas.openxmlformats.org/officeDocument/2006/relationships/hyperlink" Id="rId39" Target="https://doi.org/10.1080/10489223.2023.2262457" TargetMode="External" /><Relationship Type="http://schemas.openxmlformats.org/officeDocument/2006/relationships/hyperlink" Id="rId79" Target="https://doi.org/10.1136/bmjhci-2023-100771" TargetMode="External" /><Relationship Type="http://schemas.openxmlformats.org/officeDocument/2006/relationships/hyperlink" Id="rId55" Target="https://doi.org/10.1198/106186006X133933" TargetMode="External" /><Relationship Type="http://schemas.openxmlformats.org/officeDocument/2006/relationships/hyperlink" Id="rId47" Target="https://doi.org/10.1214/24-STS927" TargetMode="External" /><Relationship Type="http://schemas.openxmlformats.org/officeDocument/2006/relationships/hyperlink" Id="rId65" Target="https://doi.org/10.18637/jss.v074.i11" TargetMode="External" /><Relationship Type="http://schemas.openxmlformats.org/officeDocument/2006/relationships/hyperlink" Id="rId81" Target="https://doi.org/10.21105/joss.01686" TargetMode="External" /><Relationship Type="http://schemas.openxmlformats.org/officeDocument/2006/relationships/hyperlink" Id="rId57" Target="https://doi.org/10.2139/ssrn.2408030" TargetMode="External" /><Relationship Type="http://schemas.openxmlformats.org/officeDocument/2006/relationships/hyperlink" Id="rId67" Target="https://doi.org/10.31219/osf.io/9kxa7" TargetMode="External" /><Relationship Type="http://schemas.openxmlformats.org/officeDocument/2006/relationships/hyperlink" Id="rId35" Target="https://doi.org/10.31234/osf.io/veh7t" TargetMode="External" /><Relationship Type="http://schemas.openxmlformats.org/officeDocument/2006/relationships/hyperlink" Id="rId69" Target="https://doi.org/10.7554/eLife.53275" TargetMode="External" /><Relationship Type="http://schemas.openxmlformats.org/officeDocument/2006/relationships/hyperlink" Id="rId63" Target="https://doi.org/10.7717/peerj.2530" TargetMode="External" /><Relationship Type="http://schemas.openxmlformats.org/officeDocument/2006/relationships/hyperlink" Id="rId71" Target="https://www.R-project.org/" TargetMode="External" /><Relationship Type="http://schemas.openxmlformats.org/officeDocument/2006/relationships/hyperlink" Id="rId59"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2024-08-20T21:01:29Z</dcterms:created>
  <dcterms:modified xsi:type="dcterms:W3CDTF">2024-08-20T21:01:29Z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