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Human Research Ethics Committee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The study preregistration (https://osf.io/vhgq2) and associated data and analysis scripts (https://osf.io/yhkqf/) are publicly available on the Open Science Framework.</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 American Speech-Language-Hearing Association (ASHA)</w:t>
      </w:r>
      <w:r>
        <w:t xml:space="preserve"> </w:t>
      </w:r>
      <w:r>
        <w:t xml:space="preserve">‘</w:t>
      </w:r>
      <w:r>
        <w:t xml:space="preserve">Big Nine</w:t>
      </w:r>
      <w:r>
        <w:t xml:space="preserve">’</w:t>
      </w:r>
      <w:r>
        <w:t xml:space="preserve"> </w:t>
      </w:r>
      <w:r>
        <w:t xml:space="preserve">domains.</w:t>
      </w:r>
    </w:p>
    <w:p>
      <w:pPr>
        <w:pStyle w:val="noIndentParagraph"/>
      </w:pPr>
      <w:r>
        <w:rPr>
          <w:bCs/>
          <w:b/>
        </w:rPr>
        <w:t xml:space="preserve">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Inferential statistics (</w:t>
      </w:r>
      <w:r>
        <w:rPr>
          <w:iCs/>
          <w:i/>
        </w:rPr>
        <w:t xml:space="preserve">p</w:t>
      </w:r>
      <w:r>
        <w:t xml:space="preserve">-values) and effect sizes from synthetic datasets were compared to those from the original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pPr>
        <w:pStyle w:val="noIndentParagraph"/>
      </w:pPr>
      <w:r>
        <w:rPr>
          <w:bCs/>
          <w:b/>
        </w:rPr>
        <w:t xml:space="preserve">Conclusion</w:t>
      </w:r>
      <w:r>
        <w:t xml:space="preserve">: Findings suggest that synthetic data can effectively maintain statistical properties and relationships across a wide range of data commonly seen in the field of CSD. While some studies with fewer observations than recommended (i.e., n &lt; 130) showed lower agreement and greater variability in</w:t>
      </w:r>
      <w:r>
        <w:t xml:space="preserve"> </w:t>
      </w:r>
      <w:r>
        <w:rPr>
          <w:iCs/>
          <w:i/>
        </w:rPr>
        <w:t xml:space="preserve">p</w:t>
      </w:r>
      <w:r>
        <w:t xml:space="preserve">-values and effect size estimates, this was not consistently appreciated. Therefore, researchers who use synthetic data should assess its stability in preserving their results. This study concludes with a general framework on sharing open data to facilitate computational reproducibility and foster a cumulative science in the field of CSD.</w:t>
      </w:r>
    </w:p>
    <w:bookmarkEnd w:id="20"/>
    <w:p>
      <w:r>
        <w:br w:type="page"/>
      </w:r>
    </w:p>
    <w:bookmarkStart w:id="22"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w:t>
      </w:r>
    </w:p>
    <w:p>
      <w:pPr>
        <w:pStyle w:val="BodyText"/>
      </w:pPr>
      <w:r>
        <w:t xml:space="preserve">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 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w:t>
      </w:r>
    </w:p>
    <w:p>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misconception is that open data refers solely to sharing raw data (e.g., audio recordings, videos, MRI data)</w:t>
      </w:r>
      <w:r>
        <w:t xml:space="preserve"> </w:t>
      </w:r>
      <w:r>
        <w:t xml:space="preserve">(Pfeiffer et al., 2024)</w:t>
      </w:r>
      <w:r>
        <w:t xml:space="preserve">.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bookmarkStart w:id="21" w:name="table-1-here."/>
    <w:p>
      <w:pPr>
        <w:pStyle w:val="Heading5"/>
      </w:pPr>
      <w:r>
        <w:t xml:space="preserve">Table 1 here.</w:t>
      </w:r>
    </w:p>
    <w:p>
      <w:pPr>
        <w:pStyle w:val="FirstParagraph"/>
      </w:pPr>
      <w:r>
        <w:t xml:space="preserve">Both individual and system-level barriers hinder data sharing, including a lack of time, knowledge, support from colleagues, and perceived incentives</w:t>
      </w:r>
      <w:r>
        <w:t xml:space="preserve"> </w:t>
      </w:r>
      <w:r>
        <w:t xml:space="preserve">(Pfeiffer et al., 2024)</w:t>
      </w:r>
      <w:r>
        <w:t xml:space="preserve">.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w:t>
      </w:r>
      <w:r>
        <w:t xml:space="preserve"> </w:t>
      </w:r>
      <w:r>
        <w:t xml:space="preserve">(Rocher et al., 2019)</w:t>
      </w:r>
      <w:r>
        <w:t xml:space="preserve">. Therefore, although sharing de-identified analysis data is the minimum requirement for ensuring computational reproducibility and promoting cumulative science, concerns about privacy and confidentiality may persist.</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first proposed more than 30 years ago</w:t>
      </w:r>
      <w:r>
        <w:t xml:space="preserve"> </w:t>
      </w:r>
      <w:r>
        <w:t xml:space="preserve">(Rubin, 1993)</w:t>
      </w:r>
      <w:r>
        <w:t xml:space="preserve">, recent analytic and software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hypothesized that synthetic datasets would maintain the statistical properties and relationships (i.e.,</w:t>
      </w:r>
      <w:r>
        <w:t xml:space="preserve"> </w:t>
      </w:r>
      <w:r>
        <w:rPr>
          <w:iCs/>
          <w:i/>
        </w:rPr>
        <w:t xml:space="preserve">p</w:t>
      </w:r>
      <w:r>
        <w:t xml:space="preserve">-value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bookmarkEnd w:id="21"/>
    <w:bookmarkEnd w:id="22"/>
    <w:bookmarkStart w:id="27" w:name="method"/>
    <w:p>
      <w:pPr>
        <w:pStyle w:val="Heading1"/>
      </w:pPr>
      <w:r>
        <w:t xml:space="preserve">Method</w:t>
      </w:r>
    </w:p>
    <w:bookmarkStart w:id="24"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2 provides a description of the population, analysis, and open materials for each study.</w:t>
      </w:r>
    </w:p>
    <w:bookmarkStart w:id="23" w:name="table-2-here."/>
    <w:p>
      <w:pPr>
        <w:pStyle w:val="Heading5"/>
      </w:pPr>
      <w:r>
        <w:t xml:space="preserve">Table 2 here.</w:t>
      </w:r>
    </w:p>
    <w:bookmarkEnd w:id="23"/>
    <w:bookmarkEnd w:id="24"/>
    <w:bookmarkStart w:id="26"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w:t>
      </w:r>
      <w:r>
        <w:t xml:space="preserve"> </w:t>
      </w:r>
      <w:r>
        <w:rPr>
          <w:iCs/>
          <w:i/>
        </w:rPr>
        <w:t xml:space="preserve">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based on conventional thresholds (e.g., a</w:t>
      </w:r>
      <w:r>
        <w:t xml:space="preserve"> </w:t>
      </w:r>
      <w:r>
        <w:t xml:space="preserve">‘</w:t>
      </w:r>
      <w:r>
        <w:t xml:space="preserve">medium</w:t>
      </w:r>
      <w:r>
        <w:t xml:space="preserve">’</w:t>
      </w:r>
      <w:r>
        <w:t xml:space="preserve"> </w:t>
      </w:r>
      <w:r>
        <w:t xml:space="preserve">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t>
      </w:r>
    </w:p>
    <w:bookmarkStart w:id="25" w:name="table-3-here."/>
    <w:p>
      <w:pPr>
        <w:pStyle w:val="Heading5"/>
      </w:pPr>
      <w:r>
        <w:t xml:space="preserve">Table 3 here.</w:t>
      </w:r>
    </w:p>
    <w:p>
      <w:pPr>
        <w:pStyle w:val="FirstParagraph"/>
      </w:pPr>
      <w:r>
        <w:t xml:space="preserve">In addition to these inferential comparisons, we provide a brief tutorial to guide the reader through the required steps to generate synthetic data.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no statistically significant difference between the synthetic and original dataset.</w:t>
      </w:r>
    </w:p>
    <w:bookmarkEnd w:id="25"/>
    <w:bookmarkEnd w:id="26"/>
    <w:bookmarkEnd w:id="27"/>
    <w:bookmarkStart w:id="36" w:name="results"/>
    <w:p>
      <w:pPr>
        <w:pStyle w:val="Heading1"/>
      </w:pPr>
      <w:r>
        <w:t xml:space="preserve">Results</w:t>
      </w:r>
    </w:p>
    <w:p>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To reproduce the tutorial code only, open the file called</w:t>
      </w:r>
      <w:r>
        <w:t xml:space="preserve"> </w:t>
      </w:r>
      <w:r>
        <w:rPr>
          <w:iCs/>
          <w:i/>
        </w:rPr>
        <w:t xml:space="preserve">tutorial_script.R</w:t>
      </w:r>
      <w:r>
        <w:t xml:space="preserve">. To reproduce the manuscript, open the file called</w:t>
      </w:r>
      <w:r>
        <w:t xml:space="preserve"> </w:t>
      </w:r>
      <w:r>
        <w:rPr>
          <w:iCs/>
          <w:i/>
        </w:rPr>
        <w:t xml:space="preserve">synthetic_manuscript.qmd</w:t>
      </w:r>
      <w:r>
        <w:t xml:space="preserve">.</w:t>
      </w:r>
    </w:p>
    <w:bookmarkStart w:id="29"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data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this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bookmarkStart w:id="28" w:name="figure-1-here."/>
    <w:p>
      <w:pPr>
        <w:pStyle w:val="Heading5"/>
      </w:pPr>
      <w:r>
        <w:t xml:space="preserve">Figure 1 here.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bookmarkEnd w:id="28"/>
    <w:bookmarkEnd w:id="29"/>
    <w:bookmarkStart w:id="31"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3).</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 extract the dataset, and convert it to a dataframe.</w:t>
      </w:r>
      <w:r>
        <w:t xml:space="preserve"> </w:t>
      </w:r>
      <w:r>
        <w:rPr>
          <w:iCs/>
          <w:i/>
        </w:rPr>
        <w:t xml:space="preserve">Synthpop</w:t>
      </w:r>
      <w:r>
        <w:t xml:space="preserve"> </w:t>
      </w:r>
      <w:r>
        <w:t xml:space="preserve">provides a warning message that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bookmarkStart w:id="30" w:name="figure-2-here."/>
    <w:p>
      <w:pPr>
        <w:pStyle w:val="Heading5"/>
      </w:pPr>
      <w:r>
        <w:t xml:space="preserve">Figure 2 here.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30"/>
    <w:bookmarkEnd w:id="31"/>
    <w:bookmarkStart w:id="35"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32" w:name="figure-3-here."/>
    <w:p>
      <w:pPr>
        <w:pStyle w:val="Heading5"/>
      </w:pPr>
      <w:r>
        <w:t xml:space="preserve">Figure 3 here.</w:t>
      </w:r>
    </w:p>
    <w:bookmarkEnd w:id="32"/>
    <w:bookmarkStart w:id="33" w:name="figure-4-here."/>
    <w:p>
      <w:pPr>
        <w:pStyle w:val="Heading5"/>
      </w:pPr>
      <w:r>
        <w:t xml:space="preserve">Figure 4 here.</w:t>
      </w:r>
    </w:p>
    <w:bookmarkEnd w:id="33"/>
    <w:bookmarkStart w:id="34" w:name="table-4-here."/>
    <w:p>
      <w:pPr>
        <w:pStyle w:val="Heading5"/>
      </w:pPr>
      <w:r>
        <w:t xml:space="preserve">Table 4 here.</w:t>
      </w:r>
    </w:p>
    <w:bookmarkEnd w:id="34"/>
    <w:bookmarkEnd w:id="35"/>
    <w:bookmarkEnd w:id="36"/>
    <w:bookmarkStart w:id="43"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 to preserve participant confidentiality when sharing data.</w:t>
      </w:r>
    </w:p>
    <w:p>
      <w:pPr>
        <w:pStyle w:val="BodyText"/>
      </w:pPr>
      <w:r>
        <w:t xml:space="preserve">One key finding is that lower agreement between synthetic and original datasets was not attributed to sample size, despite the</w:t>
      </w:r>
      <w:r>
        <w:t xml:space="preserve"> </w:t>
      </w:r>
      <w:r>
        <w:rPr>
          <w:iCs/>
          <w:i/>
        </w:rPr>
        <w:t xml:space="preserve">synthpop</w:t>
      </w:r>
      <w:r>
        <w:t xml:space="preserve"> </w:t>
      </w:r>
      <w:r>
        <w:t xml:space="preserve">package’s recommendation of a minimum of 130 observations for generating synthetic datasets</w:t>
      </w:r>
      <w:r>
        <w:t xml:space="preserve"> </w:t>
      </w:r>
      <w:r>
        <w:t xml:space="preserve">(Nowok et al., 2016)</w:t>
      </w:r>
      <w:r>
        <w:t xml:space="preserve">. For example, in the original study from the cognition domain, which included over 8,000 observations, only 35% of synthetic datasets maintained the same inferential result as the original dataset. Instead,</w:t>
      </w:r>
      <w:r>
        <w:t xml:space="preserve"> </w:t>
      </w:r>
      <w:r>
        <w:rPr>
          <w:iCs/>
          <w:i/>
        </w:rPr>
        <w:t xml:space="preserve">p</w:t>
      </w:r>
      <w:r>
        <w:t xml:space="preserve">-value and effect size agreement between the synthetic and original datasets was influenced by the original data’s proximity to the statistical significance or effect size thresholds. For example, the original cognition study reported a</w:t>
      </w:r>
      <w:r>
        <w:t xml:space="preserve"> </w:t>
      </w:r>
      <w:r>
        <w:rPr>
          <w:iCs/>
          <w:i/>
        </w:rPr>
        <w:t xml:space="preserve">p</w:t>
      </w:r>
      <w:r>
        <w:t xml:space="preserve">-value of .013, resulting in a 35% agreement rate for synthetic datasets. Conversely, studies that reported an original</w:t>
      </w:r>
      <w:r>
        <w:t xml:space="preserve"> </w:t>
      </w:r>
      <w:r>
        <w:rPr>
          <w:iCs/>
          <w:i/>
        </w:rPr>
        <w:t xml:space="preserve">p</w:t>
      </w:r>
      <w:r>
        <w:t xml:space="preserve">-value of &lt;.001 showed a</w:t>
      </w:r>
      <w:r>
        <w:t xml:space="preserve"> </w:t>
      </w:r>
      <w:r>
        <w:rPr>
          <w:iCs/>
          <w:i/>
        </w:rPr>
        <w:t xml:space="preserve">p</w:t>
      </w:r>
      <w:r>
        <w:t xml:space="preserve">-value agreement rate of 97-100%, with the exception of the articulation study, which had a</w:t>
      </w:r>
      <w:r>
        <w:t xml:space="preserve"> </w:t>
      </w:r>
      <w:r>
        <w:rPr>
          <w:iCs/>
          <w:i/>
        </w:rPr>
        <w:t xml:space="preserve">p</w:t>
      </w:r>
      <w:r>
        <w:t xml:space="preserve">-value agreement of 71%.</w:t>
      </w:r>
    </w:p>
    <w:p>
      <w:pPr>
        <w:pStyle w:val="BodyText"/>
      </w:pPr>
      <w:r>
        <w:t xml:space="preserve">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pPr>
        <w:pStyle w:val="BodyText"/>
      </w:pPr>
      <w:r>
        <w:t xml:space="preserve">This study is not without limitations. We used predetermined thresholds (e.g.,</w:t>
      </w:r>
      <w:r>
        <w:t xml:space="preserve"> </w:t>
      </w:r>
      <w:r>
        <w:t xml:space="preserve">‘</w:t>
      </w:r>
      <w:r>
        <w:t xml:space="preserve">significant</w:t>
      </w:r>
      <w:r>
        <w:t xml:space="preserve">’</w:t>
      </w:r>
      <w:r>
        <w:t xml:space="preserve"> </w:t>
      </w:r>
      <w:r>
        <w:rPr>
          <w:iCs/>
          <w:i/>
        </w:rPr>
        <w:t xml:space="preserve">p</w:t>
      </w:r>
      <w:r>
        <w:t xml:space="preserve">-values and effect size categories) to evaluate whether synthetic data maintained the relationships observed in the original study. When the original analyses had</w:t>
      </w:r>
      <w:r>
        <w:t xml:space="preserve"> </w:t>
      </w:r>
      <w:r>
        <w:rPr>
          <w:iCs/>
          <w:i/>
        </w:rPr>
        <w:t xml:space="preserve">p</w:t>
      </w:r>
      <w:r>
        <w:t xml:space="preserve">-values near the threshold for significance (e.g., .01 &lt;</w:t>
      </w:r>
      <w:r>
        <w:t xml:space="preserve"> </w:t>
      </w:r>
      <w:r>
        <w:rPr>
          <w:iCs/>
          <w:i/>
        </w:rPr>
        <w:t xml:space="preserve">p</w:t>
      </w:r>
      <w:r>
        <w:t xml:space="preserve"> </w:t>
      </w:r>
      <w:r>
        <w:t xml:space="preserve">&lt;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bookmarkStart w:id="40" w:name="data-sharing-framework"/>
    <w:p>
      <w:pPr>
        <w:pStyle w:val="Heading2"/>
      </w:pPr>
      <w:r>
        <w:t xml:space="preserve">Data Sharing Framework</w:t>
      </w:r>
    </w:p>
    <w:p>
      <w:pPr>
        <w:pStyle w:val="FirstParagraph"/>
      </w:pPr>
      <w:r>
        <w:t xml:space="preserve">In this framework, we aim to empower researchers who may feel uncertain or unmotivated to consider data sharing for their current or future work. We begin by examining the scientific and ethical implications of closed data, followed by an evaluation of the commonly used</w:t>
      </w:r>
      <w:r>
        <w:t xml:space="preserve"> </w:t>
      </w:r>
      <w:r>
        <w:t xml:space="preserve">“</w:t>
      </w:r>
      <w:r>
        <w:t xml:space="preserve">available upon request</w:t>
      </w:r>
      <w:r>
        <w:t xml:space="preserve">”</w:t>
      </w:r>
      <w:r>
        <w:t xml:space="preserve"> </w:t>
      </w:r>
      <w:r>
        <w:t xml:space="preserve">approach to data sharing, which we argue is insufficient. Finally, we outline the benefits of open data practices, emphasizing that sharing different types of data (raw, intermediate, analysis, and synthetic) can offer various levels of utility and impact.</w:t>
      </w:r>
    </w:p>
    <w:bookmarkStart w:id="37" w:name="Xab928a19799f2f80d25ac5e085a1a3eb4c1b68a"/>
    <w:p>
      <w:pPr>
        <w:pStyle w:val="Heading3"/>
      </w:pPr>
      <w:r>
        <w:t xml:space="preserve">Ethical and Scientific Need for Open Data</w:t>
      </w:r>
    </w:p>
    <w:p>
      <w:pPr>
        <w:pStyle w:val="FirstParagraph"/>
      </w:pPr>
      <w:r>
        <w:t xml:space="preserve">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w:t>
      </w:r>
      <w:r>
        <w:t xml:space="preserve"> </w:t>
      </w:r>
      <w:r>
        <w:t xml:space="preserve">“</w:t>
      </w:r>
      <w:r>
        <w:t xml:space="preserve">I signed up because this study might be able to help future patients in my situation</w:t>
      </w:r>
      <w:r>
        <w:t xml:space="preserve">”</w:t>
      </w:r>
      <w:r>
        <w:t xml:space="preserve">)</w:t>
      </w:r>
      <w:r>
        <w:t xml:space="preserve"> </w:t>
      </w:r>
      <w:r>
        <w:t xml:space="preserve">(Soule MD et al., 2016)</w:t>
      </w:r>
      <w:r>
        <w:t xml:space="preserve">. Thus, it is essential that researchers ensure participants’ data is fully utilized to benefit future patients, clinical outcomes, and scientific knowledge.</w:t>
      </w:r>
    </w:p>
    <w:p>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pPr>
        <w:pStyle w:val="BodyText"/>
      </w:pPr>
      <w:r>
        <w:t xml:space="preserve">Researchers conducting publicly funded studies are also ethically obligated to return data to the public that financed their research, a responsibility increasingly emphasized by funding agencies such as the National Institutes of Health and the National Science Foundation</w:t>
      </w:r>
      <w:r>
        <w:t xml:space="preserve"> </w:t>
      </w:r>
      <w:r>
        <w:t xml:space="preserve">(Watson et al., 2023; Wilkinson et al., 2016)</w:t>
      </w:r>
      <w:r>
        <w:t xml:space="preserve">.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pPr>
        <w:pStyle w:val="BodyText"/>
      </w:pPr>
      <w:r>
        <w:t xml:space="preserve">Although some researchers may consider data availability statements like</w:t>
      </w:r>
      <w:r>
        <w:t xml:space="preserve"> </w:t>
      </w:r>
      <w:r>
        <w:t xml:space="preserve">“</w:t>
      </w:r>
      <w:r>
        <w:t xml:space="preserve">available upon reasonable request</w:t>
      </w:r>
      <w:r>
        <w:t xml:space="preserve">”</w:t>
      </w:r>
      <w:r>
        <w:t xml:space="preserve"> </w:t>
      </w:r>
      <w:r>
        <w:t xml:space="preserve">as a step toward data sharing, recent research has shown poor compliance with less than half of studies providing requested data</w:t>
      </w:r>
      <w:r>
        <w:t xml:space="preserve"> </w:t>
      </w:r>
      <w:r>
        <w:t xml:space="preserve">(Tedersoo et al., 2021)</w:t>
      </w:r>
      <w:r>
        <w:t xml:space="preserve">.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bookmarkEnd w:id="37"/>
    <w:bookmarkStart w:id="39" w:name="benefits-of-open-data"/>
    <w:p>
      <w:pPr>
        <w:pStyle w:val="Heading3"/>
      </w:pPr>
      <w:r>
        <w:t xml:space="preserve">Benefits of Open Data</w:t>
      </w:r>
    </w:p>
    <w:p>
      <w:pPr>
        <w:pStyle w:val="FirstParagraph"/>
      </w:pPr>
      <w:r>
        <w:t xml:space="preserve">Open data offers substantial benefits for both the scientific community and researcher. For example, studies show that openly shared data is associated with higher citation rates for the original work</w:t>
      </w:r>
      <w:r>
        <w:t xml:space="preserve"> </w:t>
      </w:r>
      <w:r>
        <w:t xml:space="preserve">(Drachen et al., 2016; Piwowar et al., 2007; Piwowar &amp; Vision, 2013)</w:t>
      </w:r>
      <w:r>
        <w:t xml:space="preserve">.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w:t>
      </w:r>
      <w:r>
        <w:t xml:space="preserve"> </w:t>
      </w:r>
      <w:r>
        <w:t xml:space="preserve">(Ohmann et al., 2017)</w:t>
      </w:r>
      <w:r>
        <w:t xml:space="preserve">. Different types of data can be shared, including raw, intermediate, analysis, and synthetic data (Table 1), each providing varying levels of utility and benefit.</w:t>
      </w:r>
    </w:p>
    <w:bookmarkStart w:id="38" w:name="figure-5-here."/>
    <w:p>
      <w:pPr>
        <w:pStyle w:val="Heading5"/>
      </w:pPr>
      <w:r>
        <w:t xml:space="preserve">Figure 5 here.</w:t>
      </w:r>
    </w:p>
    <w:p>
      <w:pPr>
        <w:pStyle w:val="FirstParagraph"/>
      </w:pPr>
      <w:r>
        <w:rPr>
          <w:bCs/>
          <w:b/>
        </w:rPr>
        <w:t xml:space="preserve">Analysis Data.</w:t>
      </w:r>
      <w:r>
        <w:t xml:space="preserve"> </w:t>
      </w:r>
      <w:r>
        <w:t xml:space="preserve">Sharing analysis data enables others to verify results during peer review or post-publication, promoting a more transparent and reliable scientific record. This practice also allows science to be self-correcting</w:t>
      </w:r>
      <w:r>
        <w:t xml:space="preserve"> </w:t>
      </w:r>
      <w:r>
        <w:t xml:space="preserve">(Vazire &amp; Holcombe, 2022)</w:t>
      </w:r>
      <w:r>
        <w:t xml:space="preserve">.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w:t>
      </w:r>
      <w:r>
        <w:t xml:space="preserve"> </w:t>
      </w:r>
      <w:r>
        <w:t xml:space="preserve">(Eisenhauer, 2021; Yu &amp; Romero, 2024)</w:t>
      </w:r>
      <w:r>
        <w:t xml:space="preserve"> </w:t>
      </w:r>
      <w:r>
        <w:t xml:space="preserve">and conclusions</w:t>
      </w:r>
      <w:r>
        <w:t xml:space="preserve"> </w:t>
      </w:r>
      <w:r>
        <w:t xml:space="preserve">(Chow et al., 2023)</w:t>
      </w:r>
      <w:r>
        <w:t xml:space="preserve">, which is especially valuable for studying low-incidence populations in fields like CSD.</w:t>
      </w:r>
    </w:p>
    <w:p>
      <w:pPr>
        <w:pStyle w:val="BodyText"/>
      </w:pPr>
      <w:r>
        <w:rPr>
          <w:bCs/>
          <w:b/>
        </w:rPr>
        <w:t xml:space="preserve">Raw or Intermediate Data.</w:t>
      </w:r>
      <w:r>
        <w:t xml:space="preserve"> </w:t>
      </w:r>
      <w:r>
        <w:t xml:space="preserve">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pPr>
        <w:pStyle w:val="BodyText"/>
      </w:pPr>
      <w:r>
        <w:rPr>
          <w:bCs/>
          <w:b/>
        </w:rPr>
        <w:t xml:space="preserve">Synthetic Data.</w:t>
      </w:r>
      <w:r>
        <w:t xml:space="preserve"> </w:t>
      </w:r>
      <w:r>
        <w:t xml:space="preserve">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w:t>
      </w:r>
      <w:r>
        <w:t xml:space="preserve"> </w:t>
      </w:r>
      <w:r>
        <w:rPr>
          <w:iCs/>
          <w:i/>
        </w:rPr>
        <w:t xml:space="preserve">synthpop</w:t>
      </w:r>
      <w:r>
        <w:t xml:space="preserve"> </w:t>
      </w:r>
      <w:r>
        <w:t xml:space="preserve">package in R across a wide range of datasets in the field of CSD. Recognizing that coding expertise may be a barrier for some researchers, we have also developed a free Shiny website that interfaces with</w:t>
      </w:r>
      <w:r>
        <w:t xml:space="preserve"> </w:t>
      </w:r>
      <w:r>
        <w:rPr>
          <w:iCs/>
          <w:i/>
        </w:rPr>
        <w:t xml:space="preserve">synthpop</w:t>
      </w:r>
      <w:r>
        <w:t xml:space="preserve">, allowing researchers to easily generate synthetic versions of their data (https://csdsynthetic.shinyapps.io/synthetic_data_generation/).</w:t>
      </w:r>
    </w:p>
    <w:bookmarkEnd w:id="38"/>
    <w:bookmarkEnd w:id="39"/>
    <w:bookmarkEnd w:id="40"/>
    <w:bookmarkStart w:id="41" w:name="moving-forward"/>
    <w:p>
      <w:pPr>
        <w:pStyle w:val="Heading2"/>
      </w:pPr>
      <w:r>
        <w:t xml:space="preserve">Moving Forward</w:t>
      </w:r>
    </w:p>
    <w:p>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w:t>
      </w:r>
      <w:r>
        <w:t xml:space="preserve"> </w:t>
      </w:r>
      <w:r>
        <w:t xml:space="preserve">(Lewis, 2024)</w:t>
      </w:r>
      <w:r>
        <w:t xml:space="preserve">.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bookmarkEnd w:id="41"/>
    <w:bookmarkStart w:id="42" w:name="conclusions"/>
    <w:p>
      <w:pPr>
        <w:pStyle w:val="Heading2"/>
      </w:pPr>
      <w:r>
        <w:t xml:space="preserve">Conclusions</w:t>
      </w:r>
    </w:p>
    <w:p>
      <w:pPr>
        <w:pStyle w:val="FirstParagraph"/>
      </w:pPr>
      <w:r>
        <w:t xml:space="preserve">This study assessed the utility of the</w:t>
      </w:r>
      <w:r>
        <w:t xml:space="preserve"> </w:t>
      </w:r>
      <w:r>
        <w:rPr>
          <w:iCs/>
          <w:i/>
        </w:rPr>
        <w:t xml:space="preserve">synthpop</w:t>
      </w:r>
      <w:r>
        <w:t xml:space="preserve"> </w:t>
      </w:r>
      <w:r>
        <w:t xml:space="preserve">package in R for generating synthetic data in situations where sharing original data poses risks of participant re-identification. We demonstrated that synthetic data can be effectively applied across various data types and research areas within the CSD field. In most cases, the synthetic data closely matched the</w:t>
      </w:r>
      <w:r>
        <w:t xml:space="preserve"> </w:t>
      </w:r>
      <w:r>
        <w:rPr>
          <w:iCs/>
          <w:i/>
        </w:rPr>
        <w:t xml:space="preserve">p</w:t>
      </w:r>
      <w:r>
        <w:t xml:space="preserve">-values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r>
        <w:br w:type="page"/>
      </w:r>
    </w:p>
    <w:bookmarkEnd w:id="42"/>
    <w:bookmarkEnd w:id="43"/>
    <w:bookmarkStart w:id="44"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44"/>
    <w:bookmarkStart w:id="120" w:name="references"/>
    <w:p>
      <w:pPr>
        <w:pStyle w:val="Heading1"/>
      </w:pPr>
      <w:r>
        <w:t xml:space="preserve">References</w:t>
      </w:r>
    </w:p>
    <w:bookmarkStart w:id="119" w:name="refs"/>
    <w:bookmarkStart w:id="46"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45">
        <w:r>
          <w:rPr>
            <w:rStyle w:val="Hyperlink"/>
          </w:rPr>
          <w:t xml:space="preserve">https://doi.org/10.31234/osf.io/veh7t</w:t>
        </w:r>
      </w:hyperlink>
    </w:p>
    <w:bookmarkEnd w:id="46"/>
    <w:bookmarkStart w:id="48"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47">
        <w:r>
          <w:rPr>
            <w:rStyle w:val="Hyperlink"/>
          </w:rPr>
          <w:t xml:space="preserve">https://doi.org/10.1007/s00455-022-10428-2</w:t>
        </w:r>
      </w:hyperlink>
    </w:p>
    <w:bookmarkEnd w:id="48"/>
    <w:bookmarkStart w:id="50"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9">
        <w:r>
          <w:rPr>
            <w:rStyle w:val="Hyperlink"/>
          </w:rPr>
          <w:t xml:space="preserve">https://doi.org/10.1080/10489223.2023.2262457</w:t>
        </w:r>
      </w:hyperlink>
    </w:p>
    <w:bookmarkEnd w:id="50"/>
    <w:bookmarkStart w:id="52"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51">
        <w:r>
          <w:rPr>
            <w:rStyle w:val="Hyperlink"/>
          </w:rPr>
          <w:t xml:space="preserve">https://doi.org/10.1044/2023_JSLHR-22-00318</w:t>
        </w:r>
      </w:hyperlink>
    </w:p>
    <w:bookmarkEnd w:id="52"/>
    <w:bookmarkStart w:id="54"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53">
        <w:r>
          <w:rPr>
            <w:rStyle w:val="Hyperlink"/>
          </w:rPr>
          <w:t xml:space="preserve">https://doi.org/10.1080/02699052.2023.2181401</w:t>
        </w:r>
      </w:hyperlink>
    </w:p>
    <w:bookmarkEnd w:id="54"/>
    <w:bookmarkStart w:id="56"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55">
        <w:r>
          <w:rPr>
            <w:rStyle w:val="Hyperlink"/>
          </w:rPr>
          <w:t xml:space="preserve">https://doi.org/10.1044/2023_JSLHR-23-00132</w:t>
        </w:r>
      </w:hyperlink>
    </w:p>
    <w:bookmarkEnd w:id="56"/>
    <w:bookmarkStart w:id="58" w:name="ref-drachen_etal16"/>
    <w:p>
      <w:pPr>
        <w:pStyle w:val="Bibliography"/>
      </w:pPr>
      <w:r>
        <w:t xml:space="preserve">Drachen, T. M., Ellegaard, O., Larsen, A. V., &amp; Dorch, S. B. F. (2016). Sharing data increases citations.</w:t>
      </w:r>
      <w:r>
        <w:t xml:space="preserve"> </w:t>
      </w:r>
      <w:r>
        <w:rPr>
          <w:iCs/>
          <w:i/>
        </w:rPr>
        <w:t xml:space="preserve">LIBER Quarterly: The Journal of the Association of European Research Libraries</w:t>
      </w:r>
      <w:r>
        <w:t xml:space="preserve">,</w:t>
      </w:r>
      <w:r>
        <w:t xml:space="preserve"> </w:t>
      </w:r>
      <w:r>
        <w:rPr>
          <w:iCs/>
          <w:i/>
        </w:rPr>
        <w:t xml:space="preserve">26</w:t>
      </w:r>
      <w:r>
        <w:t xml:space="preserve">(2, 2), 67–82.</w:t>
      </w:r>
      <w:r>
        <w:t xml:space="preserve"> </w:t>
      </w:r>
      <w:hyperlink r:id="rId57">
        <w:r>
          <w:rPr>
            <w:rStyle w:val="Hyperlink"/>
          </w:rPr>
          <w:t xml:space="preserve">https://doi.org/10.18352/lq.10149</w:t>
        </w:r>
      </w:hyperlink>
    </w:p>
    <w:bookmarkEnd w:id="58"/>
    <w:bookmarkStart w:id="60"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59">
        <w:r>
          <w:rPr>
            <w:rStyle w:val="Hyperlink"/>
          </w:rPr>
          <w:t xml:space="preserve">https://doi.org/10.1214/24-STS927</w:t>
        </w:r>
      </w:hyperlink>
    </w:p>
    <w:bookmarkEnd w:id="60"/>
    <w:bookmarkStart w:id="62" w:name="ref-eisenhauer21"/>
    <w:p>
      <w:pPr>
        <w:pStyle w:val="Bibliography"/>
      </w:pPr>
      <w:r>
        <w:t xml:space="preserve">Eisenhauer, J. G. (2021). Meta‐analysis and mega‐analysis:</w:t>
      </w:r>
      <w:r>
        <w:t xml:space="preserve"> </w:t>
      </w:r>
      <w:r>
        <w:t xml:space="preserve">A</w:t>
      </w:r>
      <w:r>
        <w:t xml:space="preserve"> </w:t>
      </w:r>
      <w:r>
        <w:t xml:space="preserve">simple introduction.</w:t>
      </w:r>
      <w:r>
        <w:t xml:space="preserve"> </w:t>
      </w:r>
      <w:r>
        <w:rPr>
          <w:iCs/>
          <w:i/>
        </w:rPr>
        <w:t xml:space="preserve">Teaching Statistics</w:t>
      </w:r>
      <w:r>
        <w:t xml:space="preserve">,</w:t>
      </w:r>
      <w:r>
        <w:t xml:space="preserve"> </w:t>
      </w:r>
      <w:r>
        <w:rPr>
          <w:iCs/>
          <w:i/>
        </w:rPr>
        <w:t xml:space="preserve">43</w:t>
      </w:r>
      <w:r>
        <w:t xml:space="preserve">(1), 21–27.</w:t>
      </w:r>
      <w:r>
        <w:t xml:space="preserve"> </w:t>
      </w:r>
      <w:hyperlink r:id="rId61">
        <w:r>
          <w:rPr>
            <w:rStyle w:val="Hyperlink"/>
          </w:rPr>
          <w:t xml:space="preserve">https://doi.org/10.1111/test.12242</w:t>
        </w:r>
      </w:hyperlink>
    </w:p>
    <w:bookmarkEnd w:id="62"/>
    <w:bookmarkStart w:id="64"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63">
        <w:r>
          <w:rPr>
            <w:rStyle w:val="Hyperlink"/>
          </w:rPr>
          <w:t xml:space="preserve">https://doi.org/10.1044/2022_JSLHR-22-00062</w:t>
        </w:r>
      </w:hyperlink>
    </w:p>
    <w:bookmarkEnd w:id="64"/>
    <w:bookmarkStart w:id="66"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65">
        <w:r>
          <w:rPr>
            <w:rStyle w:val="Hyperlink"/>
          </w:rPr>
          <w:t xml:space="preserve">https://doi.org/10.1016/j.jfludis.2020.105827</w:t>
        </w:r>
      </w:hyperlink>
    </w:p>
    <w:bookmarkEnd w:id="66"/>
    <w:bookmarkStart w:id="68"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67">
        <w:r>
          <w:rPr>
            <w:rStyle w:val="Hyperlink"/>
          </w:rPr>
          <w:t xml:space="preserve">https://doi.org/10.1044/2020_JSLHR-19-00299</w:t>
        </w:r>
      </w:hyperlink>
    </w:p>
    <w:bookmarkEnd w:id="68"/>
    <w:bookmarkStart w:id="70"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69">
        <w:r>
          <w:rPr>
            <w:rStyle w:val="Hyperlink"/>
          </w:rPr>
          <w:t xml:space="preserve">https://doi.org/10.1198/106186006X133933</w:t>
        </w:r>
      </w:hyperlink>
    </w:p>
    <w:bookmarkEnd w:id="70"/>
    <w:bookmarkStart w:id="72"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71">
        <w:r>
          <w:rPr>
            <w:rStyle w:val="Hyperlink"/>
          </w:rPr>
          <w:t xml:space="preserve">https://doi.org/10.2139/ssrn.2408030</w:t>
        </w:r>
      </w:hyperlink>
    </w:p>
    <w:bookmarkEnd w:id="72"/>
    <w:bookmarkStart w:id="74"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73">
        <w:r>
          <w:rPr>
            <w:rStyle w:val="Hyperlink"/>
          </w:rPr>
          <w:t xml:space="preserve">https://www.sciencedirect.com/science/article/pii/S0028393223001653</w:t>
        </w:r>
      </w:hyperlink>
    </w:p>
    <w:bookmarkEnd w:id="74"/>
    <w:bookmarkStart w:id="76"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75">
        <w:r>
          <w:rPr>
            <w:rStyle w:val="Hyperlink"/>
          </w:rPr>
          <w:t xml:space="preserve">https://doi.org/10.1044/2022_AJSLP-22-00003</w:t>
        </w:r>
      </w:hyperlink>
    </w:p>
    <w:bookmarkEnd w:id="76"/>
    <w:bookmarkStart w:id="78" w:name="ref-lewis24"/>
    <w:p>
      <w:pPr>
        <w:pStyle w:val="Bibliography"/>
      </w:pPr>
      <w:r>
        <w:t xml:space="preserve">Lewis, C. (2024).</w:t>
      </w:r>
      <w:r>
        <w:t xml:space="preserve"> </w:t>
      </w:r>
      <w:r>
        <w:rPr>
          <w:iCs/>
          <w:i/>
        </w:rPr>
        <w:t xml:space="preserve">Data</w:t>
      </w:r>
      <w:r>
        <w:rPr>
          <w:iCs/>
          <w:i/>
        </w:rPr>
        <w:t xml:space="preserve"> </w:t>
      </w:r>
      <w:r>
        <w:rPr>
          <w:iCs/>
          <w:i/>
        </w:rPr>
        <w:t xml:space="preserve">Management</w:t>
      </w:r>
      <w:r>
        <w:rPr>
          <w:iCs/>
          <w:i/>
        </w:rPr>
        <w:t xml:space="preserve"> </w:t>
      </w:r>
      <w:r>
        <w:rPr>
          <w:iCs/>
          <w:i/>
        </w:rPr>
        <w:t xml:space="preserve">in</w:t>
      </w:r>
      <w:r>
        <w:rPr>
          <w:iCs/>
          <w:i/>
        </w:rPr>
        <w:t xml:space="preserve"> </w:t>
      </w:r>
      <w:r>
        <w:rPr>
          <w:iCs/>
          <w:i/>
        </w:rPr>
        <w:t xml:space="preserve">Large-Scale Education Research</w:t>
      </w:r>
      <w:r>
        <w:t xml:space="preserve">. CRC Press.</w:t>
      </w:r>
      <w:r>
        <w:t xml:space="preserve"> </w:t>
      </w:r>
      <w:hyperlink r:id="rId77">
        <w:r>
          <w:rPr>
            <w:rStyle w:val="Hyperlink"/>
          </w:rPr>
          <w:t xml:space="preserve">https://books.google.com/books?hl=en&amp;lr=&amp;id=z54LEQAAQBAJ&amp;oi=fnd&amp;pg=PT12&amp;dq=Data+Management+in+Large-Scale+Education+Research&amp;ots=6h09wWzI1A&amp;sig=-Eq8b942JpPzrApSvO2M2y8MhCo</w:t>
        </w:r>
      </w:hyperlink>
    </w:p>
    <w:bookmarkEnd w:id="78"/>
    <w:bookmarkStart w:id="80"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79">
        <w:r>
          <w:rPr>
            <w:rStyle w:val="Hyperlink"/>
          </w:rPr>
          <w:t xml:space="preserve">https://doi.org/10.7717/peerj.2530</w:t>
        </w:r>
      </w:hyperlink>
    </w:p>
    <w:bookmarkEnd w:id="80"/>
    <w:bookmarkStart w:id="82"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81">
        <w:r>
          <w:rPr>
            <w:rStyle w:val="Hyperlink"/>
          </w:rPr>
          <w:t xml:space="preserve">https://doi.org/10.18637/jss.v074.i11</w:t>
        </w:r>
      </w:hyperlink>
    </w:p>
    <w:bookmarkEnd w:id="82"/>
    <w:bookmarkStart w:id="84"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ohmann_etal17"/>
    <w:p>
      <w:pPr>
        <w:pStyle w:val="Bibliography"/>
      </w:pPr>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w:t>
      </w:r>
      <w:r>
        <w:t xml:space="preserve"> </w:t>
      </w:r>
      <w:r>
        <w:rPr>
          <w:iCs/>
          <w:i/>
        </w:rPr>
        <w:t xml:space="preserve">BMJ Open</w:t>
      </w:r>
      <w:r>
        <w:t xml:space="preserve">,</w:t>
      </w:r>
      <w:r>
        <w:t xml:space="preserve"> </w:t>
      </w:r>
      <w:r>
        <w:rPr>
          <w:iCs/>
          <w:i/>
        </w:rPr>
        <w:t xml:space="preserve">7</w:t>
      </w:r>
      <w:r>
        <w:t xml:space="preserve">(12), e018647.</w:t>
      </w:r>
      <w:r>
        <w:t xml:space="preserve"> </w:t>
      </w:r>
      <w:hyperlink r:id="rId85">
        <w:r>
          <w:rPr>
            <w:rStyle w:val="Hyperlink"/>
          </w:rPr>
          <w:t xml:space="preserve">https://doi.org/10.1136/bmjopen-2017-018647</w:t>
        </w:r>
      </w:hyperlink>
    </w:p>
    <w:bookmarkEnd w:id="86"/>
    <w:bookmarkStart w:id="88"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87">
        <w:r>
          <w:rPr>
            <w:rStyle w:val="Hyperlink"/>
          </w:rPr>
          <w:t xml:space="preserve">https://doi.org/10.3390/psych3040053</w:t>
        </w:r>
      </w:hyperlink>
    </w:p>
    <w:bookmarkEnd w:id="88"/>
    <w:bookmarkStart w:id="90"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89">
        <w:r>
          <w:rPr>
            <w:rStyle w:val="Hyperlink"/>
          </w:rPr>
          <w:t xml:space="preserve">https://doi.org/10.31219/osf.io/9kxa7</w:t>
        </w:r>
      </w:hyperlink>
    </w:p>
    <w:bookmarkEnd w:id="90"/>
    <w:bookmarkStart w:id="92" w:name="ref-piwowar_etal07"/>
    <w:p>
      <w:pPr>
        <w:pStyle w:val="Bibliography"/>
      </w:pPr>
      <w:r>
        <w:t xml:space="preserve">Piwowar, H. A., Day, R. S., &amp; Fridsma, D. B. (2007). Sharing</w:t>
      </w:r>
      <w:r>
        <w:t xml:space="preserve"> </w:t>
      </w:r>
      <w:r>
        <w:t xml:space="preserve">Detailed Research Data Is Associated</w:t>
      </w:r>
      <w:r>
        <w:t xml:space="preserve"> </w:t>
      </w:r>
      <w:r>
        <w:t xml:space="preserve">with</w:t>
      </w:r>
      <w:r>
        <w:t xml:space="preserve"> </w:t>
      </w:r>
      <w:r>
        <w:t xml:space="preserve">Increased Citation Rate</w:t>
      </w:r>
      <w:r>
        <w:t xml:space="preserve">.</w:t>
      </w:r>
      <w:r>
        <w:t xml:space="preserve"> </w:t>
      </w:r>
      <w:r>
        <w:rPr>
          <w:iCs/>
          <w:i/>
        </w:rPr>
        <w:t xml:space="preserve">PLOS ONE</w:t>
      </w:r>
      <w:r>
        <w:t xml:space="preserve">,</w:t>
      </w:r>
      <w:r>
        <w:t xml:space="preserve"> </w:t>
      </w:r>
      <w:r>
        <w:rPr>
          <w:iCs/>
          <w:i/>
        </w:rPr>
        <w:t xml:space="preserve">2</w:t>
      </w:r>
      <w:r>
        <w:t xml:space="preserve">(3), e308.</w:t>
      </w:r>
      <w:r>
        <w:t xml:space="preserve"> </w:t>
      </w:r>
      <w:hyperlink r:id="rId91">
        <w:r>
          <w:rPr>
            <w:rStyle w:val="Hyperlink"/>
          </w:rPr>
          <w:t xml:space="preserve">https://doi.org/10.1371/journal.pone.0000308</w:t>
        </w:r>
      </w:hyperlink>
    </w:p>
    <w:bookmarkEnd w:id="92"/>
    <w:bookmarkStart w:id="94" w:name="ref-piwowar_vision13"/>
    <w:p>
      <w:pPr>
        <w:pStyle w:val="Bibliography"/>
      </w:pPr>
      <w:r>
        <w:t xml:space="preserve">Piwowar, H. A., &amp; Vision, T. J. (2013). Data reuse and the open data citation advantage.</w:t>
      </w:r>
      <w:r>
        <w:t xml:space="preserve"> </w:t>
      </w:r>
      <w:r>
        <w:rPr>
          <w:iCs/>
          <w:i/>
        </w:rPr>
        <w:t xml:space="preserve">PeerJ</w:t>
      </w:r>
      <w:r>
        <w:t xml:space="preserve">,</w:t>
      </w:r>
      <w:r>
        <w:t xml:space="preserve"> </w:t>
      </w:r>
      <w:r>
        <w:rPr>
          <w:iCs/>
          <w:i/>
        </w:rPr>
        <w:t xml:space="preserve">1</w:t>
      </w:r>
      <w:r>
        <w:t xml:space="preserve">, e175.</w:t>
      </w:r>
      <w:r>
        <w:t xml:space="preserve"> </w:t>
      </w:r>
      <w:hyperlink r:id="rId93">
        <w:r>
          <w:rPr>
            <w:rStyle w:val="Hyperlink"/>
          </w:rPr>
          <w:t xml:space="preserve">https://doi.org/10.7717/peerj.175</w:t>
        </w:r>
      </w:hyperlink>
    </w:p>
    <w:bookmarkEnd w:id="94"/>
    <w:bookmarkStart w:id="96"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95">
        <w:r>
          <w:rPr>
            <w:rStyle w:val="Hyperlink"/>
          </w:rPr>
          <w:t xml:space="preserve">https://doi.org/10.7554/eLife.53275</w:t>
        </w:r>
      </w:hyperlink>
    </w:p>
    <w:bookmarkEnd w:id="96"/>
    <w:bookmarkStart w:id="98"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97">
        <w:r>
          <w:rPr>
            <w:rStyle w:val="Hyperlink"/>
          </w:rPr>
          <w:t xml:space="preserve">https://www.R-project.org/</w:t>
        </w:r>
      </w:hyperlink>
    </w:p>
    <w:bookmarkEnd w:id="98"/>
    <w:bookmarkStart w:id="100"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99">
        <w:r>
          <w:rPr>
            <w:rStyle w:val="Hyperlink"/>
          </w:rPr>
          <w:t xml:space="preserve">https://doi.org/10.1038/s41467-019-10933-3</w:t>
        </w:r>
      </w:hyperlink>
    </w:p>
    <w:bookmarkEnd w:id="100"/>
    <w:bookmarkStart w:id="101"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101"/>
    <w:bookmarkStart w:id="103" w:name="ref-soulemd_etal16"/>
    <w:p>
      <w:pPr>
        <w:pStyle w:val="Bibliography"/>
      </w:pPr>
      <w:r>
        <w:t xml:space="preserve">Soule MD, M. C., Beale BA, E. E., Suarez MD, L., Beach MD, S. R., Mastromauro MSW, L., Carol A., Celano MD, C. M., Moore BA, S. V., &amp; Huffman MD, J. C. (2016). Understanding motivations to participate in an observational research study:</w:t>
      </w:r>
      <w:r>
        <w:t xml:space="preserve"> </w:t>
      </w:r>
      <w:r>
        <w:t xml:space="preserve">Why</w:t>
      </w:r>
      <w:r>
        <w:t xml:space="preserve"> </w:t>
      </w:r>
      <w:r>
        <w:t xml:space="preserve">do patients enroll?</w:t>
      </w:r>
      <w:r>
        <w:t xml:space="preserve"> </w:t>
      </w:r>
      <w:r>
        <w:rPr>
          <w:iCs/>
          <w:i/>
        </w:rPr>
        <w:t xml:space="preserve">Social Work in Health Care</w:t>
      </w:r>
      <w:r>
        <w:t xml:space="preserve">,</w:t>
      </w:r>
      <w:r>
        <w:t xml:space="preserve"> </w:t>
      </w:r>
      <w:r>
        <w:rPr>
          <w:iCs/>
          <w:i/>
        </w:rPr>
        <w:t xml:space="preserve">55</w:t>
      </w:r>
      <w:r>
        <w:t xml:space="preserve">(3), 231–246.</w:t>
      </w:r>
      <w:r>
        <w:t xml:space="preserve"> </w:t>
      </w:r>
      <w:hyperlink r:id="rId102">
        <w:r>
          <w:rPr>
            <w:rStyle w:val="Hyperlink"/>
          </w:rPr>
          <w:t xml:space="preserve">https://doi.org/10.1080/00981389.2015.1114064</w:t>
        </w:r>
      </w:hyperlink>
    </w:p>
    <w:bookmarkEnd w:id="103"/>
    <w:bookmarkStart w:id="104"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104"/>
    <w:bookmarkStart w:id="106" w:name="ref-tedersoo_etal21"/>
    <w:p>
      <w:pPr>
        <w:pStyle w:val="Bibliography"/>
      </w:pPr>
      <w:r>
        <w:t xml:space="preserve">Tedersoo, L., Küngas, R., Oras, E., Köster, K., Eenmaa, H., Leijen, Ä., Pedaste, M., Raju, M., Astapova, A., Lukner, H., Kogermann, K., &amp; Sepp, T. (2021). Data sharing practices and data availability upon request differ across scientific disciplines.</w:t>
      </w:r>
      <w:r>
        <w:t xml:space="preserve"> </w:t>
      </w:r>
      <w:r>
        <w:rPr>
          <w:iCs/>
          <w:i/>
        </w:rPr>
        <w:t xml:space="preserve">Scientific Data</w:t>
      </w:r>
      <w:r>
        <w:t xml:space="preserve">,</w:t>
      </w:r>
      <w:r>
        <w:t xml:space="preserve"> </w:t>
      </w:r>
      <w:r>
        <w:rPr>
          <w:iCs/>
          <w:i/>
        </w:rPr>
        <w:t xml:space="preserve">8</w:t>
      </w:r>
      <w:r>
        <w:t xml:space="preserve">(1), 192.</w:t>
      </w:r>
      <w:r>
        <w:t xml:space="preserve"> </w:t>
      </w:r>
      <w:hyperlink r:id="rId105">
        <w:r>
          <w:rPr>
            <w:rStyle w:val="Hyperlink"/>
          </w:rPr>
          <w:t xml:space="preserve">https://doi.org/10.1038/s41597-021-00981-0</w:t>
        </w:r>
      </w:hyperlink>
    </w:p>
    <w:bookmarkEnd w:id="106"/>
    <w:bookmarkStart w:id="108"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107">
        <w:r>
          <w:rPr>
            <w:rStyle w:val="Hyperlink"/>
          </w:rPr>
          <w:t xml:space="preserve">https://doi.org/10.1044/2022_JSLHR-22-00287</w:t>
        </w:r>
      </w:hyperlink>
    </w:p>
    <w:bookmarkEnd w:id="108"/>
    <w:bookmarkStart w:id="110" w:name="ref-vazire_holcombe22"/>
    <w:p>
      <w:pPr>
        <w:pStyle w:val="Bibliography"/>
      </w:pPr>
      <w:r>
        <w:t xml:space="preserve">Vazire, S., &amp; Holcombe, A. O. (2022). Where</w:t>
      </w:r>
      <w:r>
        <w:t xml:space="preserve"> </w:t>
      </w:r>
      <w:r>
        <w:t xml:space="preserve">Are</w:t>
      </w:r>
      <w:r>
        <w:t xml:space="preserve"> </w:t>
      </w:r>
      <w:r>
        <w:t xml:space="preserve">the</w:t>
      </w:r>
      <w:r>
        <w:t xml:space="preserve"> </w:t>
      </w:r>
      <w:r>
        <w:t xml:space="preserve">Self-Correcting Mechanisms</w:t>
      </w:r>
      <w:r>
        <w:t xml:space="preserve"> </w:t>
      </w:r>
      <w:r>
        <w:t xml:space="preserve">in</w:t>
      </w:r>
      <w:r>
        <w:t xml:space="preserve"> </w:t>
      </w:r>
      <w:r>
        <w:t xml:space="preserve">Science</w:t>
      </w:r>
      <w:r>
        <w:t xml:space="preserve">?</w:t>
      </w:r>
      <w:r>
        <w:t xml:space="preserve"> </w:t>
      </w:r>
      <w:r>
        <w:rPr>
          <w:iCs/>
          <w:i/>
        </w:rPr>
        <w:t xml:space="preserve">Review of General Psychology</w:t>
      </w:r>
      <w:r>
        <w:t xml:space="preserve">,</w:t>
      </w:r>
      <w:r>
        <w:t xml:space="preserve"> </w:t>
      </w:r>
      <w:r>
        <w:rPr>
          <w:iCs/>
          <w:i/>
        </w:rPr>
        <w:t xml:space="preserve">26</w:t>
      </w:r>
      <w:r>
        <w:t xml:space="preserve">(2), 212–223.</w:t>
      </w:r>
      <w:r>
        <w:t xml:space="preserve"> </w:t>
      </w:r>
      <w:hyperlink r:id="rId109">
        <w:r>
          <w:rPr>
            <w:rStyle w:val="Hyperlink"/>
          </w:rPr>
          <w:t xml:space="preserve">https://doi.org/10.1177/10892680211033912</w:t>
        </w:r>
      </w:hyperlink>
    </w:p>
    <w:bookmarkEnd w:id="110"/>
    <w:bookmarkStart w:id="112"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111">
        <w:r>
          <w:rPr>
            <w:rStyle w:val="Hyperlink"/>
          </w:rPr>
          <w:t xml:space="preserve">https://doi.org/10.1136/bmjhci-2023-100771</w:t>
        </w:r>
      </w:hyperlink>
    </w:p>
    <w:bookmarkEnd w:id="112"/>
    <w:bookmarkStart w:id="114"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3">
        <w:r>
          <w:rPr>
            <w:rStyle w:val="Hyperlink"/>
          </w:rPr>
          <w:t xml:space="preserve">https://doi.org/10.21105/joss.01686</w:t>
        </w:r>
      </w:hyperlink>
    </w:p>
    <w:bookmarkEnd w:id="114"/>
    <w:bookmarkStart w:id="116"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15">
        <w:r>
          <w:rPr>
            <w:rStyle w:val="Hyperlink"/>
          </w:rPr>
          <w:t xml:space="preserve">https://doi.org/10.1038/sdata.2016.18</w:t>
        </w:r>
      </w:hyperlink>
    </w:p>
    <w:bookmarkEnd w:id="116"/>
    <w:bookmarkStart w:id="118" w:name="ref-yu_romero24"/>
    <w:p>
      <w:pPr>
        <w:pStyle w:val="Bibliography"/>
      </w:pPr>
      <w:r>
        <w:t xml:space="preserve">Yu, Y., &amp; Romero, D. M. (2024). Does the use of unusual combinations of datasets contribute to greater scientific impact?</w:t>
      </w:r>
      <w:r>
        <w:t xml:space="preserve"> </w:t>
      </w:r>
      <w:r>
        <w:rPr>
          <w:iCs/>
          <w:i/>
        </w:rPr>
        <w:t xml:space="preserve">Proceedings of the National Academy of Sciences</w:t>
      </w:r>
      <w:r>
        <w:t xml:space="preserve">,</w:t>
      </w:r>
      <w:r>
        <w:t xml:space="preserve"> </w:t>
      </w:r>
      <w:r>
        <w:rPr>
          <w:iCs/>
          <w:i/>
        </w:rPr>
        <w:t xml:space="preserve">121</w:t>
      </w:r>
      <w:r>
        <w:t xml:space="preserve">(41), e2402802121.</w:t>
      </w:r>
      <w:r>
        <w:t xml:space="preserve"> </w:t>
      </w:r>
      <w:hyperlink r:id="rId117">
        <w:r>
          <w:rPr>
            <w:rStyle w:val="Hyperlink"/>
          </w:rPr>
          <w:t xml:space="preserve">https://doi.org/10.1073/pnas.2402802121</w:t>
        </w:r>
      </w:hyperlink>
    </w:p>
    <w:bookmarkEnd w:id="118"/>
    <w:bookmarkEnd w:id="119"/>
    <w:p>
      <w:r>
        <w:br w:type="page"/>
      </w:r>
    </w:p>
    <w:bookmarkEnd w:id="120"/>
    <w:bookmarkStart w:id="121" w:name="table-and-figure-captions"/>
    <w:p>
      <w:pPr>
        <w:pStyle w:val="Heading1"/>
      </w:pPr>
      <w:r>
        <w:t xml:space="preserve">Table and Figure Captions</w:t>
      </w:r>
    </w:p>
    <w:p>
      <w:pPr>
        <w:pStyle w:val="noIndentParagraph"/>
      </w:pPr>
      <w:r>
        <w:t xml:space="preserve">Table 1: Description of types of data.</w:t>
      </w:r>
    </w:p>
    <w:p>
      <w:pPr>
        <w:pStyle w:val="noIndentParagraph"/>
      </w:pPr>
    </w:p>
    <w:p>
      <w:pPr>
        <w:pStyle w:val="noIndentParagraph"/>
      </w:pPr>
      <w:r>
        <w:t xml:space="preserve">Table 2: Characteristics of included studies by ASHA domain.</w:t>
      </w:r>
    </w:p>
    <w:p>
      <w:pPr>
        <w:pStyle w:val="noIndentParagraph"/>
      </w:pPr>
    </w:p>
    <w:p>
      <w:pPr>
        <w:pStyle w:val="noIndentParagraph"/>
      </w:pPr>
      <w:r>
        <w:t xml:space="preserve">Table 3: Effect size measures and interpretation by statistical test.</w:t>
      </w:r>
    </w:p>
    <w:p>
      <w:pPr>
        <w:pStyle w:val="noIndentParagraph"/>
      </w:pPr>
    </w:p>
    <w:p>
      <w:pPr>
        <w:pStyle w:val="noIndentParagraph"/>
      </w:pPr>
      <w:r>
        <w:t xml:space="preserve">Table 4: Stability of synthetic datasets across ASHA domains.</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pPr>
        <w:pStyle w:val="noIndentParagraph"/>
      </w:pPr>
    </w:p>
    <w:p>
      <w:pPr>
        <w:pStyle w:val="noIndentParagraph"/>
      </w:pPr>
      <w:r>
        <w:t xml:space="preserve">Figure 5. Decision tree for data sharing.</w:t>
      </w:r>
    </w:p>
    <w:bookmarkEnd w:id="121"/>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77"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7" Target="https://doi.org/10.1007/s00455-022-10428-2" TargetMode="External" /><Relationship Type="http://schemas.openxmlformats.org/officeDocument/2006/relationships/hyperlink" Id="rId65"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05" Target="https://doi.org/10.1038/s41597-021-00981-0" TargetMode="External" /><Relationship Type="http://schemas.openxmlformats.org/officeDocument/2006/relationships/hyperlink" Id="rId115" Target="https://doi.org/10.1038/sdata.2016.18" TargetMode="External" /><Relationship Type="http://schemas.openxmlformats.org/officeDocument/2006/relationships/hyperlink" Id="rId67" Target="https://doi.org/10.1044/2020_JSLHR-19-00299" TargetMode="External" /><Relationship Type="http://schemas.openxmlformats.org/officeDocument/2006/relationships/hyperlink" Id="rId75" Target="https://doi.org/10.1044/2022_AJSLP-22-00003" TargetMode="External" /><Relationship Type="http://schemas.openxmlformats.org/officeDocument/2006/relationships/hyperlink" Id="rId63" Target="https://doi.org/10.1044/2022_JSLHR-22-00062" TargetMode="External" /><Relationship Type="http://schemas.openxmlformats.org/officeDocument/2006/relationships/hyperlink" Id="rId107" Target="https://doi.org/10.1044/2022_JSLHR-22-00287" TargetMode="External" /><Relationship Type="http://schemas.openxmlformats.org/officeDocument/2006/relationships/hyperlink" Id="rId51" Target="https://doi.org/10.1044/2023_JSLHR-22-00318" TargetMode="External" /><Relationship Type="http://schemas.openxmlformats.org/officeDocument/2006/relationships/hyperlink" Id="rId55" Target="https://doi.org/10.1044/2023_JSLHR-23-00132" TargetMode="External" /><Relationship Type="http://schemas.openxmlformats.org/officeDocument/2006/relationships/hyperlink" Id="rId117" Target="https://doi.org/10.1073/pnas.2402802121" TargetMode="External" /><Relationship Type="http://schemas.openxmlformats.org/officeDocument/2006/relationships/hyperlink" Id="rId102" Target="https://doi.org/10.1080/00981389.2015.1114064" TargetMode="External" /><Relationship Type="http://schemas.openxmlformats.org/officeDocument/2006/relationships/hyperlink" Id="rId53" Target="https://doi.org/10.1080/02699052.2023.2181401" TargetMode="External" /><Relationship Type="http://schemas.openxmlformats.org/officeDocument/2006/relationships/hyperlink" Id="rId49" Target="https://doi.org/10.1080/10489223.2023.2262457" TargetMode="External" /><Relationship Type="http://schemas.openxmlformats.org/officeDocument/2006/relationships/hyperlink" Id="rId61" Target="https://doi.org/10.1111/test.12242" TargetMode="External" /><Relationship Type="http://schemas.openxmlformats.org/officeDocument/2006/relationships/hyperlink" Id="rId111" Target="https://doi.org/10.1136/bmjhci-2023-100771" TargetMode="External" /><Relationship Type="http://schemas.openxmlformats.org/officeDocument/2006/relationships/hyperlink" Id="rId85" Target="https://doi.org/10.1136/bmjopen-2017-018647" TargetMode="External" /><Relationship Type="http://schemas.openxmlformats.org/officeDocument/2006/relationships/hyperlink" Id="rId109" Target="https://doi.org/10.1177/10892680211033912" TargetMode="External" /><Relationship Type="http://schemas.openxmlformats.org/officeDocument/2006/relationships/hyperlink" Id="rId83" Target="https://doi.org/10.1177/2515245920918872" TargetMode="External" /><Relationship Type="http://schemas.openxmlformats.org/officeDocument/2006/relationships/hyperlink" Id="rId69" Target="https://doi.org/10.1198/106186006X133933" TargetMode="External" /><Relationship Type="http://schemas.openxmlformats.org/officeDocument/2006/relationships/hyperlink" Id="rId59" Target="https://doi.org/10.1214/24-STS927" TargetMode="External" /><Relationship Type="http://schemas.openxmlformats.org/officeDocument/2006/relationships/hyperlink" Id="rId91" Target="https://doi.org/10.1371/journal.pone.0000308" TargetMode="External" /><Relationship Type="http://schemas.openxmlformats.org/officeDocument/2006/relationships/hyperlink" Id="rId57" Target="https://doi.org/10.18352/lq.10149" TargetMode="External" /><Relationship Type="http://schemas.openxmlformats.org/officeDocument/2006/relationships/hyperlink" Id="rId81" Target="https://doi.org/10.18637/jss.v074.i11" TargetMode="External" /><Relationship Type="http://schemas.openxmlformats.org/officeDocument/2006/relationships/hyperlink" Id="rId113" Target="https://doi.org/10.21105/joss.01686" TargetMode="External" /><Relationship Type="http://schemas.openxmlformats.org/officeDocument/2006/relationships/hyperlink" Id="rId71" Target="https://doi.org/10.2139/ssrn.2408030" TargetMode="External" /><Relationship Type="http://schemas.openxmlformats.org/officeDocument/2006/relationships/hyperlink" Id="rId89" Target="https://doi.org/10.31219/osf.io/9kxa7" TargetMode="External" /><Relationship Type="http://schemas.openxmlformats.org/officeDocument/2006/relationships/hyperlink" Id="rId45" Target="https://doi.org/10.31234/osf.io/veh7t" TargetMode="External" /><Relationship Type="http://schemas.openxmlformats.org/officeDocument/2006/relationships/hyperlink" Id="rId87" Target="https://doi.org/10.3390/psych3040053" TargetMode="External" /><Relationship Type="http://schemas.openxmlformats.org/officeDocument/2006/relationships/hyperlink" Id="rId95" Target="https://doi.org/10.7554/eLife.53275" TargetMode="External" /><Relationship Type="http://schemas.openxmlformats.org/officeDocument/2006/relationships/hyperlink" Id="rId93" Target="https://doi.org/10.7717/peerj.175" TargetMode="External" /><Relationship Type="http://schemas.openxmlformats.org/officeDocument/2006/relationships/hyperlink" Id="rId79" Target="https://doi.org/10.7717/peerj.2530" TargetMode="External" /><Relationship Type="http://schemas.openxmlformats.org/officeDocument/2006/relationships/hyperlink" Id="rId97" Target="https://www.R-project.org/" TargetMode="External" /><Relationship Type="http://schemas.openxmlformats.org/officeDocument/2006/relationships/hyperlink" Id="rId73"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77"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7" Target="https://doi.org/10.1007/s00455-022-10428-2" TargetMode="External" /><Relationship Type="http://schemas.openxmlformats.org/officeDocument/2006/relationships/hyperlink" Id="rId65"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05" Target="https://doi.org/10.1038/s41597-021-00981-0" TargetMode="External" /><Relationship Type="http://schemas.openxmlformats.org/officeDocument/2006/relationships/hyperlink" Id="rId115" Target="https://doi.org/10.1038/sdata.2016.18" TargetMode="External" /><Relationship Type="http://schemas.openxmlformats.org/officeDocument/2006/relationships/hyperlink" Id="rId67" Target="https://doi.org/10.1044/2020_JSLHR-19-00299" TargetMode="External" /><Relationship Type="http://schemas.openxmlformats.org/officeDocument/2006/relationships/hyperlink" Id="rId75" Target="https://doi.org/10.1044/2022_AJSLP-22-00003" TargetMode="External" /><Relationship Type="http://schemas.openxmlformats.org/officeDocument/2006/relationships/hyperlink" Id="rId63" Target="https://doi.org/10.1044/2022_JSLHR-22-00062" TargetMode="External" /><Relationship Type="http://schemas.openxmlformats.org/officeDocument/2006/relationships/hyperlink" Id="rId107" Target="https://doi.org/10.1044/2022_JSLHR-22-00287" TargetMode="External" /><Relationship Type="http://schemas.openxmlformats.org/officeDocument/2006/relationships/hyperlink" Id="rId51" Target="https://doi.org/10.1044/2023_JSLHR-22-00318" TargetMode="External" /><Relationship Type="http://schemas.openxmlformats.org/officeDocument/2006/relationships/hyperlink" Id="rId55" Target="https://doi.org/10.1044/2023_JSLHR-23-00132" TargetMode="External" /><Relationship Type="http://schemas.openxmlformats.org/officeDocument/2006/relationships/hyperlink" Id="rId117" Target="https://doi.org/10.1073/pnas.2402802121" TargetMode="External" /><Relationship Type="http://schemas.openxmlformats.org/officeDocument/2006/relationships/hyperlink" Id="rId102" Target="https://doi.org/10.1080/00981389.2015.1114064" TargetMode="External" /><Relationship Type="http://schemas.openxmlformats.org/officeDocument/2006/relationships/hyperlink" Id="rId53" Target="https://doi.org/10.1080/02699052.2023.2181401" TargetMode="External" /><Relationship Type="http://schemas.openxmlformats.org/officeDocument/2006/relationships/hyperlink" Id="rId49" Target="https://doi.org/10.1080/10489223.2023.2262457" TargetMode="External" /><Relationship Type="http://schemas.openxmlformats.org/officeDocument/2006/relationships/hyperlink" Id="rId61" Target="https://doi.org/10.1111/test.12242" TargetMode="External" /><Relationship Type="http://schemas.openxmlformats.org/officeDocument/2006/relationships/hyperlink" Id="rId111" Target="https://doi.org/10.1136/bmjhci-2023-100771" TargetMode="External" /><Relationship Type="http://schemas.openxmlformats.org/officeDocument/2006/relationships/hyperlink" Id="rId85" Target="https://doi.org/10.1136/bmjopen-2017-018647" TargetMode="External" /><Relationship Type="http://schemas.openxmlformats.org/officeDocument/2006/relationships/hyperlink" Id="rId109" Target="https://doi.org/10.1177/10892680211033912" TargetMode="External" /><Relationship Type="http://schemas.openxmlformats.org/officeDocument/2006/relationships/hyperlink" Id="rId83" Target="https://doi.org/10.1177/2515245920918872" TargetMode="External" /><Relationship Type="http://schemas.openxmlformats.org/officeDocument/2006/relationships/hyperlink" Id="rId69" Target="https://doi.org/10.1198/106186006X133933" TargetMode="External" /><Relationship Type="http://schemas.openxmlformats.org/officeDocument/2006/relationships/hyperlink" Id="rId59" Target="https://doi.org/10.1214/24-STS927" TargetMode="External" /><Relationship Type="http://schemas.openxmlformats.org/officeDocument/2006/relationships/hyperlink" Id="rId91" Target="https://doi.org/10.1371/journal.pone.0000308" TargetMode="External" /><Relationship Type="http://schemas.openxmlformats.org/officeDocument/2006/relationships/hyperlink" Id="rId57" Target="https://doi.org/10.18352/lq.10149" TargetMode="External" /><Relationship Type="http://schemas.openxmlformats.org/officeDocument/2006/relationships/hyperlink" Id="rId81" Target="https://doi.org/10.18637/jss.v074.i11" TargetMode="External" /><Relationship Type="http://schemas.openxmlformats.org/officeDocument/2006/relationships/hyperlink" Id="rId113" Target="https://doi.org/10.21105/joss.01686" TargetMode="External" /><Relationship Type="http://schemas.openxmlformats.org/officeDocument/2006/relationships/hyperlink" Id="rId71" Target="https://doi.org/10.2139/ssrn.2408030" TargetMode="External" /><Relationship Type="http://schemas.openxmlformats.org/officeDocument/2006/relationships/hyperlink" Id="rId89" Target="https://doi.org/10.31219/osf.io/9kxa7" TargetMode="External" /><Relationship Type="http://schemas.openxmlformats.org/officeDocument/2006/relationships/hyperlink" Id="rId45" Target="https://doi.org/10.31234/osf.io/veh7t" TargetMode="External" /><Relationship Type="http://schemas.openxmlformats.org/officeDocument/2006/relationships/hyperlink" Id="rId87" Target="https://doi.org/10.3390/psych3040053" TargetMode="External" /><Relationship Type="http://schemas.openxmlformats.org/officeDocument/2006/relationships/hyperlink" Id="rId95" Target="https://doi.org/10.7554/eLife.53275" TargetMode="External" /><Relationship Type="http://schemas.openxmlformats.org/officeDocument/2006/relationships/hyperlink" Id="rId93" Target="https://doi.org/10.7717/peerj.175" TargetMode="External" /><Relationship Type="http://schemas.openxmlformats.org/officeDocument/2006/relationships/hyperlink" Id="rId79" Target="https://doi.org/10.7717/peerj.2530" TargetMode="External" /><Relationship Type="http://schemas.openxmlformats.org/officeDocument/2006/relationships/hyperlink" Id="rId97" Target="https://www.R-project.org/" TargetMode="External" /><Relationship Type="http://schemas.openxmlformats.org/officeDocument/2006/relationships/hyperlink" Id="rId73"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2024-10-21T12:35:18Z</dcterms:created>
  <dcterms:modified xsi:type="dcterms:W3CDTF">2024-10-21T12:35:18Z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