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Faculty</w:t>
      </w:r>
      <w:r>
        <w:t xml:space="preserve"> </w:t>
      </w:r>
      <w:r>
        <w:t xml:space="preserve">of</w:t>
      </w:r>
      <w:r>
        <w:t xml:space="preserve"> </w:t>
      </w:r>
      <w:r>
        <w:t xml:space="preserve">Health,</w:t>
      </w:r>
      <w:r>
        <w:t xml:space="preserve"> </w:t>
      </w:r>
      <w:r>
        <w:t xml:space="preserve">School</w:t>
      </w:r>
      <w:r>
        <w:t xml:space="preserve"> </w:t>
      </w:r>
      <w:r>
        <w:t xml:space="preserve">of</w:t>
      </w:r>
      <w:r>
        <w:t xml:space="preserve"> </w:t>
      </w:r>
      <w:r>
        <w:t xml:space="preserve">Psychology</w:t>
      </w:r>
      <w:r>
        <w:t xml:space="preserve"> </w:t>
      </w:r>
      <w:r>
        <w:t xml:space="preserve">and</w:t>
      </w:r>
      <w:r>
        <w:t xml:space="preserve"> </w:t>
      </w:r>
      <w:r>
        <w:t xml:space="preserve">Counselling,</w:t>
      </w:r>
      <w:r>
        <w:t xml:space="preserve"> </w:t>
      </w:r>
      <w:r>
        <w:t xml:space="preserve">Queensland</w:t>
      </w:r>
      <w:r>
        <w:t xml:space="preserve"> </w:t>
      </w:r>
      <w:r>
        <w:t xml:space="preserve">University</w:t>
      </w:r>
      <w:r>
        <w:t xml:space="preserve"> </w:t>
      </w:r>
      <w:r>
        <w:t xml:space="preserve">of</w:t>
      </w:r>
      <w:r>
        <w:t xml:space="preserve"> </w:t>
      </w:r>
      <w:r>
        <w:t xml:space="preserve">Technology</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r>
        <w:rPr>
          <w:bCs/>
          <w:b/>
        </w:rPr>
        <w:t xml:space="preserve">Ethical Approval</w:t>
      </w:r>
      <w:r>
        <w:t xml:space="preserve">: This study was deemed exempt by the Institutional Review Board at the University of Queensland (#2024/HE001484).</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 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Swallowing, and Voice. Synthetic datasets were then generated with the synthpop package in R. Results from synthetic datasets were compared to those from the original published datasets.</w:t>
      </w:r>
    </w:p>
    <w:p>
      <w:pPr>
        <w:pStyle w:val="noIndentParagraph"/>
      </w:pPr>
      <w:r>
        <w:rPr>
          <w:bCs/>
          <w:b/>
        </w:rPr>
        <w:t xml:space="preserve">Results</w:t>
      </w:r>
      <w:r>
        <w:t xml:space="preserve">: XXX</w:t>
      </w:r>
    </w:p>
    <w:p>
      <w:pPr>
        <w:pStyle w:val="noIndentParagraph"/>
      </w:pPr>
      <w:r>
        <w:rPr>
          <w:bCs/>
          <w:b/>
        </w:rPr>
        <w:t xml:space="preserve">Conclusion</w:t>
      </w:r>
      <w:r>
        <w:t xml:space="preserve">: Findings indicate that… We provide a general framework to promote sharing open data to facilitate computational reproducibility and a cumulative science.</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is enhanced. Achieving computational reproducibility, however, requires authors to share their data. Both the National Institutes of Health and National Science Foundation mandate data sharing and management plans to ensure that scientific data supporting a study is shared upon publication and aligns with FAIR (Findability, Accessibility, Interoperability, and Reuse) principles of digital assets. Providing open, publicly available data benefits scientists, funding bodies, and society at large by enabling researchers to verify results, generate new knowledge (e.g., meta-analyses, secondary analyses), develop hypotheses, and minimize redundant data collection. In this sense, sharing data promotes a cumulative and self-correcting science.</w:t>
      </w:r>
    </w:p>
    <w:p>
      <w:pPr>
        <w:pStyle w:val="BodyText"/>
      </w:pPr>
      <w:r>
        <w:t xml:space="preserve">Despite the clear benefits of open data and its growing adoption in other fields like psychology and the biobehavioral sciences (Quintana, 2020), only 26% of researchers in the field of Communication Sciences and Disorders (CSD) reported sharing their data publicly at least once (El Amin et al., 2023). Both individual and system-level barriers hinder data sharing, including a lack of time, knowledge, support from colleagues, and perceived incentives. Privacy and confidentiality concerns, particularly in low-incidence populations, also pose significant challenges (Pfeiffer et al., 2024).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 (Rocher et al., 2019). A further challenge in sharing data can occur when researchers did not prospectively obtain consent to share data, and may not be able to contact participants after data collection (Pfeiffer et al., 2024).</w:t>
      </w:r>
    </w:p>
    <w:p>
      <w:pPr>
        <w:pStyle w:val="BodyText"/>
      </w:pPr>
      <w:r>
        <w:t xml:space="preserve">Synthetic data generation offers a potential solution to maintaining participants’ privacy and confidentiality in publicly available datasets (Rubin, 1993; Drechsler et al., 2024). Synthetic data involves creating artificial datasets that do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 (Jarmin et al., 2014). Though synthetic data methods were proposed more than 30 years ago (Rubin, 1993), recent analytic and practical developments have made it easier and more efficient to generate high-quality synthetic data (Nowok et al., 2016).</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 (Borders et al., 2022; Gaeta &amp; Brydges, 2020).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 Hearing Association (ASHA) domains. We hypothesize that synthetic datasets will maintain the statistical properties and relationships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 articulation, fluency, voice and resonance, hearing, communication modalities, receptive and expressive language, cognitive aspects of communication, and social aspects of communication. Once a dataset in each domain was found, the authors reproduced the primary analysis from the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Synthetic data was generated with the</w:t>
      </w:r>
      <w:r>
        <w:t xml:space="preserve"> </w:t>
      </w:r>
      <w:r>
        <w:rPr>
          <w:iCs/>
          <w:i/>
        </w:rPr>
        <w:t xml:space="preserve">synthpop</w:t>
      </w:r>
      <w:r>
        <w:t xml:space="preserve"> </w:t>
      </w:r>
      <w:r>
        <w:t xml:space="preserve">R package (cite).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While synthpop can accommodate synthetic data generation for multiple variables, our study focuses on univariate relationships as a first step in understanding its utility in the field of CSD.</w:t>
      </w:r>
    </w:p>
    <w:p>
      <w:pPr>
        <w:pStyle w:val="BodyText"/>
      </w:pPr>
      <w:r>
        <w:t xml:space="preserve">Our aims were twofold: (1) to determine whether a synthetic dataset maintained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was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w:t>
      </w:r>
      <w:r>
        <w:rPr>
          <w:bCs/>
          <w:b/>
        </w:rPr>
        <w:t xml:space="preserve">link</w:t>
      </w:r>
      <w:r>
        <w:t xml:space="preserve">).</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 (Curtis et al., 2023; Thompson et al., 2023) with additional data visualization and detailed R code. Since Curtis et al. (2023) 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(cite). This model included fixed effects of dataset type (synthetic/original) and bolus consistency (thin liquid/pudding/cracker)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3" w:name="results"/>
    <w:p>
      <w:pPr>
        <w:pStyle w:val="Heading1"/>
      </w:pPr>
      <w:r>
        <w:t xml:space="preserve">Results</w:t>
      </w:r>
    </w:p>
    <w:bookmarkStart w:id="30"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w:t>
      </w:r>
    </w:p>
    <w:p>
      <w:pPr>
        <w:pStyle w:val="BodyText"/>
      </w:pPr>
      <w:r>
        <w:t xml:space="preserve">To generate synthetic data, we first load in the original dataset.</w:t>
      </w:r>
    </w:p>
    <w:p>
      <w:pPr>
        <w:pStyle w:val="SourceCode"/>
      </w:pPr>
      <w:r>
        <w:rPr>
          <w:rStyle w:val="FunctionTok"/>
        </w:rPr>
        <w:t xml:space="preserve">library</w:t>
      </w:r>
      <w:r>
        <w:rPr>
          <w:rStyle w:val="NormalTok"/>
        </w:rPr>
        <w:t xml:space="preserve">(tidyverse) </w:t>
      </w:r>
      <w:r>
        <w:rPr>
          <w:rStyle w:val="CommentTok"/>
        </w:rPr>
        <w:t xml:space="preserve"># data wrangling</w:t>
      </w:r>
      <w:r>
        <w:br/>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to a factor</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in the</w:t>
      </w:r>
      <w:r>
        <w:t xml:space="preserve"> </w:t>
      </w:r>
      <w:r>
        <w:rPr>
          <w:iCs/>
          <w:i/>
        </w:rPr>
        <w:t xml:space="preserve">synthpop</w:t>
      </w:r>
      <w:r>
        <w:t xml:space="preserve"> </w:t>
      </w:r>
      <w:r>
        <w:t xml:space="preserve">package.</w:t>
      </w:r>
    </w:p>
    <w:p>
      <w:pPr>
        <w:pStyle w:val="BodyText"/>
      </w:pPr>
      <w:r>
        <w:t xml:space="preserve">An important step in the process is to assess the general utility of the synthetic dataset by comparing synthetic and original datasets through data visualization. This can be easily accomplished with the compare() function in the</w:t>
      </w:r>
      <w:r>
        <w:t xml:space="preserve"> </w:t>
      </w:r>
      <w:r>
        <w:rPr>
          <w:iCs/>
          <w:i/>
        </w:rPr>
        <w:t xml:space="preserve">synthpop</w:t>
      </w:r>
      <w:r>
        <w:t xml:space="preserve"> </w:t>
      </w:r>
      <w:r>
        <w:t xml:space="preserve">package. Figure 1 suggests that the synthetic dataset demonstrated similar distributions for the variables of bolus consistency and laryngeal vestibule residue rating.</w:t>
      </w:r>
    </w:p>
    <w:p>
      <w:pPr>
        <w:pStyle w:val="BodyText"/>
      </w:pPr>
      <w:r>
        <w:drawing>
          <wp:inline>
            <wp:extent cx="5943600" cy="4754880"/>
            <wp:effectExtent b="0" l="0" r="0" t="0"/>
            <wp:docPr descr="" title="" id="28" name="Picture"/>
            <a:graphic>
              <a:graphicData uri="http://schemas.openxmlformats.org/drawingml/2006/picture">
                <pic:pic>
                  <pic:nvPicPr>
                    <pic:cNvPr descr="synthetic_manuscript_files/figure-docx/unnamed-chunk-6-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Descriptively, the synthetic dataset classified 69.69% of laryngeal vestibule ratings on thin liquid boluses as</w:t>
      </w:r>
      <w:r>
        <w:t xml:space="preserve"> </w:t>
      </w:r>
      <w:r>
        <w:t xml:space="preserve">‘</w:t>
      </w:r>
      <w:r>
        <w:t xml:space="preserve">absent</w:t>
      </w:r>
      <w:r>
        <w:t xml:space="preserve">’</w:t>
      </w:r>
      <w:r>
        <w:t xml:space="preserve"> </w:t>
      </w:r>
      <w:r>
        <w:t xml:space="preserve">(i.e., 0% residue) compared to 67.83% in the original dataset. In the synthetic dataset, the median value on thin liquids was 0.02 (IQR: 0.02 - 0.04) compared to 0.03 (IQR: 0.02 - 0.045) in the original dataset. 98.86% of extremely-thick liquids were classified as having no laryngeal vestibule residue compared to 100% in the original dataset. A similar pattern was appreciated for regular solids (92.21% in synthetic vs. 100% in original dataset). Number of trials was lower for extremely-thick (77 trials) and regular solid (78 trials) boluses compared to thin liquid (429 trials). Findings from the zero-inflated beta multilevel models indicate that 99% of synthetic datasets were not statistically significantly different than the original dataset for both the zero-inflated and beta portions of the model.</w:t>
      </w:r>
    </w:p>
    <w:bookmarkEnd w:id="30"/>
    <w:bookmarkStart w:id="31" w:name="Xad1b62d3e68ad7e317afaf8751ff3120474d94a"/>
    <w:p>
      <w:pPr>
        <w:pStyle w:val="Heading3"/>
      </w:pPr>
      <w:r>
        <w:t xml:space="preserve">Study 2: Vowel Acoustics as Predictors of Speech Intelligibility in Dysarthria</w:t>
      </w:r>
    </w:p>
    <w:p>
      <w:pPr>
        <w:pStyle w:val="FirstParagraph"/>
      </w:pPr>
      <w:r>
        <w:t xml:space="preserve">XXX</w:t>
      </w:r>
    </w:p>
    <w:bookmarkEnd w:id="31"/>
    <w:bookmarkStart w:id="32" w:name="results-for-studies-3---9"/>
    <w:p>
      <w:pPr>
        <w:pStyle w:val="Heading3"/>
      </w:pPr>
      <w:r>
        <w:t xml:space="preserve">Results for Studies 3 - 9</w:t>
      </w:r>
    </w:p>
    <w:p>
      <w:pPr>
        <w:pStyle w:val="FirstParagraph"/>
      </w:pPr>
      <w:r>
        <w:t xml:space="preserve">XXX</w:t>
      </w:r>
    </w:p>
    <w:bookmarkEnd w:id="32"/>
    <w:bookmarkEnd w:id="33"/>
    <w:bookmarkStart w:id="34" w:name="discussion"/>
    <w:p>
      <w:pPr>
        <w:pStyle w:val="Heading1"/>
      </w:pPr>
      <w:r>
        <w:t xml:space="preserve">Discussion</w:t>
      </w:r>
    </w:p>
    <w:p>
      <w:pPr>
        <w:pStyle w:val="FirstParagraph"/>
      </w:pPr>
      <w:r>
        <w:t xml:space="preserve">XXX</w:t>
      </w:r>
    </w:p>
    <w:bookmarkEnd w:id="34"/>
    <w:bookmarkStart w:id="35" w:name="conclusions"/>
    <w:p>
      <w:pPr>
        <w:pStyle w:val="Heading1"/>
      </w:pPr>
      <w:r>
        <w:t xml:space="preserve">Conclusions</w:t>
      </w:r>
    </w:p>
    <w:p>
      <w:pPr>
        <w:pStyle w:val="FirstParagraph"/>
      </w:pPr>
      <w:r>
        <w:t xml:space="preserve">XXX</w:t>
      </w:r>
    </w:p>
    <w:p>
      <w:r>
        <w:br w:type="page"/>
      </w:r>
    </w:p>
    <w:bookmarkEnd w:id="35"/>
    <w:bookmarkStart w:id="36" w:name="preregistration-and-data-availability"/>
    <w:p>
      <w:pPr>
        <w:pStyle w:val="Heading1"/>
      </w:pPr>
      <w:r>
        <w:t xml:space="preserve">Preregistration and Data Availability</w:t>
      </w:r>
    </w:p>
    <w:p>
      <w:pPr>
        <w:pStyle w:val="FirstParagraph"/>
      </w:pPr>
      <w:r>
        <w:t xml:space="preserve">Preregistration, data, and analysis scripts are publicly available on the Open Science Framework (</w:t>
      </w:r>
      <w:r>
        <w:rPr>
          <w:bCs/>
          <w:b/>
        </w:rPr>
        <w:t xml:space="preserve">LINK HERE</w:t>
      </w:r>
      <w:r>
        <w:t xml:space="preserve">).</w:t>
      </w:r>
    </w:p>
    <w:bookmarkEnd w:id="36"/>
    <w:bookmarkStart w:id="37"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7"/>
    <w:bookmarkStart w:id="39" w:name="references"/>
    <w:p>
      <w:pPr>
        <w:pStyle w:val="Heading1"/>
      </w:pPr>
      <w:r>
        <w:t xml:space="preserve">References</w:t>
      </w:r>
    </w:p>
    <w:bookmarkStart w:id="38" w:name="refs"/>
    <w:bookmarkEnd w:id="38"/>
    <w:p>
      <w:r>
        <w:br w:type="page"/>
      </w:r>
    </w:p>
    <w:bookmarkEnd w:id="39"/>
    <w:bookmarkStart w:id="40"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r>
        <w:t xml:space="preserve">Figure 1. XXX</w:t>
      </w:r>
      <w:r>
        <w:t xml:space="preserve"> </w:t>
      </w:r>
      <w:r>
        <w:rPr>
          <w:iCs/>
          <w:i/>
        </w:rPr>
        <w:t xml:space="preserve">Caption</w:t>
      </w:r>
      <w:r>
        <w:t xml:space="preserve">: XXX</w:t>
      </w:r>
    </w:p>
    <w:bookmarkEnd w:id="40"/>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dc:creator>
  <cp:keywords/>
  <dcterms:created xsi:type="dcterms:W3CDTF">2024-07-30T20:48:32Z</dcterms:created>
  <dcterms:modified xsi:type="dcterms:W3CDTF">2024-07-30T20:48:32Z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HoustonFaculty of Health, School of Psychology and Counselling, Queensland University of Technology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sl">
    <vt:lpwstr>apa.csl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ndoc_args">
    <vt:lpwstr/>
  </property>
  <property fmtid="{D5CDD505-2E9C-101B-9397-08002B2CF9AE}" pid="13" name="toc-title">
    <vt:lpwstr>Table of contents</vt:lpwstr>
  </property>
</Properties>
</file>