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br/>
      </w:r>
      <w:r>
        <w:t xml:space="preserve">Promoting</w:t>
      </w:r>
      <w:r>
        <w:t xml:space="preserve"> </w:t>
      </w:r>
      <w:r>
        <w:t xml:space="preserve">an</w:t>
      </w:r>
      <w:r>
        <w:t xml:space="preserve"> </w:t>
      </w:r>
      <w:r>
        <w:t xml:space="preserve">Open,</w:t>
      </w:r>
      <w:r>
        <w:t xml:space="preserve"> </w:t>
      </w:r>
      <w:r>
        <w:t xml:space="preserve">Reproducible,</w:t>
      </w:r>
      <w:r>
        <w:t xml:space="preserve"> </w:t>
      </w:r>
      <w:r>
        <w:t xml:space="preserve">and</w:t>
      </w:r>
      <w:r>
        <w:t xml:space="preserve"> </w:t>
      </w:r>
      <w:r>
        <w:t xml:space="preserve">Cumulative</w:t>
      </w:r>
      <w:r>
        <w:t xml:space="preserve"> </w:t>
      </w:r>
      <w:r>
        <w:t xml:space="preserve">Science</w:t>
      </w:r>
      <w:r>
        <w:t xml:space="preserve"> </w:t>
      </w:r>
      <w:r>
        <w:t xml:space="preserve">[preprint]</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Kearney^3,</w:t>
      </w:r>
      <w:r>
        <w:t xml:space="preserve"> </w:t>
      </w:r>
      <w:r>
        <w:t xml:space="preserve">4^</w:t>
      </w:r>
    </w:p>
    <w:p>
      <w:pPr>
        <w:numPr>
          <w:ilvl w:val="0"/>
          <w:numId w:val="1001"/>
        </w:numPr>
        <w:pStyle w:val="Compact"/>
      </w:pPr>
      <w:r>
        <w:t xml:space="preserve">Department</w:t>
      </w:r>
      <w:r>
        <w:t xml:space="preserve"> </w:t>
      </w:r>
      <w:r>
        <w:t xml:space="preserve">of</w:t>
      </w:r>
      <w:r>
        <w:t xml:space="preserve"> </w:t>
      </w:r>
      <w:r>
        <w:t xml:space="preserve">Biobehavioral</w:t>
      </w:r>
      <w:r>
        <w:t xml:space="preserve"> </w:t>
      </w:r>
      <w:r>
        <w:t xml:space="preserve">Sciences,</w:t>
      </w:r>
      <w:r>
        <w:t xml:space="preserve"> </w:t>
      </w:r>
      <w:r>
        <w:t xml:space="preserve">Teachers</w:t>
      </w:r>
      <w:r>
        <w:t xml:space="preserve"> </w:t>
      </w:r>
      <w:r>
        <w:t xml:space="preserve">College</w:t>
      </w:r>
      <w:r>
        <w:t xml:space="preserve"> </w:t>
      </w:r>
      <w:r>
        <w:t xml:space="preserve">Columbia</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School</w:t>
      </w:r>
      <w:r>
        <w:t xml:space="preserve"> </w:t>
      </w:r>
      <w:r>
        <w:t xml:space="preserve">of</w:t>
      </w:r>
      <w:r>
        <w:t xml:space="preserve"> </w:t>
      </w:r>
      <w:r>
        <w:t xml:space="preserve">Health</w:t>
      </w:r>
      <w:r>
        <w:t xml:space="preserve"> </w:t>
      </w:r>
      <w:r>
        <w:t xml:space="preserve">and</w:t>
      </w:r>
      <w:r>
        <w:t xml:space="preserve"> </w:t>
      </w:r>
      <w:r>
        <w:t xml:space="preserve">Rehabilitation</w:t>
      </w:r>
      <w:r>
        <w:t xml:space="preserve"> </w:t>
      </w:r>
      <w:r>
        <w:t xml:space="preserve">Sciences,</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Australia</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Pathology,</w:t>
      </w:r>
      <w:r>
        <w:t xml:space="preserve"> </w:t>
      </w:r>
      <w:r>
        <w:t xml:space="preserve">Princess</w:t>
      </w:r>
      <w:r>
        <w:t xml:space="preserve"> </w:t>
      </w:r>
      <w:r>
        <w:t xml:space="preserve">Alexandra</w:t>
      </w:r>
      <w:r>
        <w:t xml:space="preserve"> </w:t>
      </w:r>
      <w:r>
        <w:t xml:space="preserve">Hospital,</w:t>
      </w:r>
      <w:r>
        <w:t xml:space="preserve"> </w:t>
      </w:r>
      <w:r>
        <w:t xml:space="preserve">Brisbane,</w:t>
      </w:r>
      <w:r>
        <w:t xml:space="preserve"> </w:t>
      </w:r>
      <w:r>
        <w:t xml:space="preserve">Australia</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r>
        <w:t xml:space="preserve">jcb2271@tc.columbia.edu</w:t>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Funding</w:t>
      </w:r>
      <w:r>
        <w:t xml:space="preserve">: None.</w:t>
      </w:r>
    </w:p>
    <w:p>
      <w:pPr>
        <w:pStyle w:val="noIndentParagraph"/>
      </w:pPr>
    </w:p>
    <w:p>
      <w:pPr>
        <w:pStyle w:val="noIndentParagraph"/>
      </w:pPr>
      <w:r>
        <w:rPr>
          <w:bCs/>
          <w:b/>
        </w:rPr>
        <w:t xml:space="preserve">Ethical Approval</w:t>
      </w:r>
      <w:r>
        <w:t xml:space="preserve">: This study was deemed exempt by the Institutional Review Board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however, data sharing is uncommon in the field of Communication Sciences and Disorders and exacerbated by concerns related to privacy and disclosure risks. Synthetic data offers a potential solution to this barrier by generating artificial datasets that do not represent real individuals yet retain statistical properties and relationships from the original data. The present study evaluates the performance of synthetic data generation using open data from previously published studies across the</w:t>
      </w:r>
      <w:r>
        <w:t xml:space="preserve"> </w:t>
      </w:r>
      <w:r>
        <w:t xml:space="preserve">‘</w:t>
      </w:r>
      <w:r>
        <w:t xml:space="preserve">Big Nine</w:t>
      </w:r>
      <w:r>
        <w:t xml:space="preserve">’</w:t>
      </w:r>
      <w:r>
        <w:t xml:space="preserve"> </w:t>
      </w:r>
      <w:r>
        <w:t xml:space="preserve">domains defined by the American Speech-Language Hearing Association.</w:t>
      </w:r>
    </w:p>
    <w:p>
      <w:pPr>
        <w:pStyle w:val="noIndentParagraph"/>
      </w:pPr>
      <w:r>
        <w:rPr>
          <w:bCs/>
          <w:b/>
        </w:rPr>
        <w:t xml:space="preserve">Method</w:t>
      </w:r>
      <w:r>
        <w:t xml:space="preserve">: Open datasets were obtained from previously published research across the domains of Articulation, Cognition, Communication, Fluency, Hearing, Language, Social Communication, Voice and Resonance, and Swallowing. Synthetic datasets were generated with the</w:t>
      </w:r>
      <w:r>
        <w:t xml:space="preserve"> </w:t>
      </w:r>
      <w:r>
        <w:rPr>
          <w:iCs/>
          <w:i/>
        </w:rPr>
        <w:t xml:space="preserve">synthpop</w:t>
      </w:r>
      <w:r>
        <w:t xml:space="preserve"> </w:t>
      </w:r>
      <w:r>
        <w:t xml:space="preserve">R package. Results from synthetic datasets were compared to those from the original published datasets.</w:t>
      </w:r>
    </w:p>
    <w:p>
      <w:pPr>
        <w:pStyle w:val="noIndentParagraph"/>
      </w:pPr>
      <w:r>
        <w:rPr>
          <w:bCs/>
          <w:b/>
        </w:rPr>
        <w:t xml:space="preserve">Results</w:t>
      </w:r>
      <w:r>
        <w:t xml:space="preserve">: Synthetic datasets maintained the direction of the</w:t>
      </w:r>
      <w:r>
        <w:t xml:space="preserve"> </w:t>
      </w:r>
      <w:r>
        <w:rPr>
          <w:iCs/>
          <w:i/>
        </w:rPr>
        <w:t xml:space="preserve">p</w:t>
      </w:r>
      <w:r>
        <w:t xml:space="preserve">-value in six studies and effect size categorization in five out of nine studies.</w:t>
      </w:r>
      <w:r>
        <w:t xml:space="preserve"> </w:t>
      </w:r>
      <w:r>
        <w:rPr>
          <w:bCs/>
          <w:b/>
        </w:rPr>
        <w:t xml:space="preserve">Add more here</w:t>
      </w:r>
      <w:r>
        <w:t xml:space="preserve">.</w:t>
      </w:r>
    </w:p>
    <w:p>
      <w:pPr>
        <w:pStyle w:val="noIndentParagraph"/>
      </w:pPr>
      <w:r>
        <w:rPr>
          <w:bCs/>
          <w:b/>
        </w:rPr>
        <w:t xml:space="preserve">Conclusion</w:t>
      </w:r>
      <w:r>
        <w:t xml:space="preserve">: Findings indicate that… We provide a general framework to promote sharing open data to facilitate computational reproducibility and a cumulative science.</w:t>
      </w:r>
    </w:p>
    <w:bookmarkEnd w:id="20"/>
    <w:p>
      <w:r>
        <w:br w:type="page"/>
      </w:r>
    </w:p>
    <w:bookmarkStart w:id="21" w:name="introduction"/>
    <w:p>
      <w:pPr>
        <w:pStyle w:val="Heading1"/>
      </w:pPr>
      <w:r>
        <w:t xml:space="preserve">Introduction</w:t>
      </w:r>
    </w:p>
    <w:p>
      <w:pPr>
        <w:pStyle w:val="FirstParagraph"/>
      </w:pPr>
      <w:r>
        <w:t xml:space="preserve">Transparency and openness are fundamental tenets of science. One aspect of transparency and openness in science relates to computational reproducibility, or the ability to recreate a study’s results using the original data. Nowadays, the vast majority of scientific studies use some degree of computation, including processing data, conducting descriptive or inferential statistics, or visualizing results. When these computations are reproducible, the transparency and confidence in findings is enhanced. Achieving computational reproducibility, however, requires authors to share their data. Both the National Institutes of Health and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 Providing open, publicly available data benefits scientists, funding bodies, and society at large by enabling researchers to verify results, generate new knowledge (e.g., meta-analyses, secondary analyses), develop hypotheses, and minimize redundant data collection. In this sense, sharing data promotes a cumulative and self-correcting science.</w:t>
      </w:r>
    </w:p>
    <w:p>
      <w:pPr>
        <w:pStyle w:val="BodyText"/>
      </w:pPr>
      <w:r>
        <w:t xml:space="preserve">Despite the clear benefits of open data and its growing adoption in other fields like psychology and the biobehavioral sciences</w:t>
      </w:r>
      <w:r>
        <w:t xml:space="preserve"> </w:t>
      </w:r>
      <w:r>
        <w:t xml:space="preserve">(Quintana, 2020)</w:t>
      </w:r>
      <w:r>
        <w:t xml:space="preserve">, only 26% of researchers in the field of Communication Sciences and Disorders (CSD) reported sharing their data publicly at least once</w:t>
      </w:r>
      <w:r>
        <w:t xml:space="preserve"> </w:t>
      </w:r>
      <w:r>
        <w:t xml:space="preserve">(El Amin et al., 2023)</w:t>
      </w:r>
      <w:r>
        <w:t xml:space="preserve">. Both individual and system-level barriers hinder data sharing, including a lack of time, knowledge, support from colleagues, and perceived incentives. Privacy and confidentiality concerns, particularly in low-incidence populations, also pose significant challenges</w:t>
      </w:r>
      <w:r>
        <w:t xml:space="preserve"> </w:t>
      </w:r>
      <w:r>
        <w:t xml:space="preserve">(Pfeiffer et al., 2024)</w:t>
      </w:r>
      <w:r>
        <w:t xml:space="preserve">. Researchers have traditionally attempted to minimize disclosure risks by anonymizing datasets, aggregating results, or releasing a subset of the dataset; however, these practices do not fully eliminate the risk of identification in low-incidence populations. For example, re-identifying an individual in an incomplete dataset requires only a few demographic attributes</w:t>
      </w:r>
      <w:r>
        <w:t xml:space="preserve"> </w:t>
      </w:r>
      <w:r>
        <w:t xml:space="preserve">(Rocher et al., 2019)</w:t>
      </w:r>
      <w:r>
        <w:t xml:space="preserve">. A further challenge in sharing data can occur when researchers did not prospectively obtain consent to share data and may not be able to contact participants after data collection</w:t>
      </w:r>
      <w:r>
        <w:t xml:space="preserve"> </w:t>
      </w:r>
      <w:r>
        <w:t xml:space="preserve">(Pfeiffer et al., 2024)</w:t>
      </w:r>
      <w:r>
        <w:t xml:space="preserve">.</w:t>
      </w:r>
    </w:p>
    <w:p>
      <w:pPr>
        <w:pStyle w:val="BodyText"/>
      </w:pPr>
      <w:r>
        <w:t xml:space="preserve">Synthetic data generation offers a potential solution to maintaining participants’ privacy and confidentiality in publicly available datasets</w:t>
      </w:r>
      <w:r>
        <w:t xml:space="preserve"> </w:t>
      </w:r>
      <w:r>
        <w:t xml:space="preserve">(Drechsler &amp; Haensch, 2024; Rubin, 1993)</w:t>
      </w:r>
      <w:r>
        <w:t xml:space="preserve">. Synthetic data involves creating artificial datasets that do not represent real individuals, ensuring no risk of disclosure since participants in the synthetic dataset do not correspond to real 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w:t>
      </w:r>
      <w:r>
        <w:t xml:space="preserve"> </w:t>
      </w:r>
      <w:r>
        <w:t xml:space="preserve">(Jarmin et al., 2014)</w:t>
      </w:r>
      <w:r>
        <w:t xml:space="preserve">. Though synthetic data methods were proposed more than 30 years ago</w:t>
      </w:r>
      <w:r>
        <w:t xml:space="preserve"> </w:t>
      </w:r>
      <w:r>
        <w:t xml:space="preserve">(Rubin, 1993)</w:t>
      </w:r>
      <w:r>
        <w:t xml:space="preserve">, recent analytic and practical developments have made it easier and more efficient to generate high-quality synthetic data</w:t>
      </w:r>
      <w:r>
        <w:t xml:space="preserve"> </w:t>
      </w:r>
      <w:r>
        <w:t xml:space="preserve">(Nowok et al., 2016)</w:t>
      </w:r>
      <w:r>
        <w:t xml:space="preserve">.</w:t>
      </w:r>
    </w:p>
    <w:p>
      <w:pPr>
        <w:pStyle w:val="BodyText"/>
      </w:pPr>
      <w:r>
        <w:t xml:space="preserve">Despite the potential utility of synthetic data to promote open data in the field of CSD, this approach is not widely known or adopted in the field. Data commonly collected in CSD research poses unique challenges, including smaller sample sizes than are typically recommended for synthetic data generation</w:t>
      </w:r>
      <w:r>
        <w:t xml:space="preserve"> </w:t>
      </w:r>
      <w:r>
        <w:t xml:space="preserve">(Borders et al., 2022; Gaeta &amp; Brydges, 2020)</w:t>
      </w:r>
      <w:r>
        <w:t xml:space="preserve">. Therefore, the present study aimed to examine the utility of synthetic data generation with open datasets from the</w:t>
      </w:r>
      <w:r>
        <w:t xml:space="preserve"> </w:t>
      </w:r>
      <w:r>
        <w:t xml:space="preserve">‘</w:t>
      </w:r>
      <w:r>
        <w:t xml:space="preserve">Big Nine</w:t>
      </w:r>
      <w:r>
        <w:t xml:space="preserve">’</w:t>
      </w:r>
      <w:r>
        <w:t xml:space="preserve"> </w:t>
      </w:r>
      <w:r>
        <w:t xml:space="preserve">American Speech-Language Hearing Association (ASHA) domains. We hypothesize that synthetic datasets will maintain the statistical properties and relationships of the original datasets, and that synthetic data will remain stable when generating multiple datasets. A secondary goal is to provide a framework for researchers in CSD to use data synthesis as a means to share fully de-identified data, thereby addressing concerns regarding researcher knowledge and participant confidentiality in sharing data.</w:t>
      </w:r>
    </w:p>
    <w:bookmarkEnd w:id="21"/>
    <w:bookmarkStart w:id="26" w:name="method"/>
    <w:p>
      <w:pPr>
        <w:pStyle w:val="Heading1"/>
      </w:pPr>
      <w:r>
        <w:t xml:space="preserve">Method</w:t>
      </w:r>
    </w:p>
    <w:bookmarkStart w:id="23"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Authors performed a manual search to obtain publicly available datasets from previously published research articles related to</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Authors then reproduced an analysis from each study. Table 1 provides a description of the population, analysis, and open materials for each study.</w:t>
      </w:r>
    </w:p>
    <w:bookmarkStart w:id="22" w:name="table-1-here."/>
    <w:p>
      <w:pPr>
        <w:pStyle w:val="Heading5"/>
      </w:pPr>
      <w:r>
        <w:t xml:space="preserve">Table 1 here.</w:t>
      </w:r>
    </w:p>
    <w:bookmarkEnd w:id="22"/>
    <w:bookmarkEnd w:id="23"/>
    <w:bookmarkStart w:id="25" w:name="X321e19ec81b75917a55c1464328791a1d343239"/>
    <w:p>
      <w:pPr>
        <w:pStyle w:val="Heading2"/>
      </w:pPr>
      <w:r>
        <w:t xml:space="preserve">Generation of Synthetic Datasets and Comparison with Original Dataset</w:t>
      </w:r>
    </w:p>
    <w:p>
      <w:pPr>
        <w:pStyle w:val="FirstParagraph"/>
      </w:pPr>
      <w:r>
        <w:t xml:space="preserve">All data generation and analyses were conducted in R version 4.2.1</w:t>
      </w:r>
      <w:r>
        <w:t xml:space="preserve"> </w:t>
      </w:r>
      <w:r>
        <w:t xml:space="preserve">(</w:t>
      </w:r>
      <w:r>
        <w:rPr>
          <w:bCs/>
          <w:b/>
        </w:rPr>
        <w:t xml:space="preserve">rcoreteam22?</w:t>
      </w:r>
      <w:r>
        <w:t xml:space="preserve">)</w:t>
      </w:r>
      <w:r>
        <w:t xml:space="preserve">. Synthetic data was generated with the</w:t>
      </w:r>
      <w:r>
        <w:t xml:space="preserve"> </w:t>
      </w:r>
      <w:r>
        <w:rPr>
          <w:iCs/>
          <w:i/>
        </w:rPr>
        <w:t xml:space="preserve">synthpop</w:t>
      </w:r>
      <w:r>
        <w:t xml:space="preserve"> </w:t>
      </w:r>
      <w:r>
        <w:t xml:space="preserve">R package version 1.8.0</w:t>
      </w:r>
      <w:r>
        <w:t xml:space="preserve"> </w:t>
      </w:r>
      <w:r>
        <w:t xml:space="preserve">(Nowok et al., 2016)</w:t>
      </w:r>
      <w:r>
        <w:t xml:space="preserve">. Specifically,</w:t>
      </w:r>
      <w:r>
        <w:t xml:space="preserve"> </w:t>
      </w:r>
      <w:r>
        <w:rPr>
          <w:iCs/>
          <w:i/>
        </w:rPr>
        <w:t xml:space="preserve">synthpop</w:t>
      </w:r>
      <w:r>
        <w:t xml:space="preserve"> </w:t>
      </w:r>
      <w:r>
        <w:t xml:space="preserve">uses a non-parametric classification and regression tree (CART) approach that can handle any data type and generates data by sampling from a probability distribution. Our aims were twofold: (1) to determine whether a synthetic dataset maintained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w:t>
      </w:r>
      <w:r>
        <w:t xml:space="preserve"> </w:t>
      </w:r>
      <w:r>
        <w:t xml:space="preserve">‘</w:t>
      </w:r>
      <w:r>
        <w:t xml:space="preserve">Big Nine</w:t>
      </w:r>
      <w:r>
        <w:t xml:space="preserve">’</w:t>
      </w:r>
      <w:r>
        <w:t xml:space="preserve"> </w:t>
      </w:r>
      <w:r>
        <w:t xml:space="preserve">domain. A statistical model with the original dataset was fit and the</w:t>
      </w:r>
      <w:r>
        <w:t xml:space="preserve"> </w:t>
      </w:r>
      <w:r>
        <w:rPr>
          <w:iCs/>
          <w:i/>
        </w:rPr>
        <w:t xml:space="preserve">p</w:t>
      </w:r>
      <w:r>
        <w:t xml:space="preserve">-value and effect size were recorded. If 95% of p-values and effect sizes from the synthetic datasets demonstrated a similar result as the original study, then this indicated that synthetic data maintained the statistical relationship. Specifically, we further defined this as a similar inferential result for</w:t>
      </w:r>
      <w:r>
        <w:t xml:space="preserve"> </w:t>
      </w:r>
      <w:r>
        <w:rPr>
          <w:iCs/>
          <w:i/>
        </w:rPr>
        <w:t xml:space="preserve">p</w:t>
      </w:r>
      <w:r>
        <w:t xml:space="preserve">-values (i.e., a</w:t>
      </w:r>
      <w:r>
        <w:t xml:space="preserve"> </w:t>
      </w:r>
      <w:r>
        <w:t xml:space="preserve">‘</w:t>
      </w:r>
      <w:r>
        <w:t xml:space="preserve">significant</w:t>
      </w:r>
      <w:r>
        <w:t xml:space="preserve">’</w:t>
      </w:r>
      <w:r>
        <w:t xml:space="preserve"> </w:t>
      </w:r>
      <w:r>
        <w:t xml:space="preserve">or</w:t>
      </w:r>
      <w:r>
        <w:t xml:space="preserve"> </w:t>
      </w:r>
      <w:r>
        <w:t xml:space="preserve">‘</w:t>
      </w:r>
      <w:r>
        <w:t xml:space="preserve">non-significant</w:t>
      </w:r>
      <w:r>
        <w:t xml:space="preserve">’</w:t>
      </w:r>
      <w:r>
        <w:t xml:space="preserve"> </w:t>
      </w:r>
      <w:r>
        <w:rPr>
          <w:iCs/>
          <w:i/>
        </w:rPr>
        <w:t xml:space="preserve">p</w:t>
      </w:r>
      <w:r>
        <w:t xml:space="preserve">-value based on the original study’s alpha level) and effect sizes that maintained their categorization (e.g., a</w:t>
      </w:r>
      <w:r>
        <w:t xml:space="preserve"> </w:t>
      </w:r>
      <w:r>
        <w:t xml:space="preserve">‘</w:t>
      </w:r>
      <w:r>
        <w:t xml:space="preserve">medium</w:t>
      </w:r>
      <w:r>
        <w:t xml:space="preserve">’</w:t>
      </w:r>
      <w:r>
        <w:t xml:space="preserve"> </w:t>
      </w:r>
      <w:r>
        <w:t xml:space="preserve">effect size). Measures of effect size and their interpretation for each study are provided in Table 2. If variability between the 100 synthetic datasets was appreciated, we described the dispersion of this distribution. The analysis plan for this study was preregistered on the Open Science Framework (https://osf.io/vhgq2).</w:t>
      </w:r>
    </w:p>
    <w:bookmarkStart w:id="24" w:name="table-2-here."/>
    <w:p>
      <w:pPr>
        <w:pStyle w:val="Heading5"/>
      </w:pPr>
      <w:r>
        <w:t xml:space="preserve">Table 2 here.</w:t>
      </w:r>
    </w:p>
    <w:p>
      <w:pPr>
        <w:pStyle w:val="FirstParagraph"/>
      </w:pPr>
      <w:r>
        <w:t xml:space="preserve">In addition to these inferential comparisons, we provide a tutorial to walk through the required steps to generate synthetic data for the reader. This is accomplished in the context of two datasets</w:t>
      </w:r>
      <w:r>
        <w:t xml:space="preserve"> </w:t>
      </w:r>
      <w:r>
        <w:t xml:space="preserve">(Curtis et al., 2023; Thompson et al., 2023)</w:t>
      </w:r>
      <w:r>
        <w:t xml:space="preserve"> </w:t>
      </w:r>
      <w:r>
        <w:t xml:space="preserve">with additional data visualization and detailed R code. Since curtis_etal23a did not perform inferential tests, we directly compared each synthetic dataset to the original data with a zero-inflated beta multilevel model with the</w:t>
      </w:r>
      <w:r>
        <w:t xml:space="preserve"> </w:t>
      </w:r>
      <w:r>
        <w:rPr>
          <w:iCs/>
          <w:i/>
        </w:rPr>
        <w:t xml:space="preserve">gamlss</w:t>
      </w:r>
      <w:r>
        <w:t xml:space="preserve"> </w:t>
      </w:r>
      <w:r>
        <w:t xml:space="preserve">package version 5.4.3</w:t>
      </w:r>
      <w:r>
        <w:t xml:space="preserve"> </w:t>
      </w:r>
      <w:r>
        <w:t xml:space="preserve">(</w:t>
      </w:r>
      <w:r>
        <w:rPr>
          <w:bCs/>
          <w:b/>
        </w:rPr>
        <w:t xml:space="preserve">stasinopoulosGeneralizedAdditiveModels2007?</w:t>
      </w:r>
      <w:r>
        <w:t xml:space="preserve">)</w:t>
      </w:r>
      <w:r>
        <w:t xml:space="preserve">. This model included fixed effects of dataset type (synthetic/original) and bolus consistency (thin liquid/extremely thick/regular) and a random intercept of participant. Due to issues with model convergence, the fixed effect structure was simplified to only include dataset type. The</w:t>
      </w:r>
      <w:r>
        <w:t xml:space="preserve"> </w:t>
      </w:r>
      <w:r>
        <w:rPr>
          <w:iCs/>
          <w:i/>
        </w:rPr>
        <w:t xml:space="preserve">p</w:t>
      </w:r>
      <w:r>
        <w:t xml:space="preserve">-value from both zero-inflated and beta portions of the model were evaluated and</w:t>
      </w:r>
      <w:r>
        <w:t xml:space="preserve"> </w:t>
      </w:r>
      <w:r>
        <w:rPr>
          <w:iCs/>
          <w:i/>
        </w:rPr>
        <w:t xml:space="preserve">p</w:t>
      </w:r>
      <w:r>
        <w:t xml:space="preserve"> </w:t>
      </w:r>
      <w:r>
        <w:t xml:space="preserve">&lt; .05 was interpreted as evidence of no statistically significant difference between the synthetic and original dataset.</w:t>
      </w:r>
    </w:p>
    <w:p>
      <w:pPr>
        <w:pStyle w:val="BodyText"/>
      </w:pPr>
      <w:r>
        <w:t xml:space="preserve">The tutorial data and accompanying code can be accessed on the Open Science Framework (OSF:</w:t>
      </w:r>
      <w:r>
        <w:t xml:space="preserve"> </w:t>
      </w:r>
      <w:r>
        <w:rPr>
          <w:bCs/>
          <w:b/>
        </w:rPr>
        <w:t xml:space="preserve">add link</w:t>
      </w:r>
      <w:r>
        <w:t xml:space="preserve">). To get started, download… Open the</w:t>
      </w:r>
      <w:r>
        <w:t xml:space="preserve"> </w:t>
      </w:r>
      <w:r>
        <w:rPr>
          <w:iCs/>
          <w:i/>
        </w:rPr>
        <w:t xml:space="preserve">open-and-synthetic-data.Rproj</w:t>
      </w:r>
      <w:r>
        <w:t xml:space="preserve"> </w:t>
      </w:r>
      <w:r>
        <w:t xml:space="preserve">file in RStudio and then X file.</w:t>
      </w:r>
    </w:p>
    <w:bookmarkEnd w:id="24"/>
    <w:bookmarkEnd w:id="25"/>
    <w:bookmarkEnd w:id="26"/>
    <w:bookmarkStart w:id="31" w:name="results"/>
    <w:p>
      <w:pPr>
        <w:pStyle w:val="Heading1"/>
      </w:pPr>
      <w:r>
        <w:t xml:space="preserve">Results</w:t>
      </w:r>
    </w:p>
    <w:bookmarkStart w:id="27" w:name="X1716400c673c6b2a3875136098aa2cae081f9a7"/>
    <w:p>
      <w:pPr>
        <w:pStyle w:val="Heading3"/>
      </w:pPr>
      <w:r>
        <w:t xml:space="preserve">Study 1: Normative Reference Values for Swallowing Outcomes</w:t>
      </w:r>
    </w:p>
    <w:p>
      <w:pPr>
        <w:pStyle w:val="FirstParagraph"/>
      </w:pPr>
      <w:r>
        <w:t xml:space="preserve">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pPr>
        <w:pStyle w:val="BodyText"/>
      </w:pPr>
      <w:r>
        <w:t xml:space="preserve">To generate synthetic data, we first load in the original dataset, wrangle the dataset using the</w:t>
      </w:r>
      <w:r>
        <w:t xml:space="preserve"> </w:t>
      </w:r>
      <w:r>
        <w:rPr>
          <w:iCs/>
          <w:i/>
        </w:rPr>
        <w:t xml:space="preserve">tidyverse</w:t>
      </w:r>
      <w:r>
        <w:t xml:space="preserve"> </w:t>
      </w:r>
      <w:r>
        <w:t xml:space="preserve">packages</w:t>
      </w:r>
      <w:r>
        <w:t xml:space="preserve"> </w:t>
      </w:r>
      <w:r>
        <w:t xml:space="preserve">(</w:t>
      </w:r>
      <w:r>
        <w:rPr>
          <w:bCs/>
          <w:b/>
        </w:rPr>
        <w:t xml:space="preserve">wickham_etal19?</w:t>
      </w:r>
      <w:r>
        <w:t xml:space="preserve">)</w:t>
      </w:r>
      <w:r>
        <w:t xml:space="preserve"> </w:t>
      </w:r>
      <w:r>
        <w:t xml:space="preserve">and then create a synthetic dataset with the syn() function in the</w:t>
      </w:r>
      <w:r>
        <w:t xml:space="preserve"> </w:t>
      </w:r>
      <w:r>
        <w:rPr>
          <w:iCs/>
          <w:i/>
        </w:rPr>
        <w:t xml:space="preserve">synthpop</w:t>
      </w:r>
      <w:r>
        <w:t xml:space="preserve"> </w:t>
      </w:r>
      <w:r>
        <w:t xml:space="preserve">package. The data wrangling steps include loading required R packages, importing the original dataset csv file,</w:t>
      </w:r>
      <w:r>
        <w:t xml:space="preserve"> </w:t>
      </w:r>
      <w:r>
        <w:t xml:space="preserve">‘</w:t>
      </w:r>
      <w:r>
        <w:t xml:space="preserve">cleaning</w:t>
      </w:r>
      <w:r>
        <w:t xml:space="preserve">’</w:t>
      </w:r>
      <w:r>
        <w:t xml:space="preserve"> </w:t>
      </w:r>
      <w:r>
        <w:t xml:space="preserve">variable names to ensure they are all lowercase, selecting only relevant variables in the dataset, converting relevant categorical variables to factors, and expressing the outcome variable as a percentage out of 100.</w:t>
      </w:r>
    </w:p>
    <w:p>
      <w:pPr>
        <w:pStyle w:val="SourceCode"/>
      </w:pP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(synthpop) </w:t>
      </w:r>
      <w:r>
        <w:rPr>
          <w:rStyle w:val="CommentTok"/>
        </w:rPr>
        <w:t xml:space="preserve"># R package to generate synthetic data</w:t>
      </w:r>
      <w:r>
        <w:br/>
      </w:r>
      <w:r>
        <w:br/>
      </w:r>
      <w:r>
        <w:rPr>
          <w:rStyle w:val="CommentTok"/>
        </w:rPr>
        <w:t xml:space="preserve"># load original data</w:t>
      </w:r>
      <w:r>
        <w:br/>
      </w:r>
      <w:r>
        <w:rPr>
          <w:rStyle w:val="NormalTok"/>
        </w:rPr>
        <w:t xml:space="preserve">swallowing_original_data </w:t>
      </w:r>
      <w:r>
        <w:rPr>
          <w:rStyle w:val="OtherTok"/>
        </w:rPr>
        <w:t xml:space="preserve">&lt;-</w:t>
      </w:r>
      <w:r>
        <w:br/>
      </w:r>
      <w:r>
        <w:rPr>
          <w:rStyle w:val="NormalTok"/>
        </w:rPr>
        <w:t xml:space="preserve">  </w:t>
      </w:r>
      <w:r>
        <w:rPr>
          <w:rStyle w:val="CommentTok"/>
        </w:rPr>
        <w:t xml:space="preserve"># read csv file from appropriate path</w:t>
      </w:r>
      <w:r>
        <w:br/>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"Data/01_Swallowing/norms_ratings.csv"</w:t>
      </w:r>
      <w:r>
        <w:rPr>
          <w:rStyle w:val="NormalTok"/>
        </w:rPr>
        <w:t xml:space="preserve">)) </w:t>
      </w:r>
      <w:r>
        <w:rPr>
          <w:rStyle w:val="SpecialCharTok"/>
        </w:rPr>
        <w:t xml:space="preserve">|&gt;</w:t>
      </w:r>
      <w:r>
        <w:br/>
      </w:r>
      <w:r>
        <w:rPr>
          <w:rStyle w:val="NormalTok"/>
        </w:rPr>
        <w:t xml:space="preserve">  </w:t>
      </w:r>
      <w:r>
        <w:rPr>
          <w:rStyle w:val="CommentTok"/>
        </w:rPr>
        <w:t xml:space="preserve"># clean variable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select only relevant variables from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(study_id, bolus_consistency, </w:t>
      </w:r>
      <w:r>
        <w:br/>
      </w:r>
      <w:r>
        <w:rPr>
          <w:rStyle w:val="NormalTok"/>
        </w:rPr>
        <w:t xml:space="preserve">                  laryngeal_vestibule_severity_rating))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study_id and bolus_consistency to factors</w:t>
      </w:r>
      <w:r>
        <w:br/>
      </w:r>
      <w:r>
        <w:rPr>
          <w:rStyle w:val="NormalTok"/>
        </w:rPr>
        <w:t xml:space="preserve">    </w:t>
      </w:r>
      <w:r>
        <w:rPr>
          <w:rStyle w:val="AttributeTok"/>
        </w:rPr>
        <w:t xml:space="preserve">study_id =</w:t>
      </w:r>
      <w:r>
        <w:rPr>
          <w:rStyle w:val="NormalTok"/>
        </w:rPr>
        <w:t xml:space="preserve"> </w:t>
      </w:r>
      <w:r>
        <w:rPr>
          <w:rStyle w:val="FunctionTok"/>
        </w:rPr>
        <w:t xml:space="preserve">as.factor</w:t>
      </w:r>
      <w:r>
        <w:rPr>
          <w:rStyle w:val="NormalTok"/>
        </w:rPr>
        <w:t xml:space="preserve">(study_id),</w:t>
      </w:r>
      <w:r>
        <w:br/>
      </w:r>
      <w:r>
        <w:rPr>
          <w:rStyle w:val="NormalTok"/>
        </w:rPr>
        <w:t xml:space="preserve">    </w:t>
      </w:r>
      <w:r>
        <w:rPr>
          <w:rStyle w:val="AttributeTok"/>
        </w:rPr>
        <w:t xml:space="preserve">bolus_consistency =</w:t>
      </w:r>
      <w:r>
        <w:rPr>
          <w:rStyle w:val="NormalTok"/>
        </w:rPr>
        <w:t xml:space="preserve"> </w:t>
      </w:r>
      <w:r>
        <w:rPr>
          <w:rStyle w:val="FunctionTok"/>
        </w:rPr>
        <w:t xml:space="preserve">as.factor</w:t>
      </w:r>
      <w:r>
        <w:rPr>
          <w:rStyle w:val="NormalTok"/>
        </w:rPr>
        <w:t xml:space="preserve">(bolus_consistency),</w:t>
      </w:r>
      <w:r>
        <w:br/>
      </w:r>
      <w:r>
        <w:rPr>
          <w:rStyle w:val="NormalTok"/>
        </w:rPr>
        <w:t xml:space="preserve">    </w:t>
      </w:r>
      <w:r>
        <w:rPr>
          <w:rStyle w:val="CommentTok"/>
        </w:rPr>
        <w:t xml:space="preserve"># express laryngeal_vestibule_severity_rating as a %</w:t>
      </w:r>
      <w:r>
        <w:br/>
      </w:r>
      <w:r>
        <w:rPr>
          <w:rStyle w:val="NormalTok"/>
        </w:rPr>
        <w:t xml:space="preserve">    </w:t>
      </w:r>
      <w:r>
        <w:rPr>
          <w:rStyle w:val="AttributeTok"/>
        </w:rPr>
        <w:t xml:space="preserve">laryngeal_vestibule_severity_rating =</w:t>
      </w:r>
      <w:r>
        <w:rPr>
          <w:rStyle w:val="NormalTok"/>
        </w:rPr>
        <w:t xml:space="preserve"> laryngeal_vestibule_severity_rating</w:t>
      </w:r>
      <w:r>
        <w:rPr>
          <w:rStyle w:val="SpecialCharTok"/>
        </w:rPr>
        <w:t xml:space="preserve">/</w:t>
      </w:r>
      <w:r>
        <w:rPr>
          <w:rStyle w:val="DecValTok"/>
        </w:rPr>
        <w:t xml:space="preserve">100</w:t>
      </w:r>
      <w:r>
        <w:br/>
      </w:r>
      <w:r>
        <w:rPr>
          <w:rStyle w:val="NormalTok"/>
        </w:rPr>
        <w:t xml:space="preserve">         )</w:t>
      </w:r>
    </w:p>
    <w:p>
      <w:pPr>
        <w:pStyle w:val="FirstParagraph"/>
      </w:pPr>
      <w:r>
        <w:t xml:space="preserve">Next, we create a synthetic dataset with the syn() function from the</w:t>
      </w:r>
      <w:r>
        <w:t xml:space="preserve"> </w:t>
      </w:r>
      <w:r>
        <w:rPr>
          <w:iCs/>
          <w:i/>
        </w:rPr>
        <w:t xml:space="preserve">synthpop</w:t>
      </w:r>
      <w:r>
        <w:t xml:space="preserve"> </w:t>
      </w:r>
      <w:r>
        <w:t xml:space="preserve">package. Within the function,</w:t>
      </w:r>
      <w:r>
        <w:t xml:space="preserve"> </w:t>
      </w:r>
      <w:r>
        <w:t xml:space="preserve">‘</w:t>
      </w:r>
      <w:r>
        <w:t xml:space="preserve">method</w:t>
      </w:r>
      <w:r>
        <w:t xml:space="preserve">’</w:t>
      </w:r>
      <w:r>
        <w:t xml:space="preserve"> </w:t>
      </w:r>
      <w:r>
        <w:t xml:space="preserve">specifies the synthesising method for the data. The default in synthpop is</w:t>
      </w:r>
      <w:r>
        <w:t xml:space="preserve"> </w:t>
      </w:r>
      <w:r>
        <w:t xml:space="preserve">“</w:t>
      </w:r>
      <w:r>
        <w:t xml:space="preserve">cart</w:t>
      </w:r>
      <w:r>
        <w:t xml:space="preserve">”</w:t>
      </w:r>
      <w:r>
        <w:t xml:space="preserve"> </w:t>
      </w:r>
      <w:r>
        <w:t xml:space="preserve">(Classification and Regression Tree). If a synthetic dataset fails to generate with this method, Nowok et al. (2018) recommend an alternative implementation of the CART technique from package</w:t>
      </w:r>
      <w:r>
        <w:t xml:space="preserve"> </w:t>
      </w:r>
      <w:r>
        <w:rPr>
          <w:iCs/>
          <w:i/>
        </w:rPr>
        <w:t xml:space="preserve">party</w:t>
      </w:r>
      <w:r>
        <w:t xml:space="preserve"> </w:t>
      </w:r>
      <w:r>
        <w:t xml:space="preserve">(</w:t>
      </w:r>
      <w:r>
        <w:rPr>
          <w:bCs/>
          <w:b/>
        </w:rPr>
        <w:t xml:space="preserve">hothorn_etal06?</w:t>
      </w:r>
      <w:r>
        <w:t xml:space="preserve">)</w:t>
      </w:r>
      <w:r>
        <w:t xml:space="preserve">. This dataset, for example, required the</w:t>
      </w:r>
      <w:r>
        <w:t xml:space="preserve"> </w:t>
      </w:r>
      <w:r>
        <w:t xml:space="preserve">‘</w:t>
      </w:r>
      <w:r>
        <w:t xml:space="preserve">ctree</w:t>
      </w:r>
      <w:r>
        <w:t xml:space="preserve">’</w:t>
      </w:r>
      <w:r>
        <w:t xml:space="preserve"> </w:t>
      </w:r>
      <w:r>
        <w:t xml:space="preserve">CART specification. Next, specify the number of synthetic datasets to generate within</w:t>
      </w:r>
      <w:r>
        <w:t xml:space="preserve"> </w:t>
      </w:r>
      <w:r>
        <w:t xml:space="preserve">‘</w:t>
      </w:r>
      <w:r>
        <w:t xml:space="preserve">m</w:t>
      </w:r>
      <w:r>
        <w:t xml:space="preserve">’</w:t>
      </w:r>
      <w:r>
        <w:t xml:space="preserve">. Once the synthetic dataset is generated, extract and convert it to a dataframe for additional wrangling and visualization.</w:t>
      </w:r>
    </w:p>
    <w:p>
      <w:pPr>
        <w:pStyle w:val="SourceCode"/>
      </w:pPr>
      <w:r>
        <w:rPr>
          <w:rStyle w:val="CommentTok"/>
        </w:rPr>
        <w:t xml:space="preserve"># Create a synthetic dataset</w:t>
      </w:r>
      <w:r>
        <w:br/>
      </w:r>
      <w:r>
        <w:rPr>
          <w:rStyle w:val="NormalTok"/>
        </w:rPr>
        <w:t xml:space="preserve">synthetic_data </w:t>
      </w:r>
      <w:r>
        <w:rPr>
          <w:rStyle w:val="OtherTok"/>
        </w:rPr>
        <w:t xml:space="preserve">&lt;-</w:t>
      </w:r>
      <w:r>
        <w:br/>
      </w:r>
      <w:r>
        <w:rPr>
          <w:rStyle w:val="NormalTok"/>
        </w:rPr>
        <w:t xml:space="preserve">  </w:t>
      </w:r>
      <w:r>
        <w:rPr>
          <w:rStyle w:val="FunctionTok"/>
        </w:rPr>
        <w:t xml:space="preserve">syn</w:t>
      </w:r>
      <w:r>
        <w:rPr>
          <w:rStyle w:val="NormalTok"/>
        </w:rPr>
        <w:t xml:space="preserve">(swallowing_original_data, </w:t>
      </w:r>
      <w:r>
        <w:rPr>
          <w:rStyle w:val="CommentTok"/>
        </w:rPr>
        <w:t xml:space="preserve"># name of the original data</w:t>
      </w:r>
      <w:r>
        <w:br/>
      </w:r>
      <w:r>
        <w:rPr>
          <w:rStyle w:val="NormalTok"/>
        </w:rPr>
        <w:t xml:space="preserve">      </w:t>
      </w:r>
      <w:r>
        <w:rPr>
          <w:rStyle w:val="AttributeTok"/>
        </w:rPr>
        <w:t xml:space="preserve">method =</w:t>
      </w:r>
      <w:r>
        <w:rPr>
          <w:rStyle w:val="NormalTok"/>
        </w:rPr>
        <w:t xml:space="preserve"> </w:t>
      </w:r>
      <w:r>
        <w:rPr>
          <w:rStyle w:val="StringTok"/>
        </w:rPr>
        <w:t xml:space="preserve">"ctree"</w:t>
      </w:r>
      <w:r>
        <w:rPr>
          <w:rStyle w:val="NormalTok"/>
        </w:rPr>
        <w:t xml:space="preserve">, </w:t>
      </w:r>
      <w:r>
        <w:rPr>
          <w:rStyle w:val="CommentTok"/>
        </w:rPr>
        <w:t xml:space="preserve"># CART model to generate synthetic 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CommentTok"/>
        </w:rPr>
        <w:t xml:space="preserve"># number of synthetic datasets to generate</w:t>
      </w:r>
      <w:r>
        <w:br/>
      </w:r>
      <w:r>
        <w:rPr>
          <w:rStyle w:val="NormalTok"/>
        </w:rPr>
        <w:t xml:space="preserve">      )</w:t>
      </w:r>
    </w:p>
    <w:p>
      <w:pPr>
        <w:pStyle w:val="SourceCode"/>
      </w:pPr>
      <w:r>
        <w:br/>
      </w:r>
      <w:r>
        <w:rPr>
          <w:rStyle w:val="VerbatimChar"/>
        </w:rPr>
        <w:t xml:space="preserve">Synthesis</w:t>
      </w:r>
      <w:r>
        <w:br/>
      </w:r>
      <w:r>
        <w:rPr>
          <w:rStyle w:val="VerbatimChar"/>
        </w:rPr>
        <w:t xml:space="preserve">-----------</w:t>
      </w:r>
      <w:r>
        <w:br/>
      </w:r>
      <w:r>
        <w:rPr>
          <w:rStyle w:val="VerbatimChar"/>
        </w:rPr>
        <w:t xml:space="preserve"> study_id bolus_consistency laryngeal_vestibule_severity_rating</w:t>
      </w:r>
    </w:p>
    <w:p>
      <w:pPr>
        <w:pStyle w:val="SourceCode"/>
      </w:pPr>
      <w:r>
        <w:rPr>
          <w:rStyle w:val="CommentTok"/>
        </w:rPr>
        <w:t xml:space="preserve"># Extract the synthetic dataset and convert into a data frame</w:t>
      </w:r>
      <w:r>
        <w:br/>
      </w:r>
      <w:r>
        <w:rPr>
          <w:rStyle w:val="NormalTok"/>
        </w:rPr>
        <w:t xml:space="preserve">synthetic_dataset </w:t>
      </w:r>
      <w:r>
        <w:rPr>
          <w:rStyle w:val="OtherTok"/>
        </w:rPr>
        <w:t xml:space="preserve">&lt;-</w:t>
      </w:r>
      <w:r>
        <w:rPr>
          <w:rStyle w:val="NormalTok"/>
        </w:rPr>
        <w:t xml:space="preserve"> </w:t>
      </w:r>
      <w:r>
        <w:rPr>
          <w:rStyle w:val="FunctionTok"/>
        </w:rPr>
        <w:t xml:space="preserve">as.data.frame</w:t>
      </w:r>
      <w:r>
        <w:rPr>
          <w:rStyle w:val="NormalTok"/>
        </w:rPr>
        <w:t xml:space="preserve">(synthetic_data</w:t>
      </w:r>
      <w:r>
        <w:rPr>
          <w:rStyle w:val="SpecialCharTok"/>
        </w:rPr>
        <w:t xml:space="preserve">$</w:t>
      </w:r>
      <w:r>
        <w:rPr>
          <w:rStyle w:val="NormalTok"/>
        </w:rPr>
        <w:t xml:space="preserve">syn)</w:t>
      </w:r>
    </w:p>
    <w:p>
      <w:pPr>
        <w:pStyle w:val="FirstParagraph"/>
      </w:pPr>
      <w:r>
        <w:t xml:space="preserve">An important step in the process is to assess the general utility of the synthetic dataset by visualizing any obvious differences compared to the original dataset. This can be easily accomplished with the compare() function in the</w:t>
      </w:r>
      <w:r>
        <w:t xml:space="preserve"> </w:t>
      </w:r>
      <w:r>
        <w:rPr>
          <w:iCs/>
          <w:i/>
        </w:rPr>
        <w:t xml:space="preserve">synthpop</w:t>
      </w:r>
      <w:r>
        <w:t xml:space="preserve"> </w:t>
      </w:r>
      <w:r>
        <w:t xml:space="preserve">package or manually with data wrangling and the ggplot package. Figure 1 suggests that the synthetic dataset demonstrated similar distributions for the variables of bolus consistency and laryngeal vestibule residue rating.</w:t>
      </w:r>
    </w:p>
    <w:p>
      <w:pPr>
        <w:pStyle w:val="SourceCode"/>
      </w:pPr>
      <w:r>
        <w:rPr>
          <w:rStyle w:val="CommentTok"/>
        </w:rPr>
        <w:t xml:space="preserve"># Comparison of original and synthetic datasets with synthpop package</w:t>
      </w:r>
      <w:r>
        <w:br/>
      </w:r>
      <w:r>
        <w:rPr>
          <w:rStyle w:val="NormalTok"/>
        </w:rPr>
        <w:t xml:space="preserve">swallowing_comparison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synthetic_dataset, </w:t>
      </w:r>
      <w:r>
        <w:rPr>
          <w:rStyle w:val="CommentTok"/>
        </w:rPr>
        <w:t xml:space="preserve"># synthetic dataset</w:t>
      </w:r>
      <w:r>
        <w:br/>
      </w:r>
      <w:r>
        <w:rPr>
          <w:rStyle w:val="NormalTok"/>
        </w:rPr>
        <w:t xml:space="preserve">  swallowing_original_data,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"bolus_consistency"</w:t>
      </w:r>
      <w:r>
        <w:rPr>
          <w:rStyle w:val="NormalTok"/>
        </w:rPr>
        <w:t xml:space="preserve">,</w:t>
      </w:r>
      <w:r>
        <w:br/>
      </w:r>
      <w:r>
        <w:rPr>
          <w:rStyle w:val="NormalTok"/>
        </w:rPr>
        <w:t xml:space="preserve">           </w:t>
      </w:r>
      <w:r>
        <w:rPr>
          <w:rStyle w:val="StringTok"/>
        </w:rPr>
        <w:t xml:space="preserve">"laryngeal_vestibule_severity_rating"</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Descriptively, the synthetic dataset classified 64% of laryngeal vestibule ratings on thin liquid boluses as</w:t>
      </w:r>
      <w:r>
        <w:t xml:space="preserve"> </w:t>
      </w:r>
      <w:r>
        <w:t xml:space="preserve">‘</w:t>
      </w:r>
      <w:r>
        <w:t xml:space="preserve">absent</w:t>
      </w:r>
      <w:r>
        <w:t xml:space="preserve">’</w:t>
      </w:r>
      <w:r>
        <w:t xml:space="preserve"> </w:t>
      </w:r>
      <w:r>
        <w:t xml:space="preserve">(i.e.,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Number of trials was lower for extremely thick (77 trials) and regular solid (78 trials) boluses compared to thin liquid (429 trials). When examined across 100 synthetic datasets, findings from the zero-inflated beta multilevel models indicate that 98% of synthetic datasets were not statistically significantly different than the original dataset for both the zero-inflated and beta portions of the model (Table 3). Additionally, effect size categorizations were maintained for 100% of both zero-inflated and beta portions of the model.</w:t>
      </w:r>
    </w:p>
    <w:bookmarkEnd w:id="27"/>
    <w:bookmarkStart w:id="28" w:name="Xad1b62d3e68ad7e317afaf8751ff3120474d94a"/>
    <w:p>
      <w:pPr>
        <w:pStyle w:val="Heading3"/>
      </w:pPr>
      <w:r>
        <w:t xml:space="preserve">Study 2: Vowel Acoustics as Predictors of Speech Intelligibility in Dysarthria</w:t>
      </w:r>
    </w:p>
    <w:p>
      <w:pPr>
        <w:pStyle w:val="FirstParagraph"/>
      </w:pPr>
      <w:r>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2).</w:t>
      </w:r>
    </w:p>
    <w:p>
      <w:pPr>
        <w:pStyle w:val="BodyText"/>
      </w:pPr>
      <w:r>
        <w:t xml:space="preserve">Below we import the original dataset, wrangle the data, and generate a synthetic data set. Data wrangling stpes include importing the original dataset, removing a string from the SpeakerID variable, and selecting only relevant variables.</w:t>
      </w:r>
    </w:p>
    <w:p>
      <w:pPr>
        <w:pStyle w:val="SourceCode"/>
      </w:pPr>
      <w:r>
        <w:rPr>
          <w:rStyle w:val="CommentTok"/>
        </w:rPr>
        <w:t xml:space="preserve"># import original data</w:t>
      </w:r>
      <w:r>
        <w:br/>
      </w:r>
      <w:r>
        <w:rPr>
          <w:rStyle w:val="NormalTok"/>
        </w:rPr>
        <w:t xml:space="preserve">articulation_original_data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"02_Articulation"</w:t>
      </w:r>
      <w:r>
        <w:rPr>
          <w:rStyle w:val="NormalTok"/>
        </w:rPr>
        <w:t xml:space="preserve">, </w:t>
      </w:r>
      <w:r>
        <w:rPr>
          <w:rStyle w:val="StringTok"/>
        </w:rPr>
        <w:t xml:space="preserve">"data_Acoustic Measures.csv"</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CommentTok"/>
        </w:rPr>
        <w:t xml:space="preserve"># Remove the reliability trials that have "_rel" in the SpeakerID variable</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grepl</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"_rel"</w:t>
      </w:r>
      <w:r>
        <w:rPr>
          <w:rStyle w:val="NormalTok"/>
        </w:rPr>
        <w:t xml:space="preserve">,</w:t>
      </w:r>
      <w:r>
        <w:br/>
      </w:r>
      <w:r>
        <w:rPr>
          <w:rStyle w:val="NormalTok"/>
        </w:rPr>
        <w:t xml:space="preserve">      </w:t>
      </w:r>
      <w:r>
        <w:rPr>
          <w:rStyle w:val="AttributeTok"/>
        </w:rPr>
        <w:t xml:space="preserve">x =</w:t>
      </w:r>
      <w:r>
        <w:rPr>
          <w:rStyle w:val="NormalTok"/>
        </w:rPr>
        <w:t xml:space="preserve"> SpeakerID</w:t>
      </w:r>
      <w:r>
        <w:br/>
      </w:r>
      <w:r>
        <w:rPr>
          <w:rStyle w:val="NormalTok"/>
        </w:rPr>
        <w:t xml:space="preserve">  )) </w:t>
      </w:r>
      <w:r>
        <w:rPr>
          <w:rStyle w:val="SpecialCharTok"/>
        </w:rPr>
        <w:t xml:space="preserve">|&gt;</w:t>
      </w:r>
      <w:r>
        <w:br/>
      </w:r>
      <w:r>
        <w:rPr>
          <w:rStyle w:val="NormalTok"/>
        </w:rPr>
        <w:t xml:space="preserve">  </w:t>
      </w:r>
      <w:r>
        <w:rPr>
          <w:rStyle w:val="CommentTok"/>
        </w:rPr>
        <w:t xml:space="preserve"># Selecting just the variables we need</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SpeakerID, </w:t>
      </w:r>
      <w:r>
        <w:rPr>
          <w:rStyle w:val="CommentTok"/>
        </w:rPr>
        <w:t xml:space="preserve"># ID</w:t>
      </w:r>
      <w:r>
        <w:br/>
      </w:r>
      <w:r>
        <w:rPr>
          <w:rStyle w:val="NormalTok"/>
        </w:rPr>
        <w:t xml:space="preserve">    VSA_b, </w:t>
      </w:r>
      <w:r>
        <w:rPr>
          <w:rStyle w:val="CommentTok"/>
        </w:rPr>
        <w:t xml:space="preserve"># VSA in Bark</w:t>
      </w:r>
      <w:r>
        <w:br/>
      </w:r>
      <w:r>
        <w:rPr>
          <w:rStyle w:val="NormalTok"/>
        </w:rPr>
        <w:t xml:space="preserve">    </w:t>
      </w:r>
      <w:r>
        <w:rPr>
          <w:rStyle w:val="AttributeTok"/>
        </w:rPr>
        <w:t xml:space="preserve">Int =</w:t>
      </w:r>
      <w:r>
        <w:rPr>
          <w:rStyle w:val="NormalTok"/>
        </w:rPr>
        <w:t xml:space="preserve"> Int_OT </w:t>
      </w:r>
      <w:r>
        <w:rPr>
          <w:rStyle w:val="CommentTok"/>
        </w:rPr>
        <w:t xml:space="preserve"># intelligibility (orthographic transcriptions)</w:t>
      </w:r>
      <w:r>
        <w:br/>
      </w:r>
      <w:r>
        <w:rPr>
          <w:rStyle w:val="NormalTok"/>
        </w:rPr>
        <w:t xml:space="preserve">  )</w:t>
      </w:r>
    </w:p>
    <w:p>
      <w:pPr>
        <w:pStyle w:val="FirstParagraph"/>
      </w:pPr>
      <w:r>
        <w:t xml:space="preserve">Next, we generate a synthetic dataset with the syn() functionm extract the dataset, and convert it to a dataframe.</w:t>
      </w:r>
      <w:r>
        <w:t xml:space="preserve"> </w:t>
      </w:r>
      <w:r>
        <w:rPr>
          <w:iCs/>
          <w:i/>
        </w:rPr>
        <w:t xml:space="preserve">Synthpop</w:t>
      </w:r>
      <w:r>
        <w:t xml:space="preserve"> </w:t>
      </w:r>
      <w:r>
        <w:t xml:space="preserve">provides a warning message since this dataset has fewer observations than recommended (&gt; 130).</w:t>
      </w:r>
    </w:p>
    <w:p>
      <w:pPr>
        <w:pStyle w:val="SourceCode"/>
      </w:pPr>
      <w:r>
        <w:rPr>
          <w:rStyle w:val="CommentTok"/>
        </w:rPr>
        <w:t xml:space="preserve"># generate synthetic dataset</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syn</w:t>
      </w:r>
      <w:r>
        <w:rPr>
          <w:rStyle w:val="NormalTok"/>
        </w:rPr>
        <w:t xml:space="preserve">(articulation_original_data,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2024</w:t>
      </w:r>
      <w:r>
        <w:rPr>
          <w:rStyle w:val="NormalTok"/>
        </w:rPr>
        <w:t xml:space="preserve">)</w:t>
      </w:r>
    </w:p>
    <w:p>
      <w:pPr>
        <w:pStyle w:val="SourceCode"/>
      </w:pPr>
      <w:r>
        <w:rPr>
          <w:rStyle w:val="VerbatimChar"/>
        </w:rPr>
        <w:t xml:space="preserve">CAUTION: Your data set has fewer observations (40) than we advise.</w:t>
      </w:r>
      <w:r>
        <w:br/>
      </w:r>
      <w:r>
        <w:rPr>
          <w:rStyle w:val="VerbatimChar"/>
        </w:rPr>
        <w:t xml:space="preserve">We suggest that there should be at least 130 observations</w:t>
      </w:r>
      <w:r>
        <w:br/>
      </w:r>
      <w:r>
        <w:rPr>
          <w:rStyle w:val="VerbatimChar"/>
        </w:rPr>
        <w:t xml:space="preserve">(100 + 10 * no. of variables used in modelling the data).</w:t>
      </w:r>
      <w:r>
        <w:br/>
      </w:r>
      <w:r>
        <w:rPr>
          <w:rStyle w:val="VerbatimChar"/>
        </w:rPr>
        <w:t xml:space="preserve">Please check your synthetic data carefully with functions</w:t>
      </w:r>
      <w:r>
        <w:br/>
      </w:r>
      <w:r>
        <w:rPr>
          <w:rStyle w:val="VerbatimChar"/>
        </w:rPr>
        <w:t xml:space="preserve">compare(), utility.tab(), and utility.gen().</w:t>
      </w:r>
      <w:r>
        <w:br/>
      </w:r>
      <w:r>
        <w:br/>
      </w:r>
      <w:r>
        <w:br/>
      </w:r>
      <w:r>
        <w:rPr>
          <w:rStyle w:val="VerbatimChar"/>
        </w:rPr>
        <w:t xml:space="preserve">Variable(s): SpeakerID have been changed for synthesis from character to factor.</w:t>
      </w:r>
      <w:r>
        <w:br/>
      </w:r>
      <w:r>
        <w:br/>
      </w:r>
      <w:r>
        <w:rPr>
          <w:rStyle w:val="VerbatimChar"/>
        </w:rPr>
        <w:t xml:space="preserve">Synthesis</w:t>
      </w:r>
      <w:r>
        <w:br/>
      </w:r>
      <w:r>
        <w:rPr>
          <w:rStyle w:val="VerbatimChar"/>
        </w:rPr>
        <w:t xml:space="preserve">-----------</w:t>
      </w:r>
      <w:r>
        <w:br/>
      </w:r>
      <w:r>
        <w:rPr>
          <w:rStyle w:val="VerbatimChar"/>
        </w:rPr>
        <w:t xml:space="preserve"> SpeakerID VSA_b Int</w:t>
      </w:r>
    </w:p>
    <w:p>
      <w:pPr>
        <w:pStyle w:val="SourceCode"/>
      </w:pPr>
      <w:r>
        <w:rPr>
          <w:rStyle w:val="CommentTok"/>
        </w:rPr>
        <w:t xml:space="preserve"># Extract the synthetic dataset and convert into a data frame</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as.data.frame</w:t>
      </w:r>
      <w:r>
        <w:rPr>
          <w:rStyle w:val="NormalTok"/>
        </w:rPr>
        <w:t xml:space="preserve">(articulation_synthetic_dataset</w:t>
      </w:r>
      <w:r>
        <w:rPr>
          <w:rStyle w:val="SpecialCharTok"/>
        </w:rPr>
        <w:t xml:space="preserve">$</w:t>
      </w:r>
      <w:r>
        <w:rPr>
          <w:rStyle w:val="NormalTok"/>
        </w:rPr>
        <w:t xml:space="preserve">syn)</w:t>
      </w:r>
    </w:p>
    <w:p>
      <w:pPr>
        <w:pStyle w:val="FirstParagraph"/>
      </w:pPr>
      <w:r>
        <w:t xml:space="preserve">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 This might affect the quality of inferences with this dataset.</w:t>
      </w:r>
    </w:p>
    <w:p>
      <w:pPr>
        <w:pStyle w:val="SourceCode"/>
      </w:pPr>
      <w:r>
        <w:rPr>
          <w:rStyle w:val="CommentTok"/>
        </w:rPr>
        <w:t xml:space="preserve"># Comparison of original and synthetic datasets with synthpop package</w:t>
      </w:r>
      <w:r>
        <w:br/>
      </w:r>
      <w:r>
        <w:rPr>
          <w:rStyle w:val="NormalTok"/>
        </w:rPr>
        <w:t xml:space="preserve">articulation_comparison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articulation_synthetic_dataset, </w:t>
      </w:r>
      <w:r>
        <w:rPr>
          <w:rStyle w:val="CommentTok"/>
        </w:rPr>
        <w:t xml:space="preserve"># synthetic dataset</w:t>
      </w:r>
      <w:r>
        <w:br/>
      </w:r>
      <w:r>
        <w:rPr>
          <w:rStyle w:val="NormalTok"/>
        </w:rPr>
        <w:t xml:space="preserve">  articulation_original_data,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"VSA_b"</w:t>
      </w:r>
      <w:r>
        <w:rPr>
          <w:rStyle w:val="NormalTok"/>
        </w:rPr>
        <w:t xml:space="preserve">,</w:t>
      </w:r>
      <w:r>
        <w:br/>
      </w:r>
      <w:r>
        <w:rPr>
          <w:rStyle w:val="NormalTok"/>
        </w:rPr>
        <w:t xml:space="preserve">           </w:t>
      </w:r>
      <w:r>
        <w:rPr>
          <w:rStyle w:val="StringTok"/>
        </w:rPr>
        <w:t xml:space="preserve">"Int"</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Findings from the 100 generated synthetic datasets indicate that 71% of datasets demonstrated the same inferential result (i.e., a statistically significant</w:t>
      </w:r>
      <w:r>
        <w:t xml:space="preserve"> </w:t>
      </w:r>
      <w:r>
        <w:rPr>
          <w:iCs/>
          <w:i/>
        </w:rPr>
        <w:t xml:space="preserve">p</w:t>
      </w:r>
      <w:r>
        <w:t xml:space="preserve">-value). For the effect size, 57% of synthetic datasets maintained a</w:t>
      </w:r>
      <w:r>
        <w:t xml:space="preserve"> </w:t>
      </w:r>
      <w:r>
        <w:t xml:space="preserve">‘</w:t>
      </w:r>
      <w:r>
        <w:t xml:space="preserve">large</w:t>
      </w:r>
      <w:r>
        <w:t xml:space="preserve">’</w:t>
      </w:r>
      <w:r>
        <w:t xml:space="preserve"> </w:t>
      </w:r>
      <w:r>
        <w:t xml:space="preserve">effect size categorization.</w:t>
      </w:r>
    </w:p>
    <w:bookmarkEnd w:id="28"/>
    <w:bookmarkStart w:id="30" w:name="results-for-studies-3---9"/>
    <w:p>
      <w:pPr>
        <w:pStyle w:val="Heading3"/>
      </w:pPr>
      <w:r>
        <w:t xml:space="preserve">Results for Studies 3 - 9</w:t>
      </w:r>
    </w:p>
    <w:bookmarkStart w:id="29" w:name="table-3-here."/>
    <w:p>
      <w:pPr>
        <w:pStyle w:val="Heading5"/>
      </w:pPr>
      <w:r>
        <w:t xml:space="preserve">Table 3 here.</w:t>
      </w:r>
    </w:p>
    <w:bookmarkEnd w:id="29"/>
    <w:bookmarkEnd w:id="30"/>
    <w:bookmarkEnd w:id="31"/>
    <w:bookmarkStart w:id="32" w:name="discussion"/>
    <w:p>
      <w:pPr>
        <w:pStyle w:val="Heading1"/>
      </w:pPr>
      <w:r>
        <w:t xml:space="preserve">Discussion</w:t>
      </w:r>
    </w:p>
    <w:p>
      <w:pPr>
        <w:pStyle w:val="FirstParagraph"/>
      </w:pPr>
      <w:r>
        <w:t xml:space="preserve">XXX</w:t>
      </w:r>
    </w:p>
    <w:bookmarkEnd w:id="32"/>
    <w:bookmarkStart w:id="33" w:name="conclusions"/>
    <w:p>
      <w:pPr>
        <w:pStyle w:val="Heading1"/>
      </w:pPr>
      <w:r>
        <w:t xml:space="preserve">Conclusions</w:t>
      </w:r>
    </w:p>
    <w:p>
      <w:pPr>
        <w:pStyle w:val="FirstParagraph"/>
      </w:pPr>
      <w:r>
        <w:t xml:space="preserve">XXX</w:t>
      </w:r>
    </w:p>
    <w:p>
      <w:r>
        <w:br w:type="page"/>
      </w:r>
    </w:p>
    <w:bookmarkEnd w:id="33"/>
    <w:bookmarkStart w:id="34" w:name="preregistration-and-data-availability"/>
    <w:p>
      <w:pPr>
        <w:pStyle w:val="Heading1"/>
      </w:pPr>
      <w:r>
        <w:t xml:space="preserve">Preregistration and Data Availability</w:t>
      </w:r>
    </w:p>
    <w:p>
      <w:pPr>
        <w:pStyle w:val="FirstParagraph"/>
      </w:pPr>
      <w:r>
        <w:t xml:space="preserve">Preregistration, data, and analysis scripts are publicly available on the Open Science Framework (https://osf.io/vhgq2 -</w:t>
      </w:r>
      <w:r>
        <w:t xml:space="preserve"> </w:t>
      </w:r>
      <w:r>
        <w:rPr>
          <w:bCs/>
          <w:b/>
        </w:rPr>
        <w:t xml:space="preserve">note: update this link when preregistration goes public</w:t>
      </w:r>
      <w:r>
        <w:t xml:space="preserve">).</w:t>
      </w:r>
    </w:p>
    <w:bookmarkEnd w:id="34"/>
    <w:bookmarkStart w:id="35"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r>
        <w:br w:type="page"/>
      </w:r>
    </w:p>
    <w:bookmarkEnd w:id="35"/>
    <w:bookmarkStart w:id="78" w:name="references"/>
    <w:p>
      <w:pPr>
        <w:pStyle w:val="Heading1"/>
      </w:pPr>
      <w:r>
        <w:t xml:space="preserve">References</w:t>
      </w:r>
    </w:p>
    <w:bookmarkStart w:id="77" w:name="refs"/>
    <w:bookmarkStart w:id="37"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36">
        <w:r>
          <w:rPr>
            <w:rStyle w:val="Hyperlink"/>
          </w:rPr>
          <w:t xml:space="preserve">https://doi.org/10.31234/osf.io/veh7t</w:t>
        </w:r>
      </w:hyperlink>
    </w:p>
    <w:bookmarkEnd w:id="37"/>
    <w:bookmarkStart w:id="39"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38">
        <w:r>
          <w:rPr>
            <w:rStyle w:val="Hyperlink"/>
          </w:rPr>
          <w:t xml:space="preserve">https://doi.org/10.1007/s00455-022-10428-2</w:t>
        </w:r>
      </w:hyperlink>
    </w:p>
    <w:bookmarkEnd w:id="39"/>
    <w:bookmarkStart w:id="41"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40">
        <w:r>
          <w:rPr>
            <w:rStyle w:val="Hyperlink"/>
          </w:rPr>
          <w:t xml:space="preserve">https://doi.org/10.1080/10489223.2023.2262457</w:t>
        </w:r>
      </w:hyperlink>
    </w:p>
    <w:bookmarkEnd w:id="41"/>
    <w:bookmarkStart w:id="43"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42">
        <w:r>
          <w:rPr>
            <w:rStyle w:val="Hyperlink"/>
          </w:rPr>
          <w:t xml:space="preserve">https://doi.org/10.1080/02699052.2023.2181401</w:t>
        </w:r>
      </w:hyperlink>
    </w:p>
    <w:bookmarkEnd w:id="43"/>
    <w:bookmarkStart w:id="45"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44">
        <w:r>
          <w:rPr>
            <w:rStyle w:val="Hyperlink"/>
          </w:rPr>
          <w:t xml:space="preserve">https://doi.org/10.1044/2023_JSLHR-23-00132</w:t>
        </w:r>
      </w:hyperlink>
    </w:p>
    <w:bookmarkEnd w:id="45"/>
    <w:bookmarkStart w:id="47"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46">
        <w:r>
          <w:rPr>
            <w:rStyle w:val="Hyperlink"/>
          </w:rPr>
          <w:t xml:space="preserve">https://doi.org/10.1214/24-STS927</w:t>
        </w:r>
      </w:hyperlink>
    </w:p>
    <w:bookmarkEnd w:id="47"/>
    <w:bookmarkStart w:id="49"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48">
        <w:r>
          <w:rPr>
            <w:rStyle w:val="Hyperlink"/>
          </w:rPr>
          <w:t xml:space="preserve">https://doi.org/10.1044/2022_JSLHR-22-00062</w:t>
        </w:r>
      </w:hyperlink>
    </w:p>
    <w:bookmarkEnd w:id="49"/>
    <w:bookmarkStart w:id="51"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50">
        <w:r>
          <w:rPr>
            <w:rStyle w:val="Hyperlink"/>
          </w:rPr>
          <w:t xml:space="preserve">https://doi.org/10.1016/j.jfludis.2020.105827</w:t>
        </w:r>
      </w:hyperlink>
    </w:p>
    <w:bookmarkEnd w:id="51"/>
    <w:bookmarkStart w:id="53"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52">
        <w:r>
          <w:rPr>
            <w:rStyle w:val="Hyperlink"/>
          </w:rPr>
          <w:t xml:space="preserve">https://doi.org/10.1044/2020_JSLHR-19-00299</w:t>
        </w:r>
      </w:hyperlink>
    </w:p>
    <w:bookmarkEnd w:id="53"/>
    <w:bookmarkStart w:id="55"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54">
        <w:r>
          <w:rPr>
            <w:rStyle w:val="Hyperlink"/>
          </w:rPr>
          <w:t xml:space="preserve">https://doi.org/10.2139/ssrn.2408030</w:t>
        </w:r>
      </w:hyperlink>
    </w:p>
    <w:bookmarkEnd w:id="55"/>
    <w:bookmarkStart w:id="57"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56">
        <w:r>
          <w:rPr>
            <w:rStyle w:val="Hyperlink"/>
          </w:rPr>
          <w:t xml:space="preserve">https://www.sciencedirect.com/science/article/pii/S0028393223001653</w:t>
        </w:r>
      </w:hyperlink>
    </w:p>
    <w:bookmarkEnd w:id="57"/>
    <w:bookmarkStart w:id="59"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58">
        <w:r>
          <w:rPr>
            <w:rStyle w:val="Hyperlink"/>
          </w:rPr>
          <w:t xml:space="preserve">https://doi.org/10.1044/2022_AJSLP-22-00003</w:t>
        </w:r>
      </w:hyperlink>
    </w:p>
    <w:bookmarkEnd w:id="59"/>
    <w:bookmarkStart w:id="61"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60">
        <w:r>
          <w:rPr>
            <w:rStyle w:val="Hyperlink"/>
          </w:rPr>
          <w:t xml:space="preserve">https://doi.org/10.7717/peerj.2530</w:t>
        </w:r>
      </w:hyperlink>
    </w:p>
    <w:bookmarkEnd w:id="61"/>
    <w:bookmarkStart w:id="63"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62">
        <w:r>
          <w:rPr>
            <w:rStyle w:val="Hyperlink"/>
          </w:rPr>
          <w:t xml:space="preserve">https://doi.org/10.18637/jss.v074.i11</w:t>
        </w:r>
      </w:hyperlink>
    </w:p>
    <w:bookmarkEnd w:id="63"/>
    <w:bookmarkStart w:id="65" w:name="ref-pfeiffer_etal24"/>
    <w:p>
      <w:pPr>
        <w:pStyle w:val="Bibliography"/>
      </w:pPr>
      <w:r>
        <w:t xml:space="preserve">Pfeiffer, D., Thompson, A., Ciullo, B., Hirsch, M. E., Amin, M. E., Ford, A., Riccardi, J. S., &amp; Kearney, E. (2024, May 31).</w:t>
      </w:r>
      <w:r>
        <w:t xml:space="preserve"> </w:t>
      </w:r>
      <w:r>
        <w:rPr>
          <w:iCs/>
          <w:i/>
        </w:rPr>
        <w:t xml:space="preserve">1-800-</w:t>
      </w:r>
      <w:r>
        <w:rPr>
          <w:iCs/>
          <w:i/>
        </w:rPr>
        <w:t xml:space="preserve">Help-Me-With-Open-Science-Stuff</w:t>
      </w:r>
      <w:r>
        <w:rPr>
          <w:iCs/>
          <w:i/>
        </w:rPr>
        <w:t xml:space="preserve">:</w:t>
      </w:r>
      <w:r>
        <w:rPr>
          <w:iCs/>
          <w:i/>
        </w:rPr>
        <w:t xml:space="preserve"> </w:t>
      </w:r>
      <w:r>
        <w:rPr>
          <w:iCs/>
          <w:i/>
        </w:rPr>
        <w:t xml:space="preserve">A Qualitative Examination</w:t>
      </w:r>
      <w:r>
        <w:rPr>
          <w:iCs/>
          <w:i/>
        </w:rPr>
        <w:t xml:space="preserve"> </w:t>
      </w:r>
      <w:r>
        <w:rPr>
          <w:iCs/>
          <w:i/>
        </w:rPr>
        <w:t xml:space="preserve">of</w:t>
      </w:r>
      <w:r>
        <w:rPr>
          <w:iCs/>
          <w:i/>
        </w:rPr>
        <w:t xml:space="preserve"> </w:t>
      </w:r>
      <w:r>
        <w:rPr>
          <w:iCs/>
          <w:i/>
        </w:rPr>
        <w:t xml:space="preserve">Open Science Practices</w:t>
      </w:r>
      <w:r>
        <w:rPr>
          <w:iCs/>
          <w:i/>
        </w:rPr>
        <w:t xml:space="preserve"> </w:t>
      </w:r>
      <w:r>
        <w:rPr>
          <w:iCs/>
          <w:i/>
        </w:rPr>
        <w:t xml:space="preserve">in</w:t>
      </w:r>
      <w:r>
        <w:rPr>
          <w:iCs/>
          <w:i/>
        </w:rPr>
        <w:t xml:space="preserve"> </w:t>
      </w:r>
      <w:r>
        <w:rPr>
          <w:iCs/>
          <w:i/>
        </w:rPr>
        <w:t xml:space="preserve">Communication Sciences</w:t>
      </w:r>
      <w:r>
        <w:rPr>
          <w:iCs/>
          <w:i/>
        </w:rPr>
        <w:t xml:space="preserve"> </w:t>
      </w:r>
      <w:r>
        <w:rPr>
          <w:iCs/>
          <w:i/>
        </w:rPr>
        <w:t xml:space="preserve">and</w:t>
      </w:r>
      <w:r>
        <w:rPr>
          <w:iCs/>
          <w:i/>
        </w:rPr>
        <w:t xml:space="preserve"> </w:t>
      </w:r>
      <w:r>
        <w:rPr>
          <w:iCs/>
          <w:i/>
        </w:rPr>
        <w:t xml:space="preserve">Disorders</w:t>
      </w:r>
      <w:r>
        <w:t xml:space="preserve">.</w:t>
      </w:r>
      <w:r>
        <w:t xml:space="preserve"> </w:t>
      </w:r>
      <w:hyperlink r:id="rId64">
        <w:r>
          <w:rPr>
            <w:rStyle w:val="Hyperlink"/>
          </w:rPr>
          <w:t xml:space="preserve">https://doi.org/10.31219/osf.io/9kxa7</w:t>
        </w:r>
      </w:hyperlink>
    </w:p>
    <w:bookmarkEnd w:id="65"/>
    <w:bookmarkStart w:id="67"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66">
        <w:r>
          <w:rPr>
            <w:rStyle w:val="Hyperlink"/>
          </w:rPr>
          <w:t xml:space="preserve">https://doi.org/10.7554/eLife.53275</w:t>
        </w:r>
      </w:hyperlink>
    </w:p>
    <w:bookmarkEnd w:id="67"/>
    <w:bookmarkStart w:id="69"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68">
        <w:r>
          <w:rPr>
            <w:rStyle w:val="Hyperlink"/>
          </w:rPr>
          <w:t xml:space="preserve">https://doi.org/10.1038/s41467-019-10933-3</w:t>
        </w:r>
      </w:hyperlink>
    </w:p>
    <w:bookmarkEnd w:id="69"/>
    <w:bookmarkStart w:id="70"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70"/>
    <w:bookmarkStart w:id="72"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71">
        <w:r>
          <w:rPr>
            <w:rStyle w:val="Hyperlink"/>
          </w:rPr>
          <w:t xml:space="preserve">https://doi.org/10.1044/2022_JSLHR-22-00287</w:t>
        </w:r>
      </w:hyperlink>
    </w:p>
    <w:bookmarkEnd w:id="72"/>
    <w:bookmarkStart w:id="74"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73">
        <w:r>
          <w:rPr>
            <w:rStyle w:val="Hyperlink"/>
          </w:rPr>
          <w:t xml:space="preserve">https://doi.org/10.1136/bmjhci-2023-100771</w:t>
        </w:r>
      </w:hyperlink>
    </w:p>
    <w:bookmarkEnd w:id="74"/>
    <w:bookmarkStart w:id="76"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75">
        <w:r>
          <w:rPr>
            <w:rStyle w:val="Hyperlink"/>
          </w:rPr>
          <w:t xml:space="preserve">https://doi.org/10.1038/sdata.2016.18</w:t>
        </w:r>
      </w:hyperlink>
    </w:p>
    <w:bookmarkEnd w:id="76"/>
    <w:bookmarkEnd w:id="77"/>
    <w:p>
      <w:r>
        <w:br w:type="page"/>
      </w:r>
    </w:p>
    <w:bookmarkEnd w:id="78"/>
    <w:bookmarkStart w:id="79" w:name="table-and-figure-captions"/>
    <w:p>
      <w:pPr>
        <w:pStyle w:val="Heading1"/>
      </w:pPr>
      <w:r>
        <w:t xml:space="preserve">Table and Figure Captions</w:t>
      </w:r>
    </w:p>
    <w:p>
      <w:pPr>
        <w:pStyle w:val="noIndentParagraph"/>
      </w:pPr>
      <w:r>
        <w:t xml:space="preserve">Table 1. Table 1: Characteristics of included studies by ASHA domain.</w:t>
      </w:r>
    </w:p>
    <w:p>
      <w:pPr>
        <w:pStyle w:val="noIndentParagraph"/>
      </w:pPr>
      <w:r>
        <w:t xml:space="preserve">Figure 1. Visualization of data distributions from synthetic and original data for Study #1 (Curtis et al., 2023).</w:t>
      </w:r>
      <w:r>
        <w:t xml:space="preserve"> </w:t>
      </w:r>
      <w:r>
        <w:rPr>
          <w:iCs/>
          <w:i/>
        </w:rPr>
        <w:t xml:space="preserve">Caption</w:t>
      </w:r>
      <w:r>
        <w:t xml:space="preserve">: Panel A displays the overall distribution of laryngeal vestibule residue. Panel B displays the frequency of values by bolus consistency.</w:t>
      </w:r>
    </w:p>
    <w:bookmarkEnd w:id="79"/>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38" Target="https://doi.org/10.1007/s00455-022-10428-2" TargetMode="External" /><Relationship Type="http://schemas.openxmlformats.org/officeDocument/2006/relationships/hyperlink" Id="rId50" Target="https://doi.org/10.1016/j.jfludis.2020.105827" TargetMode="External" /><Relationship Type="http://schemas.openxmlformats.org/officeDocument/2006/relationships/hyperlink" Id="rId68" Target="https://doi.org/10.1038/s41467-019-10933-3" TargetMode="External" /><Relationship Type="http://schemas.openxmlformats.org/officeDocument/2006/relationships/hyperlink" Id="rId75" Target="https://doi.org/10.1038/sdata.2016.18" TargetMode="External" /><Relationship Type="http://schemas.openxmlformats.org/officeDocument/2006/relationships/hyperlink" Id="rId52" Target="https://doi.org/10.1044/2020_JSLHR-19-00299" TargetMode="External" /><Relationship Type="http://schemas.openxmlformats.org/officeDocument/2006/relationships/hyperlink" Id="rId58" Target="https://doi.org/10.1044/2022_AJSLP-22-00003" TargetMode="External" /><Relationship Type="http://schemas.openxmlformats.org/officeDocument/2006/relationships/hyperlink" Id="rId48" Target="https://doi.org/10.1044/2022_JSLHR-22-00062" TargetMode="External" /><Relationship Type="http://schemas.openxmlformats.org/officeDocument/2006/relationships/hyperlink" Id="rId71" Target="https://doi.org/10.1044/2022_JSLHR-22-00287" TargetMode="External" /><Relationship Type="http://schemas.openxmlformats.org/officeDocument/2006/relationships/hyperlink" Id="rId44" Target="https://doi.org/10.1044/2023_JSLHR-23-00132" TargetMode="External" /><Relationship Type="http://schemas.openxmlformats.org/officeDocument/2006/relationships/hyperlink" Id="rId42" Target="https://doi.org/10.1080/02699052.2023.2181401" TargetMode="External" /><Relationship Type="http://schemas.openxmlformats.org/officeDocument/2006/relationships/hyperlink" Id="rId40" Target="https://doi.org/10.1080/10489223.2023.2262457" TargetMode="External" /><Relationship Type="http://schemas.openxmlformats.org/officeDocument/2006/relationships/hyperlink" Id="rId73" Target="https://doi.org/10.1136/bmjhci-2023-100771" TargetMode="External" /><Relationship Type="http://schemas.openxmlformats.org/officeDocument/2006/relationships/hyperlink" Id="rId46" Target="https://doi.org/10.1214/24-STS927" TargetMode="External" /><Relationship Type="http://schemas.openxmlformats.org/officeDocument/2006/relationships/hyperlink" Id="rId62" Target="https://doi.org/10.18637/jss.v074.i11" TargetMode="External" /><Relationship Type="http://schemas.openxmlformats.org/officeDocument/2006/relationships/hyperlink" Id="rId54" Target="https://doi.org/10.2139/ssrn.2408030" TargetMode="External" /><Relationship Type="http://schemas.openxmlformats.org/officeDocument/2006/relationships/hyperlink" Id="rId64" Target="https://doi.org/10.31219/osf.io/9kxa7" TargetMode="External" /><Relationship Type="http://schemas.openxmlformats.org/officeDocument/2006/relationships/hyperlink" Id="rId36" Target="https://doi.org/10.31234/osf.io/veh7t" TargetMode="External" /><Relationship Type="http://schemas.openxmlformats.org/officeDocument/2006/relationships/hyperlink" Id="rId66" Target="https://doi.org/10.7554/eLife.53275" TargetMode="External" /><Relationship Type="http://schemas.openxmlformats.org/officeDocument/2006/relationships/hyperlink" Id="rId60" Target="https://doi.org/10.7717/peerj.2530" TargetMode="External" /><Relationship Type="http://schemas.openxmlformats.org/officeDocument/2006/relationships/hyperlink" Id="rId56"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7/s00455-022-10428-2" TargetMode="External" /><Relationship Type="http://schemas.openxmlformats.org/officeDocument/2006/relationships/hyperlink" Id="rId50" Target="https://doi.org/10.1016/j.jfludis.2020.105827" TargetMode="External" /><Relationship Type="http://schemas.openxmlformats.org/officeDocument/2006/relationships/hyperlink" Id="rId68" Target="https://doi.org/10.1038/s41467-019-10933-3" TargetMode="External" /><Relationship Type="http://schemas.openxmlformats.org/officeDocument/2006/relationships/hyperlink" Id="rId75" Target="https://doi.org/10.1038/sdata.2016.18" TargetMode="External" /><Relationship Type="http://schemas.openxmlformats.org/officeDocument/2006/relationships/hyperlink" Id="rId52" Target="https://doi.org/10.1044/2020_JSLHR-19-00299" TargetMode="External" /><Relationship Type="http://schemas.openxmlformats.org/officeDocument/2006/relationships/hyperlink" Id="rId58" Target="https://doi.org/10.1044/2022_AJSLP-22-00003" TargetMode="External" /><Relationship Type="http://schemas.openxmlformats.org/officeDocument/2006/relationships/hyperlink" Id="rId48" Target="https://doi.org/10.1044/2022_JSLHR-22-00062" TargetMode="External" /><Relationship Type="http://schemas.openxmlformats.org/officeDocument/2006/relationships/hyperlink" Id="rId71" Target="https://doi.org/10.1044/2022_JSLHR-22-00287" TargetMode="External" /><Relationship Type="http://schemas.openxmlformats.org/officeDocument/2006/relationships/hyperlink" Id="rId44" Target="https://doi.org/10.1044/2023_JSLHR-23-00132" TargetMode="External" /><Relationship Type="http://schemas.openxmlformats.org/officeDocument/2006/relationships/hyperlink" Id="rId42" Target="https://doi.org/10.1080/02699052.2023.2181401" TargetMode="External" /><Relationship Type="http://schemas.openxmlformats.org/officeDocument/2006/relationships/hyperlink" Id="rId40" Target="https://doi.org/10.1080/10489223.2023.2262457" TargetMode="External" /><Relationship Type="http://schemas.openxmlformats.org/officeDocument/2006/relationships/hyperlink" Id="rId73" Target="https://doi.org/10.1136/bmjhci-2023-100771" TargetMode="External" /><Relationship Type="http://schemas.openxmlformats.org/officeDocument/2006/relationships/hyperlink" Id="rId46" Target="https://doi.org/10.1214/24-STS927" TargetMode="External" /><Relationship Type="http://schemas.openxmlformats.org/officeDocument/2006/relationships/hyperlink" Id="rId62" Target="https://doi.org/10.18637/jss.v074.i11" TargetMode="External" /><Relationship Type="http://schemas.openxmlformats.org/officeDocument/2006/relationships/hyperlink" Id="rId54" Target="https://doi.org/10.2139/ssrn.2408030" TargetMode="External" /><Relationship Type="http://schemas.openxmlformats.org/officeDocument/2006/relationships/hyperlink" Id="rId64" Target="https://doi.org/10.31219/osf.io/9kxa7" TargetMode="External" /><Relationship Type="http://schemas.openxmlformats.org/officeDocument/2006/relationships/hyperlink" Id="rId36" Target="https://doi.org/10.31234/osf.io/veh7t" TargetMode="External" /><Relationship Type="http://schemas.openxmlformats.org/officeDocument/2006/relationships/hyperlink" Id="rId66" Target="https://doi.org/10.7554/eLife.53275" TargetMode="External" /><Relationship Type="http://schemas.openxmlformats.org/officeDocument/2006/relationships/hyperlink" Id="rId60" Target="https://doi.org/10.7717/peerj.2530" TargetMode="External" /><Relationship Type="http://schemas.openxmlformats.org/officeDocument/2006/relationships/hyperlink" Id="rId56"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 4^</dc:creator>
  <cp:keywords/>
  <dcterms:created xsi:type="dcterms:W3CDTF">2024-08-12T15:02:23Z</dcterms:created>
  <dcterms:modified xsi:type="dcterms:W3CDTF">2024-08-12T15:02:23Z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asynthetic.bib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