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The study preregistration (https://osf.io/vhgq2) and associated data and analysis scripts (https://osf.io/yhkqf/?view_only=) are publicly available on the Open Science Framework (</w:t>
      </w:r>
      <w:r>
        <w:rPr>
          <w:bCs/>
          <w:b/>
        </w:rPr>
        <w:t xml:space="preserve">Note</w:t>
      </w:r>
      <w:r>
        <w:t xml:space="preserve">:</w:t>
      </w:r>
      <w:r>
        <w:t xml:space="preserve"> </w:t>
      </w:r>
      <w:r>
        <w:rPr>
          <w:iCs/>
          <w:i/>
        </w:rPr>
        <w:t xml:space="preserve">update both private links when these are made public after peer review</w:t>
      </w:r>
      <w:r>
        <w:t xml:space="preserve">).</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 American Speech-Language-Hearing Association (ASHA)</w:t>
      </w:r>
      <w:r>
        <w:t xml:space="preserve"> </w:t>
      </w:r>
      <w:r>
        <w:t xml:space="preserve">‘</w:t>
      </w:r>
      <w:r>
        <w:t xml:space="preserve">Big Nine</w:t>
      </w:r>
      <w:r>
        <w:t xml:space="preserve">’</w:t>
      </w:r>
      <w:r>
        <w:t xml:space="preserve"> </w:t>
      </w:r>
      <w:r>
        <w:t xml:space="preserve">domains.</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Inferential statistics (</w:t>
      </w:r>
      <w:r>
        <w:rPr>
          <w:iCs/>
          <w:i/>
        </w:rPr>
        <w:t xml:space="preserve">p</w:t>
      </w:r>
      <w:r>
        <w:t xml:space="preserve">-values) and effect sizes from synthetic datasets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studies and effect size categorizations in five out of nine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pPr>
        <w:pStyle w:val="noIndentParagraph"/>
      </w:pPr>
      <w:r>
        <w:rPr>
          <w:bCs/>
          <w:b/>
        </w:rPr>
        <w:t xml:space="preserve">Conclusion</w:t>
      </w:r>
      <w:r>
        <w:t xml:space="preserve">: Findings suggest that synthetic data can effectively maintain statistical properties and relationships across a wide range of data commonly seen in the field of CSD. While some studies with fewer observations than recommended (i.e., n &lt; 130) showed lower agreement and greater variability in</w:t>
      </w:r>
      <w:r>
        <w:t xml:space="preserve"> </w:t>
      </w:r>
      <w:r>
        <w:rPr>
          <w:iCs/>
          <w:i/>
        </w:rPr>
        <w:t xml:space="preserve">p</w:t>
      </w:r>
      <w:r>
        <w:t xml:space="preserve">-values and effect size estimates, this was not consistently appreciated. Therefore, researchers who use synthetic data should assess its stability in preserving their results. This study concludes with a general framework on sharing open data to facilitate computational reproducibility and foster a cumulative science in the field of CSD.</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including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do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first proposed more than 30 years ago</w:t>
      </w:r>
      <w:r>
        <w:t xml:space="preserve"> </w:t>
      </w:r>
      <w:r>
        <w:t xml:space="preserve">(Rubin, 1993)</w:t>
      </w:r>
      <w:r>
        <w:t xml:space="preserve">, recent analytic and software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hypothesized that synthetic datasets would maintain the statistical properties and relationships (i.e.,</w:t>
      </w:r>
      <w:r>
        <w:t xml:space="preserve"> </w:t>
      </w:r>
      <w:r>
        <w:rPr>
          <w:iCs/>
          <w:i/>
        </w:rPr>
        <w:t xml:space="preserve">p</w:t>
      </w:r>
      <w:r>
        <w:t xml:space="preserve">-value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based on conventional thresholds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visualized and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brief tutorial to guide the reader through the required steps to generate synthetic data.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1" w:name="results"/>
    <w:p>
      <w:pPr>
        <w:pStyle w:val="Heading1"/>
      </w:pPr>
      <w:r>
        <w:t xml:space="preserve">Results</w:t>
      </w:r>
    </w:p>
    <w:p>
      <w:pPr>
        <w:pStyle w:val="FirstParagraph"/>
      </w:pPr>
      <w:r>
        <w:t xml:space="preserve">The tutorial data and accompanying code can be accessed on the Open Science Framework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X file.</w:t>
      </w:r>
      <w:r>
        <w:t xml:space="preserve"> </w:t>
      </w:r>
      <w:r>
        <w:rPr>
          <w:bCs/>
          <w:b/>
        </w:rPr>
        <w:t xml:space="preserve">Add more here about the tutorial scripts</w:t>
      </w:r>
      <w:r>
        <w:t xml:space="preserve">.</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and then create a synthetic dataset with the syn() function from the</w:t>
      </w:r>
      <w:r>
        <w:t xml:space="preserve"> </w:t>
      </w:r>
      <w:r>
        <w:rPr>
          <w:iCs/>
          <w:i/>
        </w:rPr>
        <w:t xml:space="preserve">synthpop</w:t>
      </w:r>
      <w:r>
        <w:t xml:space="preserve"> </w:t>
      </w:r>
      <w:r>
        <w:t xml:space="preserve">package. The data wrangling steps include (1) loading required R packages, (2) importing the original dataset csv file, (3) reformatting variable names for consistency and readability, (4) selecting the variables needed for the analysis, (4) converting appropriate categorical variables to factors, and (5) calculating the laryngeal vestibule severity rating as a percentage. These steps are shown below with the following commands:</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3). Additionally, effect size categorizations were maintained for 100% of both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 extract the dataset, and convert it to a dataframe.</w:t>
      </w:r>
      <w:r>
        <w:t xml:space="preserve"> </w:t>
      </w:r>
      <w:r>
        <w:rPr>
          <w:iCs/>
          <w:i/>
        </w:rPr>
        <w:t xml:space="preserve">Synthpop</w:t>
      </w:r>
      <w:r>
        <w:t xml:space="preserve"> </w:t>
      </w:r>
      <w:r>
        <w:t xml:space="preserve">provides a warning message that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29" w:name="table-3-here."/>
    <w:p>
      <w:pPr>
        <w:pStyle w:val="Heading5"/>
      </w:pPr>
      <w:r>
        <w:t xml:space="preserve">Table 3 here.</w:t>
      </w:r>
    </w:p>
    <w:bookmarkEnd w:id="29"/>
    <w:bookmarkEnd w:id="30"/>
    <w:bookmarkEnd w:id="31"/>
    <w:bookmarkStart w:id="33"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w:t>
      </w:r>
    </w:p>
    <w:p>
      <w:pPr>
        <w:pStyle w:val="BodyText"/>
      </w:pPr>
      <w:r>
        <w:t xml:space="preserve">One key finding is that lower agreement between synthetic and original datasets was not consistently due to having fewer observations than recommended by the</w:t>
      </w:r>
      <w:r>
        <w:t xml:space="preserve"> </w:t>
      </w:r>
      <w:r>
        <w:rPr>
          <w:iCs/>
          <w:i/>
        </w:rPr>
        <w:t xml:space="preserve">synthpop</w:t>
      </w:r>
      <w:r>
        <w:t xml:space="preserve"> </w:t>
      </w:r>
      <w:r>
        <w:t xml:space="preserve">package (i.e., fewer than 130). This highlights the importance of verifying the accuracy of synthetic datasets and providing these comparisons in supplemental manuscript materials. Since synthetic datasets are intended for sharing sensitive or identifiable data,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pPr>
        <w:pStyle w:val="BodyText"/>
      </w:pPr>
      <w:r>
        <w:t xml:space="preserve">Data sharing exists on a continuum, from fully closed to fully open access. To ensure computational reproducibility and promote a cumulative science, de-identified data should be shared whenever ethically permissible. Synthetic data should be reserved for instances where the data cannot be de-identified, and participants did not consent to sharing identifiable data. Data availability statements like</w:t>
      </w:r>
      <w:r>
        <w:t xml:space="preserve"> </w:t>
      </w:r>
      <w:r>
        <w:rPr>
          <w:iCs/>
          <w:i/>
        </w:rPr>
        <w:t xml:space="preserve">“</w:t>
      </w:r>
      <w:r>
        <w:rPr>
          <w:iCs/>
          <w:i/>
        </w:rPr>
        <w:t xml:space="preserve">available upon reasonable request</w:t>
      </w:r>
      <w:r>
        <w:rPr>
          <w:iCs/>
          <w:i/>
        </w:rPr>
        <w:t xml:space="preserve">”</w:t>
      </w:r>
      <w:r>
        <w:t xml:space="preserve"> </w:t>
      </w:r>
      <w:r>
        <w:t xml:space="preserve">are ubiquitous, despite recent research in related fields shows poor compliance with less than half of studies providing requested data</w:t>
      </w:r>
      <w:r>
        <w:t xml:space="preserve"> </w:t>
      </w:r>
      <w:r>
        <w:t xml:space="preserve">(Tedersoo et al., 2021)</w:t>
      </w:r>
      <w:r>
        <w:t xml:space="preserve">. Although ASHA currently lists this as an acceptable data availability statement for authors, it is evident that this statement is not transparent (i.e., the availability of the data is purposefully vague and unclear) and may even exacerbate inequities. For instance, researchers using this statement may not devote the time to properly organize their data, thereby hindering its availability when requested, or may restrict access to unnecessarily protect their data from reuse. This not only limits access for others with fewer resources or opportunities, but also is a direct barrier to a cumulative and transparent scientific literature. Synthetic data can help mitigate these concerns since the original data remains private, while still providing a version of the dataset that maintains the statistical properties necessary for computational reproducibility. Therefore, it is our hope that ASHA will consider removing this statement and instead provide synthetic data as an alternative option to data sharing.</w:t>
      </w:r>
    </w:p>
    <w:p>
      <w:pPr>
        <w:pStyle w:val="BodyText"/>
      </w:pPr>
      <w:r>
        <w:t xml:space="preserve">Sharing data offers significant benefits for both the scientific community and the researcher collecting the data. From the perspective of scientific progress, open data enables researchers to verify results during peer review or after publication, leading to a more transparent and reliable scientific record. Open data also facilitates the generation of new knowledge through secondary analyses or meta-analysis. This is especially important since traditional meta-analyses that rely on studies with aggregate data or slight variations in statistical methods can be challenging to conduct. Open data allows for a higher-quality synthesis of data across studies, such as individual participant data (IPD) meta-analyses, yielding more precise and robust estimates. Moreover, open data minimizes redundant data collection. For instance, normative data or control groups can serve as historical comparisons for studies with patient populations, saving valuable time and resources. Lastly, sharing data benefits researchers directly, as studies have shown that openly shared data are associated with higher citation rates for the original work</w:t>
      </w:r>
      <w:r>
        <w:t xml:space="preserve"> </w:t>
      </w:r>
      <w:r>
        <w:t xml:space="preserve">(Drachen et al., 2016; Piwowar et al., 2007; Piwowar &amp; Vision, 2013)</w:t>
      </w:r>
      <w:r>
        <w:t xml:space="preserve">.</w:t>
      </w:r>
    </w:p>
    <w:p>
      <w:pPr>
        <w:pStyle w:val="BodyText"/>
      </w:pPr>
      <w:r>
        <w:t xml:space="preserve">Closed data is not only inefficient and counterproductive to cumulative science, but also conflicts with research ethics. Researchers hold an ethical obligation to ensure that clinical research maximizes the use of patient data. Patients participate in research studies with the expectation that their data will help answer important public health questions. However, many research questions cannot be fully addressed in a single study due to factors like low statistical power or unrepresentative samples. Publicly sharing data ensures its longevity and value for the scientific community. Moreover, researchers conducting publicly funded studies are obligated to return the data they collected to the general public that funded their research - a sentiment that has recently been emphasized by funding agencies like the National Institutes of Health and the National Science Foundation</w:t>
      </w:r>
      <w:r>
        <w:t xml:space="preserve"> </w:t>
      </w:r>
      <w:r>
        <w:t xml:space="preserve">(Watson et al., 2023; Wilkinson et al., 2016)</w:t>
      </w:r>
      <w:r>
        <w:t xml:space="preserve">.</w:t>
      </w:r>
    </w:p>
    <w:p>
      <w:pPr>
        <w:pStyle w:val="BodyText"/>
      </w:pPr>
      <w:r>
        <w:t xml:space="preserve">This study is not without limitations. We used predetermined thresholds (e.g.,</w:t>
      </w:r>
      <w:r>
        <w:t xml:space="preserve"> </w:t>
      </w:r>
      <w:r>
        <w:t xml:space="preserve">‘</w:t>
      </w:r>
      <w:r>
        <w:t xml:space="preserve">significant</w:t>
      </w:r>
      <w:r>
        <w:t xml:space="preserve">’</w:t>
      </w:r>
      <w:r>
        <w:t xml:space="preserve"> </w:t>
      </w:r>
      <w:r>
        <w:t xml:space="preserve">p-values and effect size categories) to evaluate whether synthetic data maintained the relationships observed in the original study. When the original analyses had</w:t>
      </w:r>
      <w:r>
        <w:t xml:space="preserve"> </w:t>
      </w:r>
      <w:r>
        <w:rPr>
          <w:iCs/>
          <w:i/>
        </w:rPr>
        <w:t xml:space="preserve">p</w:t>
      </w:r>
      <w:r>
        <w:t xml:space="preserve">-values near the threshold for significance (e.g., .01 &lt;</w:t>
      </w:r>
      <w:r>
        <w:t xml:space="preserve"> </w:t>
      </w:r>
      <w:r>
        <w:rPr>
          <w:iCs/>
          <w:i/>
        </w:rPr>
        <w:t xml:space="preserve">p</w:t>
      </w:r>
      <w:r>
        <w:t xml:space="preserve"> </w:t>
      </w:r>
      <w:r>
        <w:t xml:space="preserve">&lt;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and in cases where synthetic data is used must evaluate its utility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bookmarkStart w:id="32" w:name="tutorial-on-data-sharing"/>
    <w:p>
      <w:pPr>
        <w:pStyle w:val="Heading2"/>
      </w:pPr>
      <w:r>
        <w:t xml:space="preserve">Tutorial on Data Sharing</w:t>
      </w:r>
    </w:p>
    <w:p>
      <w:pPr>
        <w:pStyle w:val="FirstParagraph"/>
      </w:pPr>
      <w:r>
        <w:t xml:space="preserve">Sharing findable, accessible, interoperable, and reusable data is not a trivial task and requires careful planning from the beginning of a project. Unfortunately, most researchers lack formal training in data management, and current doctoral programs do not typically offer coursework to teach these data sharing practices to the next generation of researchers. Fortunately, there are an abundance of resources that outline each step of data sharing in detail (e.g.,</w:t>
      </w:r>
      <w:r>
        <w:t xml:space="preserve"> </w:t>
      </w:r>
      <w:r>
        <w:t xml:space="preserve">(Lewis, 2024; Meyer, 2018; Shero &amp; Hart, 2020)</w:t>
      </w:r>
      <w:r>
        <w:t xml:space="preserve">). Here we provide an abbreviated tutorial to describe the following steps:</w:t>
      </w:r>
    </w:p>
    <w:p>
      <w:pPr>
        <w:pStyle w:val="BodyText"/>
      </w:pPr>
      <w:r>
        <w:t xml:space="preserve">Ideas:</w:t>
      </w:r>
      <w:r>
        <w:t xml:space="preserve"> </w:t>
      </w:r>
      <w:r>
        <w:t xml:space="preserve">- planning what data you’d like to share (raw vs analyzed)</w:t>
      </w:r>
      <w:r>
        <w:t xml:space="preserve"> </w:t>
      </w:r>
      <w:r>
        <w:t xml:space="preserve">- obtaining approval from an institutional review board</w:t>
      </w:r>
      <w:r>
        <w:t xml:space="preserve"> </w:t>
      </w:r>
      <w:r>
        <w:t xml:space="preserve">- creating a data dictionary or codebook to describe the data</w:t>
      </w:r>
      <w:r>
        <w:t xml:space="preserve"> </w:t>
      </w:r>
      <w:r>
        <w:t xml:space="preserve">- providing code to reproduce analyses</w:t>
      </w:r>
      <w:r>
        <w:t xml:space="preserve"> </w:t>
      </w:r>
      <w:r>
        <w:t xml:space="preserve">- selecting repositories to store the data</w:t>
      </w:r>
    </w:p>
    <w:p>
      <w:pPr>
        <w:pStyle w:val="BodyText"/>
      </w:pPr>
      <w:r>
        <w:rPr>
          <w:iCs/>
          <w:i/>
        </w:rPr>
        <w:t xml:space="preserve">SCRAP</w:t>
      </w:r>
      <w:r>
        <w:t xml:space="preserve"> </w:t>
      </w:r>
      <w:r>
        <w:t xml:space="preserve">Steps to ensure data is open and reproducible (Howard et al., 2024)</w:t>
      </w:r>
      <w:r>
        <w:t xml:space="preserve"> </w:t>
      </w:r>
      <w:r>
        <w:t xml:space="preserve">* Store data files in a freely downloadable or protected access repository (e.g., https://osf.io, https://nda.nih.gov, https:// www.ldbase.org, https://www.icpsr.umich.edu).</w:t>
      </w:r>
      <w:r>
        <w:t xml:space="preserve"> </w:t>
      </w:r>
      <w:r>
        <w:t xml:space="preserve">* Include enough data to reproduce all elements of a study, including variables used for descriptive statistics and item-level data behind composite-scale scores.</w:t>
      </w:r>
      <w:r>
        <w:br/>
      </w:r>
      <w:r>
        <w:t xml:space="preserve">* Provide a data dictionary or codebook.</w:t>
      </w:r>
      <w:r>
        <w:br/>
      </w:r>
      <w:r>
        <w:t xml:space="preserve">* Provide syntax files that document all statistical analyses (and ensure the files referenced in syntax match the files included with open data).</w:t>
      </w:r>
      <w:r>
        <w:t xml:space="preserve"> </w:t>
      </w:r>
      <w:r>
        <w:t xml:space="preserve">* As possible and practical, statistical analyses should be performed in freely available software for maximal reproducibility. Otherwise, include copies of data and syntax files from proprietary software in a generic format (e.g., .csv files for data; .txt or .pdf for syntax).</w:t>
      </w:r>
      <w:r>
        <w:br/>
      </w:r>
      <w:r>
        <w:t xml:space="preserve">* In the repository in which data and/or materials are stored, include detailed instructions (e.g., a</w:t>
      </w:r>
      <w:r>
        <w:t xml:space="preserve"> </w:t>
      </w:r>
      <w:r>
        <w:t xml:space="preserve">“</w:t>
      </w:r>
      <w:r>
        <w:t xml:space="preserve">Read Me</w:t>
      </w:r>
      <w:r>
        <w:t xml:space="preserve">”</w:t>
      </w:r>
      <w:r>
        <w:t xml:space="preserve"> </w:t>
      </w:r>
      <w:r>
        <w:t xml:space="preserve">file) to help visitors navigate and use the provided files.</w:t>
      </w:r>
    </w:p>
    <w:p>
      <w:pPr>
        <w:pStyle w:val="BodyText"/>
      </w:pPr>
      <w:r>
        <w:t xml:space="preserve">Decision-tree (eg diagram that Austin created)</w:t>
      </w:r>
      <w:r>
        <w:t xml:space="preserve"> </w:t>
      </w:r>
      <w:r>
        <w:t xml:space="preserve">* Guidance on when to obtain IRB approval, how to define</w:t>
      </w:r>
      <w:r>
        <w:t xml:space="preserve"> </w:t>
      </w:r>
      <w:r>
        <w:t xml:space="preserve">‘</w:t>
      </w:r>
      <w:r>
        <w:t xml:space="preserve">de-identified</w:t>
      </w:r>
      <w:r>
        <w:t xml:space="preserve">’</w:t>
      </w:r>
      <w:r>
        <w:t xml:space="preserve"> </w:t>
      </w:r>
      <w:r>
        <w:t xml:space="preserve">data, etc.</w:t>
      </w:r>
    </w:p>
    <w:bookmarkEnd w:id="32"/>
    <w:bookmarkEnd w:id="33"/>
    <w:bookmarkStart w:id="34" w:name="conclusions"/>
    <w:p>
      <w:pPr>
        <w:pStyle w:val="Heading1"/>
      </w:pPr>
      <w:r>
        <w:t xml:space="preserve">Conclusions</w:t>
      </w:r>
    </w:p>
    <w:p>
      <w:pPr>
        <w:pStyle w:val="FirstParagraph"/>
      </w:pPr>
      <w:r>
        <w:t xml:space="preserve">XXX</w:t>
      </w:r>
    </w:p>
    <w:p>
      <w:r>
        <w:br w:type="page"/>
      </w:r>
    </w:p>
    <w:bookmarkEnd w:id="34"/>
    <w:bookmarkStart w:id="3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5"/>
    <w:bookmarkStart w:id="104" w:name="references"/>
    <w:p>
      <w:pPr>
        <w:pStyle w:val="Heading1"/>
      </w:pPr>
      <w:r>
        <w:t xml:space="preserve">References</w:t>
      </w:r>
    </w:p>
    <w:bookmarkStart w:id="103" w:name="refs"/>
    <w:bookmarkStart w:id="37"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6">
        <w:r>
          <w:rPr>
            <w:rStyle w:val="Hyperlink"/>
          </w:rPr>
          <w:t xml:space="preserve">https://doi.org/10.31234/osf.io/veh7t</w:t>
        </w:r>
      </w:hyperlink>
    </w:p>
    <w:bookmarkEnd w:id="37"/>
    <w:bookmarkStart w:id="39"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8">
        <w:r>
          <w:rPr>
            <w:rStyle w:val="Hyperlink"/>
          </w:rPr>
          <w:t xml:space="preserve">https://doi.org/10.1007/s00455-022-10428-2</w:t>
        </w:r>
      </w:hyperlink>
    </w:p>
    <w:bookmarkEnd w:id="39"/>
    <w:bookmarkStart w:id="41"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40">
        <w:r>
          <w:rPr>
            <w:rStyle w:val="Hyperlink"/>
          </w:rPr>
          <w:t xml:space="preserve">https://doi.org/10.1080/10489223.2023.2262457</w:t>
        </w:r>
      </w:hyperlink>
    </w:p>
    <w:bookmarkEnd w:id="41"/>
    <w:bookmarkStart w:id="43"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42">
        <w:r>
          <w:rPr>
            <w:rStyle w:val="Hyperlink"/>
          </w:rPr>
          <w:t xml:space="preserve">https://doi.org/10.1044/2023_JSLHR-22-00318</w:t>
        </w:r>
      </w:hyperlink>
    </w:p>
    <w:bookmarkEnd w:id="43"/>
    <w:bookmarkStart w:id="45"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4">
        <w:r>
          <w:rPr>
            <w:rStyle w:val="Hyperlink"/>
          </w:rPr>
          <w:t xml:space="preserve">https://doi.org/10.1080/02699052.2023.2181401</w:t>
        </w:r>
      </w:hyperlink>
    </w:p>
    <w:bookmarkEnd w:id="45"/>
    <w:bookmarkStart w:id="47"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6">
        <w:r>
          <w:rPr>
            <w:rStyle w:val="Hyperlink"/>
          </w:rPr>
          <w:t xml:space="preserve">https://doi.org/10.1044/2023_JSLHR-23-00132</w:t>
        </w:r>
      </w:hyperlink>
    </w:p>
    <w:bookmarkEnd w:id="47"/>
    <w:bookmarkStart w:id="49" w:name="ref-drachen_etal16"/>
    <w:p>
      <w:pPr>
        <w:pStyle w:val="Bibliography"/>
      </w:pPr>
      <w:r>
        <w:t xml:space="preserve">Drachen, T. M., Ellegaard, O., Larsen, A. V., &amp; Dorch, S. B. F. (2016). Sharing data increases citations.</w:t>
      </w:r>
      <w:r>
        <w:t xml:space="preserve"> </w:t>
      </w:r>
      <w:r>
        <w:rPr>
          <w:iCs/>
          <w:i/>
        </w:rPr>
        <w:t xml:space="preserve">LIBER Quarterly: The Journal of the Association of European Research Libraries</w:t>
      </w:r>
      <w:r>
        <w:t xml:space="preserve">,</w:t>
      </w:r>
      <w:r>
        <w:t xml:space="preserve"> </w:t>
      </w:r>
      <w:r>
        <w:rPr>
          <w:iCs/>
          <w:i/>
        </w:rPr>
        <w:t xml:space="preserve">26</w:t>
      </w:r>
      <w:r>
        <w:t xml:space="preserve">(2, 2), 67–82.</w:t>
      </w:r>
      <w:r>
        <w:t xml:space="preserve"> </w:t>
      </w:r>
      <w:hyperlink r:id="rId48">
        <w:r>
          <w:rPr>
            <w:rStyle w:val="Hyperlink"/>
          </w:rPr>
          <w:t xml:space="preserve">https://doi.org/10.18352/lq.10149</w:t>
        </w:r>
      </w:hyperlink>
    </w:p>
    <w:bookmarkEnd w:id="49"/>
    <w:bookmarkStart w:id="51"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50">
        <w:r>
          <w:rPr>
            <w:rStyle w:val="Hyperlink"/>
          </w:rPr>
          <w:t xml:space="preserve">https://doi.org/10.1214/24-STS927</w:t>
        </w:r>
      </w:hyperlink>
    </w:p>
    <w:bookmarkEnd w:id="51"/>
    <w:bookmarkStart w:id="53"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52">
        <w:r>
          <w:rPr>
            <w:rStyle w:val="Hyperlink"/>
          </w:rPr>
          <w:t xml:space="preserve">https://doi.org/10.1044/2022_JSLHR-22-00062</w:t>
        </w:r>
      </w:hyperlink>
    </w:p>
    <w:bookmarkEnd w:id="53"/>
    <w:bookmarkStart w:id="55"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4">
        <w:r>
          <w:rPr>
            <w:rStyle w:val="Hyperlink"/>
          </w:rPr>
          <w:t xml:space="preserve">https://doi.org/10.1016/j.jfludis.2020.105827</w:t>
        </w:r>
      </w:hyperlink>
    </w:p>
    <w:bookmarkEnd w:id="55"/>
    <w:bookmarkStart w:id="57"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6">
        <w:r>
          <w:rPr>
            <w:rStyle w:val="Hyperlink"/>
          </w:rPr>
          <w:t xml:space="preserve">https://doi.org/10.1044/2020_JSLHR-19-00299</w:t>
        </w:r>
      </w:hyperlink>
    </w:p>
    <w:bookmarkEnd w:id="57"/>
    <w:bookmarkStart w:id="59"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58">
        <w:r>
          <w:rPr>
            <w:rStyle w:val="Hyperlink"/>
          </w:rPr>
          <w:t xml:space="preserve">https://doi.org/10.1198/106186006X133933</w:t>
        </w:r>
      </w:hyperlink>
    </w:p>
    <w:bookmarkEnd w:id="59"/>
    <w:bookmarkStart w:id="61"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60">
        <w:r>
          <w:rPr>
            <w:rStyle w:val="Hyperlink"/>
          </w:rPr>
          <w:t xml:space="preserve">https://doi.org/10.2139/ssrn.2408030</w:t>
        </w:r>
      </w:hyperlink>
    </w:p>
    <w:bookmarkEnd w:id="61"/>
    <w:bookmarkStart w:id="63"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62">
        <w:r>
          <w:rPr>
            <w:rStyle w:val="Hyperlink"/>
          </w:rPr>
          <w:t xml:space="preserve">https://www.sciencedirect.com/science/article/pii/S0028393223001653</w:t>
        </w:r>
      </w:hyperlink>
    </w:p>
    <w:bookmarkEnd w:id="63"/>
    <w:bookmarkStart w:id="65"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64">
        <w:r>
          <w:rPr>
            <w:rStyle w:val="Hyperlink"/>
          </w:rPr>
          <w:t xml:space="preserve">https://doi.org/10.1044/2022_AJSLP-22-00003</w:t>
        </w:r>
      </w:hyperlink>
    </w:p>
    <w:bookmarkEnd w:id="65"/>
    <w:bookmarkStart w:id="67" w:name="ref-lewis24"/>
    <w:p>
      <w:pPr>
        <w:pStyle w:val="Bibliography"/>
      </w:pPr>
      <w:r>
        <w:t xml:space="preserve">Lewis, C. (2024).</w:t>
      </w:r>
      <w:r>
        <w:t xml:space="preserve"> </w:t>
      </w:r>
      <w:r>
        <w:rPr>
          <w:iCs/>
          <w:i/>
        </w:rPr>
        <w:t xml:space="preserve">Data</w:t>
      </w:r>
      <w:r>
        <w:rPr>
          <w:iCs/>
          <w:i/>
        </w:rPr>
        <w:t xml:space="preserve"> </w:t>
      </w:r>
      <w:r>
        <w:rPr>
          <w:iCs/>
          <w:i/>
        </w:rPr>
        <w:t xml:space="preserve">Management</w:t>
      </w:r>
      <w:r>
        <w:rPr>
          <w:iCs/>
          <w:i/>
        </w:rPr>
        <w:t xml:space="preserve"> </w:t>
      </w:r>
      <w:r>
        <w:rPr>
          <w:iCs/>
          <w:i/>
        </w:rPr>
        <w:t xml:space="preserve">in</w:t>
      </w:r>
      <w:r>
        <w:rPr>
          <w:iCs/>
          <w:i/>
        </w:rPr>
        <w:t xml:space="preserve"> </w:t>
      </w:r>
      <w:r>
        <w:rPr>
          <w:iCs/>
          <w:i/>
        </w:rPr>
        <w:t xml:space="preserve">Large-Scale Education Research</w:t>
      </w:r>
      <w:r>
        <w:t xml:space="preserve">. CRC Press.</w:t>
      </w:r>
      <w:r>
        <w:t xml:space="preserve"> </w:t>
      </w:r>
      <w:hyperlink r:id="rId66">
        <w:r>
          <w:rPr>
            <w:rStyle w:val="Hyperlink"/>
          </w:rPr>
          <w:t xml:space="preserve">https://books.google.com/books?hl=en&amp;lr=&amp;id=z54LEQAAQBAJ&amp;oi=fnd&amp;pg=PT12&amp;dq=Data+Management+in+Large-Scale+Education+Research&amp;ots=6h09wWzI1A&amp;sig=-Eq8b942JpPzrApSvO2M2y8MhCo</w:t>
        </w:r>
      </w:hyperlink>
    </w:p>
    <w:bookmarkEnd w:id="67"/>
    <w:bookmarkStart w:id="69" w:name="ref-meyer18"/>
    <w:p>
      <w:pPr>
        <w:pStyle w:val="Bibliography"/>
      </w:pPr>
      <w:r>
        <w:t xml:space="preserve">Meyer, M. N. (2018). Practical</w:t>
      </w:r>
      <w:r>
        <w:t xml:space="preserve"> </w:t>
      </w:r>
      <w:r>
        <w:t xml:space="preserve">Tips</w:t>
      </w:r>
      <w:r>
        <w:t xml:space="preserve"> </w:t>
      </w:r>
      <w:r>
        <w:t xml:space="preserve">for</w:t>
      </w:r>
      <w:r>
        <w:t xml:space="preserve"> </w:t>
      </w:r>
      <w:r>
        <w:t xml:space="preserve">Ethical Data Sharing</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(1), 131–144.</w:t>
      </w:r>
      <w:r>
        <w:t xml:space="preserve"> </w:t>
      </w:r>
      <w:hyperlink r:id="rId68">
        <w:r>
          <w:rPr>
            <w:rStyle w:val="Hyperlink"/>
          </w:rPr>
          <w:t xml:space="preserve">https://doi.org/10.1177/2515245917747656</w:t>
        </w:r>
      </w:hyperlink>
    </w:p>
    <w:bookmarkEnd w:id="69"/>
    <w:bookmarkStart w:id="71"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0">
        <w:r>
          <w:rPr>
            <w:rStyle w:val="Hyperlink"/>
          </w:rPr>
          <w:t xml:space="preserve">https://doi.org/10.7717/peerj.2530</w:t>
        </w:r>
      </w:hyperlink>
    </w:p>
    <w:bookmarkEnd w:id="71"/>
    <w:bookmarkStart w:id="73"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72">
        <w:r>
          <w:rPr>
            <w:rStyle w:val="Hyperlink"/>
          </w:rPr>
          <w:t xml:space="preserve">https://doi.org/10.18637/jss.v074.i11</w:t>
        </w:r>
      </w:hyperlink>
    </w:p>
    <w:bookmarkEnd w:id="73"/>
    <w:bookmarkStart w:id="75"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74">
        <w:r>
          <w:rPr>
            <w:rStyle w:val="Hyperlink"/>
          </w:rPr>
          <w:t xml:space="preserve">https://doi.org/10.1177/2515245920918872</w:t>
        </w:r>
      </w:hyperlink>
    </w:p>
    <w:bookmarkEnd w:id="75"/>
    <w:bookmarkStart w:id="77"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76">
        <w:r>
          <w:rPr>
            <w:rStyle w:val="Hyperlink"/>
          </w:rPr>
          <w:t xml:space="preserve">https://doi.org/10.3390/psych3040053</w:t>
        </w:r>
      </w:hyperlink>
    </w:p>
    <w:bookmarkEnd w:id="77"/>
    <w:bookmarkStart w:id="79"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78">
        <w:r>
          <w:rPr>
            <w:rStyle w:val="Hyperlink"/>
          </w:rPr>
          <w:t xml:space="preserve">https://doi.org/10.31219/osf.io/9kxa7</w:t>
        </w:r>
      </w:hyperlink>
    </w:p>
    <w:bookmarkEnd w:id="79"/>
    <w:bookmarkStart w:id="81" w:name="ref-piwowar_etal07"/>
    <w:p>
      <w:pPr>
        <w:pStyle w:val="Bibliography"/>
      </w:pPr>
      <w:r>
        <w:t xml:space="preserve">Piwowar, H. A., Day, R. S., &amp; Fridsma, D. B. (2007). Sharing</w:t>
      </w:r>
      <w:r>
        <w:t xml:space="preserve"> </w:t>
      </w:r>
      <w:r>
        <w:t xml:space="preserve">Detailed Research Data Is Associated</w:t>
      </w:r>
      <w:r>
        <w:t xml:space="preserve"> </w:t>
      </w:r>
      <w:r>
        <w:t xml:space="preserve">with</w:t>
      </w:r>
      <w:r>
        <w:t xml:space="preserve"> </w:t>
      </w:r>
      <w:r>
        <w:t xml:space="preserve">Increased Citation Rate</w:t>
      </w:r>
      <w:r>
        <w:t xml:space="preserve">.</w:t>
      </w:r>
      <w:r>
        <w:t xml:space="preserve"> </w:t>
      </w:r>
      <w:r>
        <w:rPr>
          <w:iCs/>
          <w:i/>
        </w:rPr>
        <w:t xml:space="preserve">PLOS ONE</w:t>
      </w:r>
      <w:r>
        <w:t xml:space="preserve">,</w:t>
      </w:r>
      <w:r>
        <w:t xml:space="preserve"> </w:t>
      </w:r>
      <w:r>
        <w:rPr>
          <w:iCs/>
          <w:i/>
        </w:rPr>
        <w:t xml:space="preserve">2</w:t>
      </w:r>
      <w:r>
        <w:t xml:space="preserve">(3), e308.</w:t>
      </w:r>
      <w:r>
        <w:t xml:space="preserve"> </w:t>
      </w:r>
      <w:hyperlink r:id="rId80">
        <w:r>
          <w:rPr>
            <w:rStyle w:val="Hyperlink"/>
          </w:rPr>
          <w:t xml:space="preserve">https://doi.org/10.1371/journal.pone.0000308</w:t>
        </w:r>
      </w:hyperlink>
    </w:p>
    <w:bookmarkEnd w:id="81"/>
    <w:bookmarkStart w:id="83" w:name="ref-piwowar_vision13"/>
    <w:p>
      <w:pPr>
        <w:pStyle w:val="Bibliography"/>
      </w:pPr>
      <w:r>
        <w:t xml:space="preserve">Piwowar, H. A., &amp; Vision, T. J. (2013). Data reuse and the open data citation advantage.</w:t>
      </w:r>
      <w:r>
        <w:t xml:space="preserve"> </w:t>
      </w:r>
      <w:r>
        <w:rPr>
          <w:iCs/>
          <w:i/>
        </w:rPr>
        <w:t xml:space="preserve">PeerJ</w:t>
      </w:r>
      <w:r>
        <w:t xml:space="preserve">,</w:t>
      </w:r>
      <w:r>
        <w:t xml:space="preserve"> </w:t>
      </w:r>
      <w:r>
        <w:rPr>
          <w:iCs/>
          <w:i/>
        </w:rPr>
        <w:t xml:space="preserve">1</w:t>
      </w:r>
      <w:r>
        <w:t xml:space="preserve">, e175.</w:t>
      </w:r>
      <w:r>
        <w:t xml:space="preserve"> </w:t>
      </w:r>
      <w:hyperlink r:id="rId82">
        <w:r>
          <w:rPr>
            <w:rStyle w:val="Hyperlink"/>
          </w:rPr>
          <w:t xml:space="preserve">https://doi.org/10.7717/peerj.175</w:t>
        </w:r>
      </w:hyperlink>
    </w:p>
    <w:bookmarkEnd w:id="83"/>
    <w:bookmarkStart w:id="85"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84">
        <w:r>
          <w:rPr>
            <w:rStyle w:val="Hyperlink"/>
          </w:rPr>
          <w:t xml:space="preserve">https://doi.org/10.7554/eLife.53275</w:t>
        </w:r>
      </w:hyperlink>
    </w:p>
    <w:bookmarkEnd w:id="85"/>
    <w:bookmarkStart w:id="87"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86">
        <w:r>
          <w:rPr>
            <w:rStyle w:val="Hyperlink"/>
          </w:rPr>
          <w:t xml:space="preserve">https://www.R-project.org/</w:t>
        </w:r>
      </w:hyperlink>
    </w:p>
    <w:bookmarkEnd w:id="87"/>
    <w:bookmarkStart w:id="89"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88">
        <w:r>
          <w:rPr>
            <w:rStyle w:val="Hyperlink"/>
          </w:rPr>
          <w:t xml:space="preserve">https://doi.org/10.1038/s41467-019-10933-3</w:t>
        </w:r>
      </w:hyperlink>
    </w:p>
    <w:bookmarkEnd w:id="89"/>
    <w:bookmarkStart w:id="90"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90"/>
    <w:bookmarkStart w:id="91" w:name="ref-shero_hart20"/>
    <w:p>
      <w:pPr>
        <w:pStyle w:val="Bibliography"/>
      </w:pPr>
      <w:r>
        <w:t xml:space="preserve">Shero, J., &amp; Hart, S. A. (2020).</w:t>
      </w:r>
      <w:r>
        <w:t xml:space="preserve"> </w:t>
      </w:r>
      <w:r>
        <w:rPr>
          <w:iCs/>
          <w:i/>
        </w:rPr>
        <w:t xml:space="preserve">Working with your</w:t>
      </w:r>
      <w:r>
        <w:rPr>
          <w:iCs/>
          <w:i/>
        </w:rPr>
        <w:t xml:space="preserve"> </w:t>
      </w:r>
      <w:r>
        <w:rPr>
          <w:iCs/>
          <w:i/>
        </w:rPr>
        <w:t xml:space="preserve">IRB</w:t>
      </w:r>
      <w:r>
        <w:rPr>
          <w:iCs/>
          <w:i/>
        </w:rPr>
        <w:t xml:space="preserve">:</w:t>
      </w:r>
      <w:r>
        <w:rPr>
          <w:iCs/>
          <w:i/>
        </w:rPr>
        <w:t xml:space="preserve"> </w:t>
      </w:r>
      <w:r>
        <w:rPr>
          <w:iCs/>
          <w:i/>
        </w:rPr>
        <w:t xml:space="preserve">Obtaining</w:t>
      </w:r>
      <w:r>
        <w:rPr>
          <w:iCs/>
          <w:i/>
        </w:rPr>
        <w:t xml:space="preserve"> </w:t>
      </w:r>
      <w:r>
        <w:rPr>
          <w:iCs/>
          <w:i/>
        </w:rPr>
        <w:t xml:space="preserve">consent for open data sharing through consent forms and data use agreements (</w:t>
      </w:r>
      <w:r>
        <w:rPr>
          <w:iCs/>
          <w:i/>
        </w:rPr>
        <w:t xml:space="preserve">Version</w:t>
      </w:r>
      <w:r>
        <w:rPr>
          <w:iCs/>
          <w:i/>
        </w:rPr>
        <w:t xml:space="preserve"> </w:t>
      </w:r>
      <w:r>
        <w:rPr>
          <w:iCs/>
          <w:i/>
        </w:rPr>
        <w:t xml:space="preserve">1). figshare</w:t>
      </w:r>
      <w:r>
        <w:t xml:space="preserve">.</w:t>
      </w:r>
    </w:p>
    <w:bookmarkEnd w:id="91"/>
    <w:bookmarkStart w:id="92"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92"/>
    <w:bookmarkStart w:id="94" w:name="ref-tedersoo_etal21"/>
    <w:p>
      <w:pPr>
        <w:pStyle w:val="Bibliography"/>
      </w:pPr>
      <w:r>
        <w:t xml:space="preserve">Tedersoo, L., Küngas, R., Oras, E., Köster, K., Eenmaa, H., Leijen, Ä., Pedaste, M., Raju, M., Astapova, A., Lukner, H., Kogermann, K., &amp; Sepp, T. (2021). Data sharing practices and data availability upon request differ across scientific disciplines.</w:t>
      </w:r>
      <w:r>
        <w:t xml:space="preserve"> </w:t>
      </w:r>
      <w:r>
        <w:rPr>
          <w:iCs/>
          <w:i/>
        </w:rPr>
        <w:t xml:space="preserve">Scientific Data</w:t>
      </w:r>
      <w:r>
        <w:t xml:space="preserve">,</w:t>
      </w:r>
      <w:r>
        <w:t xml:space="preserve"> </w:t>
      </w:r>
      <w:r>
        <w:rPr>
          <w:iCs/>
          <w:i/>
        </w:rPr>
        <w:t xml:space="preserve">8</w:t>
      </w:r>
      <w:r>
        <w:t xml:space="preserve">(1), 192.</w:t>
      </w:r>
      <w:r>
        <w:t xml:space="preserve"> </w:t>
      </w:r>
      <w:hyperlink r:id="rId93">
        <w:r>
          <w:rPr>
            <w:rStyle w:val="Hyperlink"/>
          </w:rPr>
          <w:t xml:space="preserve">https://doi.org/10.1038/s41597-021-00981-0</w:t>
        </w:r>
      </w:hyperlink>
    </w:p>
    <w:bookmarkEnd w:id="94"/>
    <w:bookmarkStart w:id="96"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95">
        <w:r>
          <w:rPr>
            <w:rStyle w:val="Hyperlink"/>
          </w:rPr>
          <w:t xml:space="preserve">https://doi.org/10.1044/2022_JSLHR-22-00287</w:t>
        </w:r>
      </w:hyperlink>
    </w:p>
    <w:bookmarkEnd w:id="96"/>
    <w:bookmarkStart w:id="98"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97">
        <w:r>
          <w:rPr>
            <w:rStyle w:val="Hyperlink"/>
          </w:rPr>
          <w:t xml:space="preserve">https://doi.org/10.1136/bmjhci-2023-100771</w:t>
        </w:r>
      </w:hyperlink>
    </w:p>
    <w:bookmarkEnd w:id="98"/>
    <w:bookmarkStart w:id="100"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9">
        <w:r>
          <w:rPr>
            <w:rStyle w:val="Hyperlink"/>
          </w:rPr>
          <w:t xml:space="preserve">https://doi.org/10.21105/joss.01686</w:t>
        </w:r>
      </w:hyperlink>
    </w:p>
    <w:bookmarkEnd w:id="100"/>
    <w:bookmarkStart w:id="102"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01">
        <w:r>
          <w:rPr>
            <w:rStyle w:val="Hyperlink"/>
          </w:rPr>
          <w:t xml:space="preserve">https://doi.org/10.1038/sdata.2016.18</w:t>
        </w:r>
      </w:hyperlink>
    </w:p>
    <w:bookmarkEnd w:id="102"/>
    <w:bookmarkEnd w:id="103"/>
    <w:p>
      <w:r>
        <w:br w:type="page"/>
      </w:r>
    </w:p>
    <w:bookmarkEnd w:id="104"/>
    <w:bookmarkStart w:id="105"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bookmarkEnd w:id="105"/>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66"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38" Target="https://doi.org/10.1007/s00455-022-10428-2" TargetMode="External" /><Relationship Type="http://schemas.openxmlformats.org/officeDocument/2006/relationships/hyperlink" Id="rId54" Target="https://doi.org/10.1016/j.jfludis.2020.105827" TargetMode="External" /><Relationship Type="http://schemas.openxmlformats.org/officeDocument/2006/relationships/hyperlink" Id="rId88" Target="https://doi.org/10.1038/s41467-019-10933-3" TargetMode="External" /><Relationship Type="http://schemas.openxmlformats.org/officeDocument/2006/relationships/hyperlink" Id="rId93" Target="https://doi.org/10.1038/s41597-021-00981-0" TargetMode="External" /><Relationship Type="http://schemas.openxmlformats.org/officeDocument/2006/relationships/hyperlink" Id="rId101" Target="https://doi.org/10.1038/sdata.2016.18" TargetMode="External" /><Relationship Type="http://schemas.openxmlformats.org/officeDocument/2006/relationships/hyperlink" Id="rId56" Target="https://doi.org/10.1044/2020_JSLHR-19-00299" TargetMode="External" /><Relationship Type="http://schemas.openxmlformats.org/officeDocument/2006/relationships/hyperlink" Id="rId64" Target="https://doi.org/10.1044/2022_AJSLP-22-00003" TargetMode="External" /><Relationship Type="http://schemas.openxmlformats.org/officeDocument/2006/relationships/hyperlink" Id="rId52" Target="https://doi.org/10.1044/2022_JSLHR-22-00062" TargetMode="External" /><Relationship Type="http://schemas.openxmlformats.org/officeDocument/2006/relationships/hyperlink" Id="rId95" Target="https://doi.org/10.1044/2022_JSLHR-22-00287" TargetMode="External" /><Relationship Type="http://schemas.openxmlformats.org/officeDocument/2006/relationships/hyperlink" Id="rId42" Target="https://doi.org/10.1044/2023_JSLHR-22-00318" TargetMode="External" /><Relationship Type="http://schemas.openxmlformats.org/officeDocument/2006/relationships/hyperlink" Id="rId46" Target="https://doi.org/10.1044/2023_JSLHR-23-00132" TargetMode="External" /><Relationship Type="http://schemas.openxmlformats.org/officeDocument/2006/relationships/hyperlink" Id="rId44"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97" Target="https://doi.org/10.1136/bmjhci-2023-100771" TargetMode="External" /><Relationship Type="http://schemas.openxmlformats.org/officeDocument/2006/relationships/hyperlink" Id="rId68" Target="https://doi.org/10.1177/2515245917747656" TargetMode="External" /><Relationship Type="http://schemas.openxmlformats.org/officeDocument/2006/relationships/hyperlink" Id="rId74" Target="https://doi.org/10.1177/2515245920918872" TargetMode="External" /><Relationship Type="http://schemas.openxmlformats.org/officeDocument/2006/relationships/hyperlink" Id="rId58" Target="https://doi.org/10.1198/106186006X133933" TargetMode="External" /><Relationship Type="http://schemas.openxmlformats.org/officeDocument/2006/relationships/hyperlink" Id="rId50" Target="https://doi.org/10.1214/24-STS927" TargetMode="External" /><Relationship Type="http://schemas.openxmlformats.org/officeDocument/2006/relationships/hyperlink" Id="rId80" Target="https://doi.org/10.1371/journal.pone.0000308" TargetMode="External" /><Relationship Type="http://schemas.openxmlformats.org/officeDocument/2006/relationships/hyperlink" Id="rId48" Target="https://doi.org/10.18352/lq.10149" TargetMode="External" /><Relationship Type="http://schemas.openxmlformats.org/officeDocument/2006/relationships/hyperlink" Id="rId72" Target="https://doi.org/10.18637/jss.v074.i11" TargetMode="External" /><Relationship Type="http://schemas.openxmlformats.org/officeDocument/2006/relationships/hyperlink" Id="rId99" Target="https://doi.org/10.21105/joss.01686" TargetMode="External" /><Relationship Type="http://schemas.openxmlformats.org/officeDocument/2006/relationships/hyperlink" Id="rId60" Target="https://doi.org/10.2139/ssrn.2408030" TargetMode="External" /><Relationship Type="http://schemas.openxmlformats.org/officeDocument/2006/relationships/hyperlink" Id="rId78"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76" Target="https://doi.org/10.3390/psych3040053" TargetMode="External" /><Relationship Type="http://schemas.openxmlformats.org/officeDocument/2006/relationships/hyperlink" Id="rId84" Target="https://doi.org/10.7554/eLife.53275" TargetMode="External" /><Relationship Type="http://schemas.openxmlformats.org/officeDocument/2006/relationships/hyperlink" Id="rId82" Target="https://doi.org/10.7717/peerj.175" TargetMode="External" /><Relationship Type="http://schemas.openxmlformats.org/officeDocument/2006/relationships/hyperlink" Id="rId70" Target="https://doi.org/10.7717/peerj.2530" TargetMode="External" /><Relationship Type="http://schemas.openxmlformats.org/officeDocument/2006/relationships/hyperlink" Id="rId86" Target="https://www.R-project.org/" TargetMode="External" /><Relationship Type="http://schemas.openxmlformats.org/officeDocument/2006/relationships/hyperlink" Id="rId62"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66" Target="https://books.google.com/books?hl=en&amp;lr=&amp;id=z54LEQAAQBAJ&amp;oi=fnd&amp;pg=PT12&amp;dq=Data+Management+in+Large-Scale+Education+Research&amp;ots=6h09wWzI1A&amp;sig=-Eq8b942JpPzrApSvO2M2y8MhCo" TargetMode="External" /><Relationship Type="http://schemas.openxmlformats.org/officeDocument/2006/relationships/hyperlink" Id="rId38" Target="https://doi.org/10.1007/s00455-022-10428-2" TargetMode="External" /><Relationship Type="http://schemas.openxmlformats.org/officeDocument/2006/relationships/hyperlink" Id="rId54" Target="https://doi.org/10.1016/j.jfludis.2020.105827" TargetMode="External" /><Relationship Type="http://schemas.openxmlformats.org/officeDocument/2006/relationships/hyperlink" Id="rId88" Target="https://doi.org/10.1038/s41467-019-10933-3" TargetMode="External" /><Relationship Type="http://schemas.openxmlformats.org/officeDocument/2006/relationships/hyperlink" Id="rId93" Target="https://doi.org/10.1038/s41597-021-00981-0" TargetMode="External" /><Relationship Type="http://schemas.openxmlformats.org/officeDocument/2006/relationships/hyperlink" Id="rId101" Target="https://doi.org/10.1038/sdata.2016.18" TargetMode="External" /><Relationship Type="http://schemas.openxmlformats.org/officeDocument/2006/relationships/hyperlink" Id="rId56" Target="https://doi.org/10.1044/2020_JSLHR-19-00299" TargetMode="External" /><Relationship Type="http://schemas.openxmlformats.org/officeDocument/2006/relationships/hyperlink" Id="rId64" Target="https://doi.org/10.1044/2022_AJSLP-22-00003" TargetMode="External" /><Relationship Type="http://schemas.openxmlformats.org/officeDocument/2006/relationships/hyperlink" Id="rId52" Target="https://doi.org/10.1044/2022_JSLHR-22-00062" TargetMode="External" /><Relationship Type="http://schemas.openxmlformats.org/officeDocument/2006/relationships/hyperlink" Id="rId95" Target="https://doi.org/10.1044/2022_JSLHR-22-00287" TargetMode="External" /><Relationship Type="http://schemas.openxmlformats.org/officeDocument/2006/relationships/hyperlink" Id="rId42" Target="https://doi.org/10.1044/2023_JSLHR-22-00318" TargetMode="External" /><Relationship Type="http://schemas.openxmlformats.org/officeDocument/2006/relationships/hyperlink" Id="rId46" Target="https://doi.org/10.1044/2023_JSLHR-23-00132" TargetMode="External" /><Relationship Type="http://schemas.openxmlformats.org/officeDocument/2006/relationships/hyperlink" Id="rId44" Target="https://doi.org/10.1080/02699052.2023.2181401" TargetMode="External" /><Relationship Type="http://schemas.openxmlformats.org/officeDocument/2006/relationships/hyperlink" Id="rId40" Target="https://doi.org/10.1080/10489223.2023.2262457" TargetMode="External" /><Relationship Type="http://schemas.openxmlformats.org/officeDocument/2006/relationships/hyperlink" Id="rId97" Target="https://doi.org/10.1136/bmjhci-2023-100771" TargetMode="External" /><Relationship Type="http://schemas.openxmlformats.org/officeDocument/2006/relationships/hyperlink" Id="rId68" Target="https://doi.org/10.1177/2515245917747656" TargetMode="External" /><Relationship Type="http://schemas.openxmlformats.org/officeDocument/2006/relationships/hyperlink" Id="rId74" Target="https://doi.org/10.1177/2515245920918872" TargetMode="External" /><Relationship Type="http://schemas.openxmlformats.org/officeDocument/2006/relationships/hyperlink" Id="rId58" Target="https://doi.org/10.1198/106186006X133933" TargetMode="External" /><Relationship Type="http://schemas.openxmlformats.org/officeDocument/2006/relationships/hyperlink" Id="rId50" Target="https://doi.org/10.1214/24-STS927" TargetMode="External" /><Relationship Type="http://schemas.openxmlformats.org/officeDocument/2006/relationships/hyperlink" Id="rId80" Target="https://doi.org/10.1371/journal.pone.0000308" TargetMode="External" /><Relationship Type="http://schemas.openxmlformats.org/officeDocument/2006/relationships/hyperlink" Id="rId48" Target="https://doi.org/10.18352/lq.10149" TargetMode="External" /><Relationship Type="http://schemas.openxmlformats.org/officeDocument/2006/relationships/hyperlink" Id="rId72" Target="https://doi.org/10.18637/jss.v074.i11" TargetMode="External" /><Relationship Type="http://schemas.openxmlformats.org/officeDocument/2006/relationships/hyperlink" Id="rId99" Target="https://doi.org/10.21105/joss.01686" TargetMode="External" /><Relationship Type="http://schemas.openxmlformats.org/officeDocument/2006/relationships/hyperlink" Id="rId60" Target="https://doi.org/10.2139/ssrn.2408030" TargetMode="External" /><Relationship Type="http://schemas.openxmlformats.org/officeDocument/2006/relationships/hyperlink" Id="rId78" Target="https://doi.org/10.31219/osf.io/9kxa7" TargetMode="External" /><Relationship Type="http://schemas.openxmlformats.org/officeDocument/2006/relationships/hyperlink" Id="rId36" Target="https://doi.org/10.31234/osf.io/veh7t" TargetMode="External" /><Relationship Type="http://schemas.openxmlformats.org/officeDocument/2006/relationships/hyperlink" Id="rId76" Target="https://doi.org/10.3390/psych3040053" TargetMode="External" /><Relationship Type="http://schemas.openxmlformats.org/officeDocument/2006/relationships/hyperlink" Id="rId84" Target="https://doi.org/10.7554/eLife.53275" TargetMode="External" /><Relationship Type="http://schemas.openxmlformats.org/officeDocument/2006/relationships/hyperlink" Id="rId82" Target="https://doi.org/10.7717/peerj.175" TargetMode="External" /><Relationship Type="http://schemas.openxmlformats.org/officeDocument/2006/relationships/hyperlink" Id="rId70" Target="https://doi.org/10.7717/peerj.2530" TargetMode="External" /><Relationship Type="http://schemas.openxmlformats.org/officeDocument/2006/relationships/hyperlink" Id="rId86" Target="https://www.R-project.org/" TargetMode="External" /><Relationship Type="http://schemas.openxmlformats.org/officeDocument/2006/relationships/hyperlink" Id="rId62"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2024-09-26T13:57:58Z</dcterms:created>
  <dcterms:modified xsi:type="dcterms:W3CDTF">2024-09-26T13:57:58Z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