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1: Characteristics of included studies by ASHA domain.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Materials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Interest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 Type(s)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Curtis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 of laryngeal vestibule residue ratings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amyotrophic lateral sclerosis, Huntington’s disease, cerebellar ataxia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vowel space area and intelligibility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Elsherif et al. (2021)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Dyslexia, stuttering,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nonword repetition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Voice and resonance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Novotný et al.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Huntington’s disease,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overall perceptual rating and variability of nasality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 correlation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Battal et al.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Congenitally blind, sighted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auditory localization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mixed-effects model with 3-way interaction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modalities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 et al.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Speech-language pathologists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 difference in lack of/limited internet and technology barriers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Kearney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 tumor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years of education and reading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Spearman’s rank correlation coefficient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aspects of 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Clough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Traumatic brain injury,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x Condition interaction in emotion recognition accuracy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mixed-effects model with 3-way interaction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aspects of communication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Chanchaochai &amp; Schwarz (2023)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Autism spectrum disorder, neurotypical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non-verbal IQ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Variance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2024-08-12T11:06:45Z</dcterms:modified>
</cp:coreProperties>
</file>