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1618E" w14:textId="77777777" w:rsidR="00CF350E" w:rsidRPr="00CF350E" w:rsidRDefault="00CF350E" w:rsidP="00CF350E">
      <w:pPr>
        <w:rPr>
          <w:b/>
          <w:bCs/>
        </w:rPr>
      </w:pPr>
      <w:r w:rsidRPr="00CF350E">
        <w:rPr>
          <w:b/>
          <w:bCs/>
        </w:rPr>
        <w:t>Table 1</w:t>
      </w:r>
    </w:p>
    <w:p w14:paraId="161872F5" w14:textId="77777777" w:rsidR="00CF350E" w:rsidRPr="00CF350E" w:rsidRDefault="00CF350E" w:rsidP="00CF350E">
      <w:r w:rsidRPr="00CF350E">
        <w:t>Types of data.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138"/>
        <w:gridCol w:w="2269"/>
        <w:gridCol w:w="2535"/>
      </w:tblGrid>
      <w:tr w:rsidR="00CF350E" w:rsidRPr="00CF350E" w14:paraId="0FCD0848" w14:textId="77777777" w:rsidTr="0094612A">
        <w:tc>
          <w:tcPr>
            <w:tcW w:w="1292" w:type="pct"/>
            <w:tcBorders>
              <w:top w:val="single" w:sz="4" w:space="0" w:color="auto"/>
              <w:bottom w:val="single" w:sz="4" w:space="0" w:color="auto"/>
            </w:tcBorders>
          </w:tcPr>
          <w:p w14:paraId="42FEE9D6" w14:textId="77777777" w:rsidR="00CF350E" w:rsidRPr="00CF350E" w:rsidRDefault="00CF350E" w:rsidP="00CF350E"/>
        </w:tc>
        <w:tc>
          <w:tcPr>
            <w:tcW w:w="1142" w:type="pct"/>
            <w:tcBorders>
              <w:top w:val="single" w:sz="4" w:space="0" w:color="auto"/>
              <w:bottom w:val="single" w:sz="4" w:space="0" w:color="auto"/>
            </w:tcBorders>
          </w:tcPr>
          <w:p w14:paraId="485D7F7F" w14:textId="77777777" w:rsidR="00CF350E" w:rsidRPr="00CF350E" w:rsidRDefault="00CF350E" w:rsidP="00CF350E">
            <w:r w:rsidRPr="00CF350E">
              <w:rPr>
                <w:b/>
                <w:bCs/>
              </w:rPr>
              <w:t>Raw Data</w:t>
            </w:r>
            <w:r w:rsidRPr="00CF350E">
              <w:t xml:space="preserve"> </w:t>
            </w:r>
          </w:p>
        </w:tc>
        <w:tc>
          <w:tcPr>
            <w:tcW w:w="1212" w:type="pct"/>
            <w:tcBorders>
              <w:top w:val="single" w:sz="4" w:space="0" w:color="auto"/>
              <w:bottom w:val="single" w:sz="4" w:space="0" w:color="auto"/>
            </w:tcBorders>
          </w:tcPr>
          <w:p w14:paraId="45F11349" w14:textId="77777777" w:rsidR="00CF350E" w:rsidRPr="00CF350E" w:rsidRDefault="00CF350E" w:rsidP="00CF350E">
            <w:r w:rsidRPr="00CF350E">
              <w:rPr>
                <w:b/>
                <w:bCs/>
              </w:rPr>
              <w:t>Intermediate Data</w:t>
            </w:r>
            <w:r w:rsidRPr="00CF350E">
              <w:t xml:space="preserve"> </w:t>
            </w:r>
          </w:p>
        </w:tc>
        <w:tc>
          <w:tcPr>
            <w:tcW w:w="1355" w:type="pct"/>
            <w:tcBorders>
              <w:top w:val="single" w:sz="4" w:space="0" w:color="auto"/>
              <w:bottom w:val="single" w:sz="4" w:space="0" w:color="auto"/>
            </w:tcBorders>
          </w:tcPr>
          <w:p w14:paraId="4C7DC3CA" w14:textId="77777777" w:rsidR="00CF350E" w:rsidRPr="00CF350E" w:rsidRDefault="00CF350E" w:rsidP="00CF350E">
            <w:r w:rsidRPr="00CF350E">
              <w:rPr>
                <w:b/>
                <w:bCs/>
              </w:rPr>
              <w:t>Analysis Data</w:t>
            </w:r>
            <w:r w:rsidRPr="00CF350E">
              <w:t xml:space="preserve"> </w:t>
            </w:r>
          </w:p>
        </w:tc>
      </w:tr>
      <w:tr w:rsidR="00CF350E" w:rsidRPr="00CF350E" w14:paraId="57884C87" w14:textId="77777777" w:rsidTr="0094612A">
        <w:trPr>
          <w:trHeight w:val="1493"/>
        </w:trPr>
        <w:tc>
          <w:tcPr>
            <w:tcW w:w="1292" w:type="pct"/>
            <w:tcBorders>
              <w:top w:val="single" w:sz="4" w:space="0" w:color="auto"/>
              <w:bottom w:val="single" w:sz="4" w:space="0" w:color="auto"/>
            </w:tcBorders>
          </w:tcPr>
          <w:p w14:paraId="47C37B36" w14:textId="77777777" w:rsidR="00CF350E" w:rsidRPr="00CF350E" w:rsidRDefault="00CF350E" w:rsidP="00CF350E">
            <w:pPr>
              <w:rPr>
                <w:b/>
                <w:bCs/>
              </w:rPr>
            </w:pPr>
            <w:r w:rsidRPr="00CF350E">
              <w:rPr>
                <w:b/>
                <w:bCs/>
              </w:rPr>
              <w:t>Description</w:t>
            </w:r>
          </w:p>
        </w:tc>
        <w:tc>
          <w:tcPr>
            <w:tcW w:w="1142" w:type="pct"/>
            <w:tcBorders>
              <w:top w:val="single" w:sz="4" w:space="0" w:color="auto"/>
              <w:bottom w:val="single" w:sz="4" w:space="0" w:color="auto"/>
            </w:tcBorders>
          </w:tcPr>
          <w:p w14:paraId="315AA447" w14:textId="77777777" w:rsidR="00CF350E" w:rsidRPr="00CF350E" w:rsidRDefault="00CF350E" w:rsidP="00CF350E">
            <w:r w:rsidRPr="00CF350E">
              <w:t>Original, unmodified data collected from studies.</w:t>
            </w:r>
          </w:p>
          <w:p w14:paraId="7D5D1394" w14:textId="77777777" w:rsidR="00CF350E" w:rsidRPr="00CF350E" w:rsidRDefault="00CF350E" w:rsidP="00CF350E"/>
          <w:p w14:paraId="76C50228" w14:textId="77777777" w:rsidR="00CF350E" w:rsidRPr="00CF350E" w:rsidRDefault="00CF350E" w:rsidP="00CF350E">
            <w:r w:rsidRPr="00CF350E">
              <w:t>Also known as primary data, microdata, individual-level data.</w:t>
            </w:r>
          </w:p>
        </w:tc>
        <w:tc>
          <w:tcPr>
            <w:tcW w:w="1212" w:type="pct"/>
            <w:tcBorders>
              <w:top w:val="single" w:sz="4" w:space="0" w:color="auto"/>
              <w:bottom w:val="single" w:sz="4" w:space="0" w:color="auto"/>
            </w:tcBorders>
          </w:tcPr>
          <w:p w14:paraId="7EF0C039" w14:textId="77777777" w:rsidR="00CF350E" w:rsidRPr="00CF350E" w:rsidRDefault="00CF350E" w:rsidP="00CF350E">
            <w:r w:rsidRPr="00CF350E">
              <w:t>Cleaned, de-identified, and processed data, used for creating the analysis data.</w:t>
            </w:r>
          </w:p>
          <w:p w14:paraId="750B491C" w14:textId="77777777" w:rsidR="00CF350E" w:rsidRPr="00CF350E" w:rsidRDefault="00CF350E" w:rsidP="00CF350E"/>
          <w:p w14:paraId="4D00A17F" w14:textId="77777777" w:rsidR="00CF350E" w:rsidRPr="00CF350E" w:rsidRDefault="00CF350E" w:rsidP="00CF350E">
            <w:r w:rsidRPr="00CF350E">
              <w:t>Also known as cleaned data, transactional data, processed data.</w:t>
            </w:r>
          </w:p>
        </w:tc>
        <w:tc>
          <w:tcPr>
            <w:tcW w:w="1355" w:type="pct"/>
            <w:tcBorders>
              <w:top w:val="single" w:sz="4" w:space="0" w:color="auto"/>
              <w:bottom w:val="single" w:sz="4" w:space="0" w:color="auto"/>
            </w:tcBorders>
          </w:tcPr>
          <w:p w14:paraId="2C405563" w14:textId="77777777" w:rsidR="00CF350E" w:rsidRPr="00CF350E" w:rsidRDefault="00CF350E" w:rsidP="00CF350E">
            <w:r w:rsidRPr="00CF350E">
              <w:t>Final dataset containing variables used in statistical analyses.</w:t>
            </w:r>
          </w:p>
          <w:p w14:paraId="3B187F0C" w14:textId="77777777" w:rsidR="00CF350E" w:rsidRPr="00CF350E" w:rsidRDefault="00CF350E" w:rsidP="00CF350E"/>
          <w:p w14:paraId="35CEBF29" w14:textId="77777777" w:rsidR="00CF350E" w:rsidRPr="00CF350E" w:rsidRDefault="00CF350E" w:rsidP="00CF350E">
            <w:r w:rsidRPr="00CF350E">
              <w:t>Also known as derived data, result data, aggregate data.</w:t>
            </w:r>
          </w:p>
        </w:tc>
      </w:tr>
      <w:tr w:rsidR="00CF350E" w:rsidRPr="00CF350E" w14:paraId="2F236967" w14:textId="77777777" w:rsidTr="0094612A">
        <w:tc>
          <w:tcPr>
            <w:tcW w:w="1292" w:type="pct"/>
            <w:tcBorders>
              <w:top w:val="single" w:sz="4" w:space="0" w:color="auto"/>
            </w:tcBorders>
          </w:tcPr>
          <w:p w14:paraId="22ECBF92" w14:textId="77777777" w:rsidR="00CF350E" w:rsidRPr="00CF350E" w:rsidRDefault="00CF350E" w:rsidP="00CF350E">
            <w:pPr>
              <w:rPr>
                <w:b/>
                <w:bCs/>
              </w:rPr>
            </w:pPr>
            <w:r w:rsidRPr="00CF350E">
              <w:rPr>
                <w:b/>
                <w:bCs/>
              </w:rPr>
              <w:t>Examples</w:t>
            </w:r>
          </w:p>
        </w:tc>
        <w:tc>
          <w:tcPr>
            <w:tcW w:w="1142" w:type="pct"/>
            <w:tcBorders>
              <w:top w:val="single" w:sz="4" w:space="0" w:color="auto"/>
            </w:tcBorders>
          </w:tcPr>
          <w:p w14:paraId="6F7E066C" w14:textId="77777777" w:rsidR="00CF350E" w:rsidRPr="00CF350E" w:rsidRDefault="00CF350E" w:rsidP="00CF350E"/>
        </w:tc>
        <w:tc>
          <w:tcPr>
            <w:tcW w:w="1212" w:type="pct"/>
            <w:tcBorders>
              <w:top w:val="single" w:sz="4" w:space="0" w:color="auto"/>
            </w:tcBorders>
          </w:tcPr>
          <w:p w14:paraId="50C95AE3" w14:textId="77777777" w:rsidR="00CF350E" w:rsidRPr="00CF350E" w:rsidRDefault="00CF350E" w:rsidP="00CF350E"/>
        </w:tc>
        <w:tc>
          <w:tcPr>
            <w:tcW w:w="1355" w:type="pct"/>
            <w:tcBorders>
              <w:top w:val="single" w:sz="4" w:space="0" w:color="auto"/>
            </w:tcBorders>
          </w:tcPr>
          <w:p w14:paraId="57B0A7D5" w14:textId="77777777" w:rsidR="00CF350E" w:rsidRPr="00CF350E" w:rsidRDefault="00CF350E" w:rsidP="00CF350E"/>
        </w:tc>
      </w:tr>
      <w:tr w:rsidR="00CF350E" w:rsidRPr="00CF350E" w14:paraId="0CE73200" w14:textId="77777777" w:rsidTr="0094612A">
        <w:tc>
          <w:tcPr>
            <w:tcW w:w="1292" w:type="pct"/>
          </w:tcPr>
          <w:p w14:paraId="7C8F51C8" w14:textId="77777777" w:rsidR="00CF350E" w:rsidRPr="00CF350E" w:rsidRDefault="00CF350E" w:rsidP="00CF350E">
            <w:pPr>
              <w:rPr>
                <w:b/>
                <w:bCs/>
              </w:rPr>
            </w:pPr>
            <w:r w:rsidRPr="00CF350E">
              <w:rPr>
                <w:b/>
                <w:bCs/>
              </w:rPr>
              <w:t>Acoustic Data</w:t>
            </w:r>
          </w:p>
          <w:p w14:paraId="21415CCB" w14:textId="77777777" w:rsidR="00CF350E" w:rsidRPr="00CF350E" w:rsidRDefault="00CF350E" w:rsidP="00CF350E">
            <w:r w:rsidRPr="00CF350E">
              <w:t>(Thompson et al., 2023)</w:t>
            </w:r>
          </w:p>
        </w:tc>
        <w:tc>
          <w:tcPr>
            <w:tcW w:w="1142" w:type="pct"/>
            <w:tcBorders>
              <w:bottom w:val="single" w:sz="4" w:space="0" w:color="auto"/>
            </w:tcBorders>
          </w:tcPr>
          <w:p w14:paraId="6391AA3E" w14:textId="77777777" w:rsidR="00CF350E" w:rsidRPr="00CF350E" w:rsidRDefault="00CF350E" w:rsidP="00CF350E">
            <w:r w:rsidRPr="00CF350E">
              <w:t>Raw audio recordings.</w:t>
            </w:r>
          </w:p>
        </w:tc>
        <w:tc>
          <w:tcPr>
            <w:tcW w:w="1212" w:type="pct"/>
            <w:tcBorders>
              <w:bottom w:val="single" w:sz="4" w:space="0" w:color="auto"/>
            </w:tcBorders>
          </w:tcPr>
          <w:p w14:paraId="663CE5D6" w14:textId="77777777" w:rsidR="00CF350E" w:rsidRPr="00CF350E" w:rsidRDefault="00CF350E" w:rsidP="00CF350E">
            <w:r w:rsidRPr="00CF350E">
              <w:t>Extracted formant data.</w:t>
            </w:r>
          </w:p>
        </w:tc>
        <w:tc>
          <w:tcPr>
            <w:tcW w:w="1355" w:type="pct"/>
            <w:tcBorders>
              <w:bottom w:val="single" w:sz="4" w:space="0" w:color="auto"/>
            </w:tcBorders>
          </w:tcPr>
          <w:p w14:paraId="494A305D" w14:textId="77777777" w:rsidR="00CF350E" w:rsidRPr="00CF350E" w:rsidRDefault="00CF350E" w:rsidP="00CF350E">
            <w:r w:rsidRPr="00CF350E">
              <w:t>Dataset containing average vowel space area per speaker.</w:t>
            </w:r>
          </w:p>
          <w:p w14:paraId="3E2E2FA9" w14:textId="77777777" w:rsidR="00CF350E" w:rsidRPr="00CF350E" w:rsidRDefault="00CF350E" w:rsidP="00CF350E"/>
        </w:tc>
      </w:tr>
      <w:tr w:rsidR="00CF350E" w:rsidRPr="00CF350E" w14:paraId="285E70C3" w14:textId="77777777" w:rsidTr="0094612A">
        <w:tc>
          <w:tcPr>
            <w:tcW w:w="1292" w:type="pct"/>
          </w:tcPr>
          <w:p w14:paraId="1C75E80B" w14:textId="77777777" w:rsidR="00CF350E" w:rsidRPr="00CF350E" w:rsidRDefault="00CF350E" w:rsidP="00CF350E">
            <w:pPr>
              <w:rPr>
                <w:b/>
                <w:bCs/>
              </w:rPr>
            </w:pPr>
            <w:r w:rsidRPr="00CF350E">
              <w:rPr>
                <w:b/>
                <w:bCs/>
              </w:rPr>
              <w:t>Swallowing Data</w:t>
            </w:r>
          </w:p>
          <w:p w14:paraId="7253B0C1" w14:textId="77777777" w:rsidR="00CF350E" w:rsidRPr="00CF350E" w:rsidRDefault="00CF350E" w:rsidP="00CF350E">
            <w:pPr>
              <w:rPr>
                <w:b/>
                <w:bCs/>
              </w:rPr>
            </w:pPr>
            <w:r w:rsidRPr="00CF350E">
              <w:t>(Curtis et al., 2023)</w:t>
            </w:r>
          </w:p>
        </w:tc>
        <w:tc>
          <w:tcPr>
            <w:tcW w:w="1142" w:type="pct"/>
            <w:tcBorders>
              <w:top w:val="single" w:sz="4" w:space="0" w:color="auto"/>
              <w:bottom w:val="single" w:sz="4" w:space="0" w:color="auto"/>
            </w:tcBorders>
          </w:tcPr>
          <w:p w14:paraId="0FB0D640" w14:textId="77777777" w:rsidR="00CF350E" w:rsidRPr="00CF350E" w:rsidRDefault="00CF350E" w:rsidP="00CF350E">
            <w:r w:rsidRPr="00CF350E">
              <w:t>Video files from flexible endoscopic evaluations of swallowing.</w:t>
            </w:r>
          </w:p>
        </w:tc>
        <w:tc>
          <w:tcPr>
            <w:tcW w:w="1212" w:type="pct"/>
            <w:tcBorders>
              <w:top w:val="single" w:sz="4" w:space="0" w:color="auto"/>
              <w:bottom w:val="single" w:sz="4" w:space="0" w:color="auto"/>
            </w:tcBorders>
          </w:tcPr>
          <w:p w14:paraId="0E180B94" w14:textId="77777777" w:rsidR="00CF350E" w:rsidRPr="00CF350E" w:rsidRDefault="00CF350E" w:rsidP="00CF350E">
            <w:r w:rsidRPr="00CF350E">
              <w:t>N/A</w:t>
            </w:r>
          </w:p>
        </w:tc>
        <w:tc>
          <w:tcPr>
            <w:tcW w:w="1355" w:type="pct"/>
            <w:tcBorders>
              <w:top w:val="single" w:sz="4" w:space="0" w:color="auto"/>
              <w:bottom w:val="single" w:sz="4" w:space="0" w:color="auto"/>
            </w:tcBorders>
          </w:tcPr>
          <w:p w14:paraId="4B80D454" w14:textId="77777777" w:rsidR="00CF350E" w:rsidRPr="00CF350E" w:rsidRDefault="00CF350E" w:rsidP="00CF350E">
            <w:r w:rsidRPr="00CF350E">
              <w:t>Dataset containing ratings of swallowing safety and efficiency.</w:t>
            </w:r>
          </w:p>
        </w:tc>
      </w:tr>
      <w:tr w:rsidR="00CF350E" w:rsidRPr="00CF350E" w14:paraId="3EFC2D97" w14:textId="77777777" w:rsidTr="0094612A">
        <w:tc>
          <w:tcPr>
            <w:tcW w:w="1292" w:type="pct"/>
          </w:tcPr>
          <w:p w14:paraId="4A189EF0" w14:textId="77777777" w:rsidR="00CF350E" w:rsidRPr="00CF350E" w:rsidRDefault="00CF350E" w:rsidP="00CF350E">
            <w:pPr>
              <w:rPr>
                <w:b/>
                <w:bCs/>
              </w:rPr>
            </w:pPr>
            <w:r w:rsidRPr="00CF350E">
              <w:rPr>
                <w:b/>
                <w:bCs/>
              </w:rPr>
              <w:t>Eye Tracking Data</w:t>
            </w:r>
          </w:p>
          <w:p w14:paraId="2D963C93" w14:textId="77777777" w:rsidR="00CF350E" w:rsidRPr="00CF350E" w:rsidRDefault="00CF350E" w:rsidP="00CF350E">
            <w:r w:rsidRPr="00CF350E">
              <w:fldChar w:fldCharType="begin"/>
            </w:r>
            <w:r w:rsidRPr="00CF350E">
              <w:instrText xml:space="preserve"> ADDIN ZOTERO_ITEM CSL_CITATION {"citationID":"JFxRzTab","properties":{"formattedCitation":"(Baron et al., 2023)","plainCitation":"(Baron et al., 2023)","noteIndex":0},"citationItems":[{"id":3457,"uris":["http://zotero.org/users/10052007/items/LXC2S5TE"],"itemData":{"id":3457,"type":"article-journal","abstract":"&lt;p&gt;Face to face communication typically involves audio and visual components to the speech signal. To examine the effect of task demands on gaze patterns in response to a speaking face, adults participated in two eye-tracking experiments with an audiovisual (articulatory information from the mouth was visible) and a pixelated condition (articulatory information was not visible). Further, task demands were manipulated by having listeners respond in a passive (no response) or an active (button press response) context. The active experiment required participants to discriminate between speech stimuli and was designed to mimic environmental situations which require one to use visual information to disambiguate the speaker’s message, simulating different listening conditions in real-world settings. Stimuli included a clear exemplar of the syllable /ba/ and a second exemplar in which the formant initial consonant was reduced creating an /&lt;italic&gt;a&lt;/italic&gt;/−like consonant. Consistent with our hypothesis, results revealed that the greatest fixations to the mouth were present in the audiovisual active experiment and visual articulatory information led to a phonemic restoration effect for the /&lt;italic&gt;a&lt;/italic&gt;/ speech token. In the pixelated condition, participants fixated on the eyes, and discrimination of the deviant token within the active experiment was significantly greater than the audiovisual condition. These results suggest that when required to disambiguate changes in speech, adults may look to the mouth for additional cues to support processing when it is available.&lt;/p&gt;","container-title":"Frontiers in Psychology","DOI":"10.3389/fpsyg.2023.1005186","ISSN":"1664-1078","journalAbbreviation":"Front. Psychol.","language":"English","note":"publisher: Frontiers","source":"Frontiers","title":"Where on the face do we look during phonemic restoration: An eye-tracking study","title-short":"Where on the face do we look during phonemic restoration","URL":"https://www.frontiersin.org/journals/psychology/articles/10.3389/fpsyg.2023.1005186/full","volume":"14","author":[{"family":"Baron","given":"Alisa"},{"family":"Harwood","given":"Vanessa"},{"family":"Kleinman","given":"Daniel"},{"family":"Campanelli","given":"Luca"},{"family":"Molski","given":"Joseph"},{"family":"Landi","given":"Nicole"},{"family":"Irwin","given":"Julia"}],"accessed":{"date-parts":[["2024",10,3]]},"issued":{"date-parts":[["2023",5,25]]}}}],"schema":"https://github.com/citation-style-language/schema/raw/master/csl-citation.json"} </w:instrText>
            </w:r>
            <w:r w:rsidRPr="00CF350E">
              <w:fldChar w:fldCharType="separate"/>
            </w:r>
            <w:r w:rsidRPr="00CF350E">
              <w:t>(Baron et al., 2023)</w:t>
            </w:r>
            <w:r w:rsidRPr="00CF350E">
              <w:fldChar w:fldCharType="end"/>
            </w:r>
          </w:p>
        </w:tc>
        <w:tc>
          <w:tcPr>
            <w:tcW w:w="1142" w:type="pct"/>
            <w:tcBorders>
              <w:top w:val="single" w:sz="4" w:space="0" w:color="auto"/>
              <w:bottom w:val="single" w:sz="4" w:space="0" w:color="auto"/>
            </w:tcBorders>
          </w:tcPr>
          <w:p w14:paraId="779E8FA4" w14:textId="77777777" w:rsidR="00CF350E" w:rsidRPr="00CF350E" w:rsidRDefault="00CF350E" w:rsidP="00CF350E">
            <w:r w:rsidRPr="00CF350E">
              <w:t>Eye movement recordings (gaze, saccades, fixations).</w:t>
            </w:r>
          </w:p>
        </w:tc>
        <w:tc>
          <w:tcPr>
            <w:tcW w:w="1212" w:type="pct"/>
            <w:tcBorders>
              <w:top w:val="single" w:sz="4" w:space="0" w:color="auto"/>
              <w:bottom w:val="single" w:sz="4" w:space="0" w:color="auto"/>
            </w:tcBorders>
          </w:tcPr>
          <w:p w14:paraId="18F98848" w14:textId="77777777" w:rsidR="00CF350E" w:rsidRPr="00CF350E" w:rsidRDefault="00CF350E" w:rsidP="00CF350E">
            <w:r w:rsidRPr="00CF350E">
              <w:t>Cleaned data with merged fixations and removed artifacts.</w:t>
            </w:r>
          </w:p>
        </w:tc>
        <w:tc>
          <w:tcPr>
            <w:tcW w:w="1355" w:type="pct"/>
            <w:tcBorders>
              <w:top w:val="single" w:sz="4" w:space="0" w:color="auto"/>
              <w:bottom w:val="single" w:sz="4" w:space="0" w:color="auto"/>
            </w:tcBorders>
          </w:tcPr>
          <w:p w14:paraId="37EDF5D1" w14:textId="77777777" w:rsidR="00CF350E" w:rsidRPr="00CF350E" w:rsidRDefault="00CF350E" w:rsidP="00CF350E">
            <w:r w:rsidRPr="00CF350E">
              <w:t>Dataset containing summary of fixation durations, reading times, and target proportions.</w:t>
            </w:r>
          </w:p>
        </w:tc>
      </w:tr>
      <w:tr w:rsidR="00CF350E" w:rsidRPr="00CF350E" w14:paraId="596913D7" w14:textId="77777777" w:rsidTr="0094612A">
        <w:tc>
          <w:tcPr>
            <w:tcW w:w="1292" w:type="pct"/>
          </w:tcPr>
          <w:p w14:paraId="6B6DCB73" w14:textId="77777777" w:rsidR="00CF350E" w:rsidRPr="00CF350E" w:rsidRDefault="00CF350E" w:rsidP="00CF350E">
            <w:pPr>
              <w:rPr>
                <w:b/>
                <w:bCs/>
              </w:rPr>
            </w:pPr>
            <w:r w:rsidRPr="00CF350E">
              <w:rPr>
                <w:b/>
                <w:bCs/>
              </w:rPr>
              <w:t>Focus Group or Interview Data</w:t>
            </w:r>
          </w:p>
          <w:p w14:paraId="6E22F38F" w14:textId="77777777" w:rsidR="00CF350E" w:rsidRPr="00CF350E" w:rsidRDefault="00CF350E" w:rsidP="00CF350E">
            <w:r w:rsidRPr="00CF350E">
              <w:fldChar w:fldCharType="begin"/>
            </w:r>
            <w:r w:rsidRPr="00CF350E">
              <w:instrText xml:space="preserve"> ADDIN ZOTERO_ITEM CSL_CITATION {"citationID":"wmeFVIwb","properties":{"formattedCitation":"(Pfeiffer et al., 2024)","plainCitation":"(Pfeiffer et al., 2024)","noteIndex":0},"citationItems":[{"id":3064,"uris":["http://zotero.org/groups/4396142/items/54J33JUJ"],"itemData":{"id":3064,"type":"article","abstract":"Purpose: The purpose of this qualitative study was to examine the perceptions of communication sciences and disorders (CSD) assistant professors in the United States related to barriers and facilitators to engaging in open science (OS) practices and identify opportunities for improving OS training and support in the field.\nMethod: Thirty-five assistant professors (16 from very high research activity (R1) institutions, 19 from institutions with other Carnegie classifications) participated in one 1-hour virtual focus group conducted via Zoom recording technology. The researchers used a conventional content analysis approach to analyze the focus group data and develop categories from the discussions.\nResults: Five categories were developed from the focus groups: (a) a desire to learn about OS through opportunities for independent learning and learning with peers, (b) perceived benefits of engaging in OS on assistant professors’ careers, the broader scientific community, and the quality of research in the field of CSD; (c) personal factors that act as barriers and/or facilitators to engaging in OS practices; (d) systemic factors that act as barriers and/or facilitators to engaging in OS practices; and (e) differences in perceptions of R1 and non-R1 assistant professors.\nConclusions: Assistant professors in CSD perceive benefits of OS for their careers, the scientific community, and the field. However, they face many barriers (e.g., time, lack of knowledge and training) which impede their engagement in OS practices. Recommendations for CSD assistant professors, academic institutions, publishers, and funding agencies are provided to reduce barriers to engagement in OS practices.","DOI":"10.31219/osf.io/9kxa7","language":"en-us","publisher":"OSF","source":"OSF Preprints","title":"1-800-Help-Me-With-Open-Science-Stuff: A Qualitative Examination of Open Science Practices in Communication Sciences and Disorders","title-short":"1-800-Help-Me-With-Open-Science-Stuff","URL":"https://osf.io/9kxa7","author":[{"family":"Pfeiffer","given":"Danika"},{"family":"Thompson","given":"Austin"},{"family":"Ciullo","given":"Brittany"},{"family":"Hirsch","given":"Micah E."},{"family":"Amin","given":"Mariam El"},{"family":"Ford","given":"Andrea"},{"family":"Riccardi","given":"Jessica Salley"},{"family":"Kearney","given":"Elaine"}],"accessed":{"date-parts":[["2024",6,20]]},"issued":{"date-parts":[["2024",5,31]]}},"label":"page"}],"schema":"https://github.com/citation-style-language/schema/raw/master/csl-citation.json"} </w:instrText>
            </w:r>
            <w:r w:rsidRPr="00CF350E">
              <w:fldChar w:fldCharType="separate"/>
            </w:r>
            <w:r w:rsidRPr="00CF350E">
              <w:t>(Pfeiffer et al., 2024)</w:t>
            </w:r>
            <w:r w:rsidRPr="00CF350E">
              <w:fldChar w:fldCharType="end"/>
            </w:r>
          </w:p>
          <w:p w14:paraId="4DE6ADA8" w14:textId="77777777" w:rsidR="00CF350E" w:rsidRPr="00CF350E" w:rsidRDefault="00CF350E" w:rsidP="00CF350E"/>
        </w:tc>
        <w:tc>
          <w:tcPr>
            <w:tcW w:w="1142" w:type="pct"/>
            <w:tcBorders>
              <w:top w:val="single" w:sz="4" w:space="0" w:color="auto"/>
              <w:bottom w:val="single" w:sz="4" w:space="0" w:color="auto"/>
            </w:tcBorders>
          </w:tcPr>
          <w:p w14:paraId="25A0F7D9" w14:textId="77777777" w:rsidR="00CF350E" w:rsidRPr="00CF350E" w:rsidRDefault="00CF350E" w:rsidP="00CF350E">
            <w:r w:rsidRPr="00CF350E">
              <w:t>Audio recordings and transcripts.</w:t>
            </w:r>
          </w:p>
        </w:tc>
        <w:tc>
          <w:tcPr>
            <w:tcW w:w="1212" w:type="pct"/>
            <w:tcBorders>
              <w:top w:val="single" w:sz="4" w:space="0" w:color="auto"/>
              <w:bottom w:val="single" w:sz="4" w:space="0" w:color="auto"/>
            </w:tcBorders>
          </w:tcPr>
          <w:p w14:paraId="2B51164D" w14:textId="77777777" w:rsidR="00CF350E" w:rsidRPr="00CF350E" w:rsidRDefault="00CF350E" w:rsidP="00CF350E">
            <w:r w:rsidRPr="00CF350E">
              <w:t>De-identified transcripts.</w:t>
            </w:r>
          </w:p>
        </w:tc>
        <w:tc>
          <w:tcPr>
            <w:tcW w:w="1355" w:type="pct"/>
            <w:tcBorders>
              <w:top w:val="single" w:sz="4" w:space="0" w:color="auto"/>
              <w:bottom w:val="single" w:sz="4" w:space="0" w:color="auto"/>
            </w:tcBorders>
          </w:tcPr>
          <w:p w14:paraId="60D152F9" w14:textId="77777777" w:rsidR="00CF350E" w:rsidRPr="00CF350E" w:rsidRDefault="00CF350E" w:rsidP="00CF350E">
            <w:r w:rsidRPr="00CF350E">
              <w:t>Dataset containing coded categories and themes from qualitative analysis.</w:t>
            </w:r>
          </w:p>
        </w:tc>
      </w:tr>
      <w:tr w:rsidR="00CF350E" w:rsidRPr="00CF350E" w14:paraId="122CA4B2" w14:textId="77777777" w:rsidTr="0094612A">
        <w:tc>
          <w:tcPr>
            <w:tcW w:w="1292" w:type="pct"/>
          </w:tcPr>
          <w:p w14:paraId="2F2B02D6" w14:textId="77777777" w:rsidR="00CF350E" w:rsidRPr="00CF350E" w:rsidRDefault="00CF350E" w:rsidP="00CF350E">
            <w:pPr>
              <w:rPr>
                <w:b/>
                <w:bCs/>
              </w:rPr>
            </w:pPr>
            <w:r w:rsidRPr="00CF350E">
              <w:rPr>
                <w:b/>
                <w:bCs/>
              </w:rPr>
              <w:t>Survey Data</w:t>
            </w:r>
          </w:p>
          <w:p w14:paraId="20189C84" w14:textId="77777777" w:rsidR="00CF350E" w:rsidRPr="00CF350E" w:rsidRDefault="00CF350E" w:rsidP="00CF350E">
            <w:r w:rsidRPr="00CF350E">
              <w:fldChar w:fldCharType="begin"/>
            </w:r>
            <w:r w:rsidRPr="00CF350E">
              <w:instrText xml:space="preserve"> ADDIN ZOTERO_ITEM CSL_CITATION {"citationID":"wlTHZht3","properties":{"formattedCitation":"(Riccardi, 2024)","plainCitation":"(Riccardi, 2024)","noteIndex":0},"citationItems":[{"id":3461,"uris":["http://zotero.org/users/10052007/items/MY7JXNT5"],"itemData":{"id":3461,"type":"article-journal","abstract":"Purpose:\n      The overall purpose of this study was to explore the relationship between fatigue,\n         executive functioning, and quality of life for children with moderate–severe traumatic\n         brain injury (TBI) between 8 and 17 years old.\n      \n      Method:\n      Fifteen parents of children with moderate–severe TBI (M = 10.06 years old) completed an online survey. Data from the following measures were\n         included in this study's analyses: demographic and injury questions, the Behavior\n         Rating Inventory of Executive Function, Second Edition (BRIEF-2), Pediatric Quality\n         of Life Inventory Generic Core Scale (PedsQL GCS)–parent report, and Pediatric Quality\n         of Life Inventory Multidimensional Fatigue Scale (PedsQL MFS)–parent report.\n      \n      Results:\n      In a multiple regression, fatigue was found to be a significant predictor of quality\n         of life for children with TBI, but executive functioning was not a significant predictor.\n         When examining subdomains of functioning, worse sleep/rest fatigue and emotional executive\n         functioning were most consistently associated with worse physical and psychosocial\n         quality of life.\n      \n      Conclusions:\n      The findings of this study suggest that fatigue could be an important contributing\n         factor to reduced quality of life for children with moderate–severe TBI. Medical and\n         educational professionals, including speech-language pathologists, should assess children\n         with TBI for the presence and impact of fatigue. Further research is needed to understand\n         how different subdomains of fatigue might interact with executive functioning to impact\n         quality of life.","container-title":"American Journal of Speech-Language Pathology","DOI":"10.1044/2023_AJSLP-23-00106","issue":"1","note":"publisher: American Speech-Language-Hearing Association","page":"452-459","source":"pubs.asha.org (Atypon)","title":"Fatigue, Executive Functioning, and Quality of Life: Exploring Relationships in Children With Traumatic Brain Injury","title-short":"Fatigue, Executive Functioning, and Quality of Life","volume":"33","author":[{"family":"Riccardi","given":"Jessica Salley"}],"issued":{"date-parts":[["2024",1,3]]}}}],"schema":"https://github.com/citation-style-language/schema/raw/master/csl-citation.json"} </w:instrText>
            </w:r>
            <w:r w:rsidRPr="00CF350E">
              <w:fldChar w:fldCharType="separate"/>
            </w:r>
            <w:r w:rsidRPr="00CF350E">
              <w:t>(</w:t>
            </w:r>
            <w:proofErr w:type="spellStart"/>
            <w:r w:rsidRPr="00CF350E">
              <w:t>Riccardi</w:t>
            </w:r>
            <w:proofErr w:type="spellEnd"/>
            <w:r w:rsidRPr="00CF350E">
              <w:t>, 2024)</w:t>
            </w:r>
            <w:r w:rsidRPr="00CF350E">
              <w:fldChar w:fldCharType="end"/>
            </w:r>
          </w:p>
        </w:tc>
        <w:tc>
          <w:tcPr>
            <w:tcW w:w="1142" w:type="pct"/>
            <w:tcBorders>
              <w:top w:val="single" w:sz="4" w:space="0" w:color="auto"/>
              <w:bottom w:val="single" w:sz="4" w:space="0" w:color="auto"/>
            </w:tcBorders>
          </w:tcPr>
          <w:p w14:paraId="6B394672" w14:textId="77777777" w:rsidR="00CF350E" w:rsidRPr="00CF350E" w:rsidRDefault="00CF350E" w:rsidP="00CF350E">
            <w:r w:rsidRPr="00CF350E">
              <w:t>Raw survey responses.</w:t>
            </w:r>
          </w:p>
        </w:tc>
        <w:tc>
          <w:tcPr>
            <w:tcW w:w="1212" w:type="pct"/>
            <w:tcBorders>
              <w:top w:val="single" w:sz="4" w:space="0" w:color="auto"/>
              <w:bottom w:val="single" w:sz="4" w:space="0" w:color="auto"/>
            </w:tcBorders>
          </w:tcPr>
          <w:p w14:paraId="0F508318" w14:textId="77777777" w:rsidR="00CF350E" w:rsidRPr="00CF350E" w:rsidRDefault="00CF350E" w:rsidP="00CF350E">
            <w:r w:rsidRPr="00CF350E">
              <w:t>Cleaned and coded responses.</w:t>
            </w:r>
          </w:p>
        </w:tc>
        <w:tc>
          <w:tcPr>
            <w:tcW w:w="1355" w:type="pct"/>
            <w:tcBorders>
              <w:top w:val="single" w:sz="4" w:space="0" w:color="auto"/>
              <w:bottom w:val="single" w:sz="4" w:space="0" w:color="auto"/>
            </w:tcBorders>
          </w:tcPr>
          <w:p w14:paraId="1EC1F6FA" w14:textId="77777777" w:rsidR="00CF350E" w:rsidRPr="00CF350E" w:rsidRDefault="00CF350E" w:rsidP="00CF350E">
            <w:r w:rsidRPr="00CF350E">
              <w:t>Dataset containing summary scores and frequencies of survey responses.</w:t>
            </w:r>
          </w:p>
        </w:tc>
      </w:tr>
      <w:tr w:rsidR="00CF350E" w:rsidRPr="00CF350E" w14:paraId="381E9235" w14:textId="77777777" w:rsidTr="0094612A">
        <w:tc>
          <w:tcPr>
            <w:tcW w:w="1292" w:type="pct"/>
            <w:tcBorders>
              <w:bottom w:val="single" w:sz="4" w:space="0" w:color="auto"/>
            </w:tcBorders>
          </w:tcPr>
          <w:p w14:paraId="55B70C44" w14:textId="77777777" w:rsidR="00CF350E" w:rsidRPr="00CF350E" w:rsidRDefault="00CF350E" w:rsidP="00CF350E">
            <w:pPr>
              <w:rPr>
                <w:b/>
                <w:bCs/>
              </w:rPr>
            </w:pPr>
            <w:r w:rsidRPr="00CF350E">
              <w:rPr>
                <w:b/>
                <w:bCs/>
              </w:rPr>
              <w:t>Assessment Tool Data</w:t>
            </w:r>
          </w:p>
          <w:p w14:paraId="6A5E711B" w14:textId="77777777" w:rsidR="00CF350E" w:rsidRPr="00CF350E" w:rsidRDefault="00CF350E" w:rsidP="00CF350E">
            <w:r w:rsidRPr="00CF350E">
              <w:fldChar w:fldCharType="begin"/>
            </w:r>
            <w:r w:rsidRPr="00CF350E">
              <w:instrText xml:space="preserve"> ADDIN ZOTERO_ITEM CSL_CITATION {"citationID":"ihY8RfEf","properties":{"formattedCitation":"(Pfeiffer &amp; Landa, 2024)","plainCitation":"(Pfeiffer &amp; Landa, 2024)","noteIndex":0},"citationItems":[{"id":3463,"uris":["http://zotero.org/users/10052007/items/DVI6VBYI"],"itemData":{"id":3463,"type":"article-journal","abstract":"Early childhood care and education providers provide instruction to diverse learners, including children with developmental delays, but often lack training in the use of evidence-based instructional strategies to support children’s meaningful learning engagement. This preliminary study examined effects of the Early Achievements for Child Care Providers professional development program with and without generalization training on center-based child care providers (N</w:instrText>
            </w:r>
            <w:r w:rsidRPr="00CF350E">
              <w:rPr>
                <w:rFonts w:ascii="Arial" w:hAnsi="Arial" w:cs="Arial"/>
              </w:rPr>
              <w:instrText> </w:instrText>
            </w:r>
            <w:r w:rsidRPr="00CF350E">
              <w:instrText>=</w:instrText>
            </w:r>
            <w:r w:rsidRPr="00CF350E">
              <w:rPr>
                <w:rFonts w:ascii="Arial" w:hAnsi="Arial" w:cs="Arial"/>
              </w:rPr>
              <w:instrText> </w:instrText>
            </w:r>
            <w:r w:rsidRPr="00CF350E">
              <w:instrText>12). Outcomes assessed included providers’ implementation fidelity, knowledge, and self-efficacy as well as children’s (N</w:instrText>
            </w:r>
            <w:r w:rsidRPr="00CF350E">
              <w:rPr>
                <w:rFonts w:ascii="Arial" w:hAnsi="Arial" w:cs="Arial"/>
              </w:rPr>
              <w:instrText> </w:instrText>
            </w:r>
            <w:r w:rsidRPr="00CF350E">
              <w:instrText>=</w:instrText>
            </w:r>
            <w:r w:rsidRPr="00CF350E">
              <w:rPr>
                <w:rFonts w:ascii="Arial" w:hAnsi="Arial" w:cs="Arial"/>
              </w:rPr>
              <w:instrText> </w:instrText>
            </w:r>
            <w:r w:rsidRPr="00CF350E">
              <w:instrText xml:space="preserve">43) social-communication skills and engagement in shared book reading. Results demonstrated that providers trained in a generalization context made larger gains in implementation fidelity in a generalization context; no other significant between-group differences were found for providers. Children in both groups made comparable, significant gains. Findings suggest that explicit generalization training is needed for providers to achieve fidelity when transferring newly learned evidence-based practices to additional classroom instructional contexts, but a brief interval of implementation likely is insufficient to differentially benefit child outcomes. Researchers should elicit providers’ perceptions when designing professional development programs to maximize feasibility of investing additional time and resources for generalization training.","container-title":"Early Childhood Education Journal","DOI":"10.1007/s10643-022-01410-6","ISSN":"1573-1707","issue":"1","journalAbbreviation":"Early Childhood Educ J","language":"en","page":"87-99","source":"Springer Link","title":"Assessing Generalization During Professional Development in Child Care: A Pilot Randomized Controlled Trial","title-short":"Assessing Generalization During Professional Development in Child Care","volume":"52","author":[{"family":"Pfeiffer","given":"Danika"},{"family":"Landa","given":"Rebecca J."}],"issued":{"date-parts":[["2024",1,1]]}},"label":"page"}],"schema":"https://github.com/citation-style-language/schema/raw/master/csl-citation.json"} </w:instrText>
            </w:r>
            <w:r w:rsidRPr="00CF350E">
              <w:fldChar w:fldCharType="separate"/>
            </w:r>
            <w:r w:rsidRPr="00CF350E">
              <w:t xml:space="preserve">(Pfeiffer &amp; </w:t>
            </w:r>
            <w:proofErr w:type="spellStart"/>
            <w:r w:rsidRPr="00CF350E">
              <w:t>Landa</w:t>
            </w:r>
            <w:proofErr w:type="spellEnd"/>
            <w:r w:rsidRPr="00CF350E">
              <w:t>, 2024)</w:t>
            </w:r>
            <w:r w:rsidRPr="00CF350E">
              <w:fldChar w:fldCharType="end"/>
            </w:r>
          </w:p>
        </w:tc>
        <w:tc>
          <w:tcPr>
            <w:tcW w:w="1142" w:type="pct"/>
            <w:tcBorders>
              <w:top w:val="single" w:sz="4" w:space="0" w:color="auto"/>
              <w:bottom w:val="single" w:sz="4" w:space="0" w:color="auto"/>
            </w:tcBorders>
          </w:tcPr>
          <w:p w14:paraId="442601EF" w14:textId="77777777" w:rsidR="00CF350E" w:rsidRPr="00CF350E" w:rsidRDefault="00CF350E" w:rsidP="00CF350E">
            <w:r w:rsidRPr="00CF350E">
              <w:t>Raw, unscored assessment protocols.</w:t>
            </w:r>
          </w:p>
        </w:tc>
        <w:tc>
          <w:tcPr>
            <w:tcW w:w="1212" w:type="pct"/>
            <w:tcBorders>
              <w:top w:val="single" w:sz="4" w:space="0" w:color="auto"/>
              <w:bottom w:val="single" w:sz="4" w:space="0" w:color="auto"/>
            </w:tcBorders>
          </w:tcPr>
          <w:p w14:paraId="01250199" w14:textId="77777777" w:rsidR="00CF350E" w:rsidRPr="00CF350E" w:rsidRDefault="00CF350E" w:rsidP="00CF350E">
            <w:r w:rsidRPr="00CF350E">
              <w:t>Scored protocols with calculated totals and subscales.</w:t>
            </w:r>
          </w:p>
        </w:tc>
        <w:tc>
          <w:tcPr>
            <w:tcW w:w="1355" w:type="pct"/>
            <w:tcBorders>
              <w:top w:val="single" w:sz="4" w:space="0" w:color="auto"/>
              <w:bottom w:val="single" w:sz="4" w:space="0" w:color="auto"/>
            </w:tcBorders>
          </w:tcPr>
          <w:p w14:paraId="03BB00E9" w14:textId="77777777" w:rsidR="00CF350E" w:rsidRPr="00CF350E" w:rsidRDefault="00CF350E" w:rsidP="00CF350E">
            <w:r w:rsidRPr="00CF350E">
              <w:t>Dataset containing standard scores, confidence intervals, percentile ranks.</w:t>
            </w:r>
          </w:p>
        </w:tc>
      </w:tr>
    </w:tbl>
    <w:p w14:paraId="6B137EDD" w14:textId="77777777" w:rsidR="00BC21B9" w:rsidRDefault="00BC21B9"/>
    <w:sectPr w:rsidR="00BC2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0E"/>
    <w:rsid w:val="000D1E6C"/>
    <w:rsid w:val="00452720"/>
    <w:rsid w:val="006C5A6C"/>
    <w:rsid w:val="00B1129B"/>
    <w:rsid w:val="00BC21B9"/>
    <w:rsid w:val="00C9384D"/>
    <w:rsid w:val="00CF0CE3"/>
    <w:rsid w:val="00CF350E"/>
    <w:rsid w:val="00ED4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16034"/>
  <w15:chartTrackingRefBased/>
  <w15:docId w15:val="{623B06E1-D20F-5441-8E81-F1407D86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50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50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50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50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50E"/>
    <w:rPr>
      <w:rFonts w:eastAsiaTheme="majorEastAsia" w:cstheme="majorBidi"/>
      <w:color w:val="272727" w:themeColor="text1" w:themeTint="D8"/>
    </w:rPr>
  </w:style>
  <w:style w:type="paragraph" w:styleId="Title">
    <w:name w:val="Title"/>
    <w:basedOn w:val="Normal"/>
    <w:next w:val="Normal"/>
    <w:link w:val="TitleChar"/>
    <w:uiPriority w:val="10"/>
    <w:qFormat/>
    <w:rsid w:val="00CF35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50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50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350E"/>
    <w:rPr>
      <w:i/>
      <w:iCs/>
      <w:color w:val="404040" w:themeColor="text1" w:themeTint="BF"/>
    </w:rPr>
  </w:style>
  <w:style w:type="paragraph" w:styleId="ListParagraph">
    <w:name w:val="List Paragraph"/>
    <w:basedOn w:val="Normal"/>
    <w:uiPriority w:val="34"/>
    <w:qFormat/>
    <w:rsid w:val="00CF350E"/>
    <w:pPr>
      <w:ind w:left="720"/>
      <w:contextualSpacing/>
    </w:pPr>
  </w:style>
  <w:style w:type="character" w:styleId="IntenseEmphasis">
    <w:name w:val="Intense Emphasis"/>
    <w:basedOn w:val="DefaultParagraphFont"/>
    <w:uiPriority w:val="21"/>
    <w:qFormat/>
    <w:rsid w:val="00CF350E"/>
    <w:rPr>
      <w:i/>
      <w:iCs/>
      <w:color w:val="0F4761" w:themeColor="accent1" w:themeShade="BF"/>
    </w:rPr>
  </w:style>
  <w:style w:type="paragraph" w:styleId="IntenseQuote">
    <w:name w:val="Intense Quote"/>
    <w:basedOn w:val="Normal"/>
    <w:next w:val="Normal"/>
    <w:link w:val="IntenseQuoteChar"/>
    <w:uiPriority w:val="30"/>
    <w:qFormat/>
    <w:rsid w:val="00CF3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50E"/>
    <w:rPr>
      <w:i/>
      <w:iCs/>
      <w:color w:val="0F4761" w:themeColor="accent1" w:themeShade="BF"/>
    </w:rPr>
  </w:style>
  <w:style w:type="character" w:styleId="IntenseReference">
    <w:name w:val="Intense Reference"/>
    <w:basedOn w:val="DefaultParagraphFont"/>
    <w:uiPriority w:val="32"/>
    <w:qFormat/>
    <w:rsid w:val="00CF350E"/>
    <w:rPr>
      <w:b/>
      <w:bCs/>
      <w:smallCaps/>
      <w:color w:val="0F4761" w:themeColor="accent1" w:themeShade="BF"/>
      <w:spacing w:val="5"/>
    </w:rPr>
  </w:style>
  <w:style w:type="table" w:styleId="TableGrid">
    <w:name w:val="Table Grid"/>
    <w:basedOn w:val="TableNormal"/>
    <w:uiPriority w:val="39"/>
    <w:rsid w:val="00CF3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jcb2271</dc:creator>
  <cp:keywords/>
  <dc:description/>
  <cp:lastModifiedBy>jcb2271</cp:lastModifiedBy>
  <cp:revision>1</cp:revision>
  <dcterms:created xsi:type="dcterms:W3CDTF">2024-10-04T17:46:00Z</dcterms:created>
  <dcterms:modified xsi:type="dcterms:W3CDTF">2024-10-04T19:27:00Z</dcterms:modified>
</cp:coreProperties>
</file>