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1: Characteristics of included studies by ASHA domain.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 Materials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Interest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 Type(s)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 of laryngeal vestibule residue ratings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amyotrophic lateral sclerosis, Huntington’s disease, cerebellar ataxia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vowel space area and intelligibility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Dyslexia, stuttering,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nonword repetition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Huntington’s disease,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overall perceptual rating and variability of nasality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 correlation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Congenitally blind, sighted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auditory localization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mixed-effects model with 3-way interaction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Speech-language pathologists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 difference in lack of/limited internet and technology barriers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years of education and reading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Spearman’s rank correlation coefficient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Traumatic brain injury,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x Condition interaction in emotion recognition 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mixed-effects model with 3-way interaction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Data, code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Autism spectrum disorder, neurotypical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non-verbal IQ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Variance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2024-08-01T15:09:36Z</dcterms:modified>
</cp:coreProperties>
</file>