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Stability of synthetic datasets across ASHA domains.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Categorization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 (mu)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(zero-inflated) &amp; 98% (beta)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(zero-inflated) &amp; 100% (beta)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66%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Caption: 100 synthetic datasets were generated for each domain. For the Swallowing domain, a zero-inflated beta multilevel model was performed to directly compare original and synthetic datasets. The percentage of non-significant p-values, which is indicative of no statistically significant difference between dataset types, is shown for both zero-inflated and beta portions of the model.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2024-09-26T09:57:56Z</dcterms:modified>
</cp:coreProperties>
</file>