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4: Stability of synthetic datasets across ASHA domains.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Categorization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Agreement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 (mu)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98% (beta)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(zero-inflated) &amp; 100% (beta)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99%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66%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Caption: 100 synthetic datasets were generated for each domain. For the Swallowing domain, a zero-inflated beta multilevel model was performed to directly compare original and synthetic datasets. The percentage of non-significant p-values, which is indicative of no statistically significant difference between dataset types, is shown for both zero-inflated and beta portions of the model.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2024-10-20T08:24:09Z</dcterms:modified>
</cp:coreProperties>
</file>