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4: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 (mu)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98% (beta)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100% (beta)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Caption: 100 synthetic datasets were generated for each domain. For the Swallowing domain, a zero-inflated beta multilevel model was performed to directly compare original and synthetic datasets. The percentage of non-significant p-values, which is indicative of no statistically significant difference between dataset types, is shown for both zero-inflated and beta portions of the model.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2024-10-18T10:42:59Z</dcterms:modified>
</cp:coreProperties>
</file>