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4: Stability of synthetic datasets across ASHA domains.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Categorization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 (mu)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(zero-inflated) &amp; 98% (beta)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(zero-inflated) &amp; 100% (beta)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66%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Caption: 100 synthetic datasets were generated for each domain. For the Swallowing domain, a zero-inflated beta multilevel model was performed to directly compare original and synthetic datasets. The percentage of non-significant p-values, which is indicative of no statistically significant difference between dataset types, is shown for both zero-inflated and beta portions of the model.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2024-10-20T08:48:43Z</dcterms:modified>
</cp:coreProperties>
</file>