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9A68" w14:textId="77777777" w:rsidR="001D40C6" w:rsidRPr="00A55161" w:rsidRDefault="00000000">
      <w:pPr>
        <w:pStyle w:val="Title"/>
      </w:pPr>
      <w:r w:rsidRPr="00A55161">
        <w:t>Using Synthetic Data in Communication Sciences and Disorders to Promote Transparency and Reproducibility</w:t>
      </w:r>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w:t>
      </w:r>
      <w:proofErr w:type="spellStart"/>
      <w:r w:rsidRPr="00A55161">
        <w:t>CRediT</w:t>
      </w:r>
      <w:proofErr w:type="spellEnd"/>
      <w:r w:rsidRPr="00A55161">
        <w:t xml:space="preserve">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0"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proofErr w:type="spellStart"/>
      <w:r w:rsidRPr="00A55161">
        <w:rPr>
          <w:i/>
          <w:iCs/>
        </w:rPr>
        <w:t>S_pMSE</w:t>
      </w:r>
      <w:proofErr w:type="spellEnd"/>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77777777"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0"/>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1" w:name="introduction"/>
      <w:r w:rsidRPr="00A55161">
        <w:lastRenderedPageBreak/>
        <w:t>Introduction</w:t>
      </w:r>
    </w:p>
    <w:p w14:paraId="4CFDD38E" w14:textId="5EFD3CAB" w:rsidR="001D40C6" w:rsidRPr="00A55161" w:rsidRDefault="00000000">
      <w:pPr>
        <w:pStyle w:val="FirstParagraph"/>
      </w:pPr>
      <w:r w:rsidRPr="00A55161">
        <w:t xml:space="preserve">Transparency and openness are fundamental tenets of science, </w:t>
      </w:r>
      <w:ins w:id="2" w:author="Thompson, Austin" w:date="2025-07-21T12:44:00Z" w16du:dateUtc="2025-07-21T17:44:00Z">
        <w:r w:rsidR="000F4A3A">
          <w:t>with transparency</w:t>
        </w:r>
      </w:ins>
      <w:ins w:id="3" w:author="Thompson, Austin" w:date="2025-07-21T12:45:00Z" w16du:dateUtc="2025-07-21T17:45:00Z">
        <w:r w:rsidR="000F4A3A">
          <w:t xml:space="preserve"> referring to the ability of others to clearly understand how scientific conclusions were reached, including the data, methods, and analyses used</w:t>
        </w:r>
      </w:ins>
      <w:ins w:id="4" w:author="Thompson, Austin" w:date="2025-07-21T12:59:00Z" w16du:dateUtc="2025-07-21T17:59:00Z">
        <w:r w:rsidR="004111DE">
          <w:t xml:space="preserve"> (</w:t>
        </w:r>
        <w:proofErr w:type="spellStart"/>
        <w:r w:rsidR="004111DE" w:rsidRPr="004111DE">
          <w:t>Aguini</w:t>
        </w:r>
        <w:r w:rsidR="004111DE">
          <w:t>s</w:t>
        </w:r>
        <w:proofErr w:type="spellEnd"/>
        <w:r w:rsidR="004111DE">
          <w:t xml:space="preserve"> et al., 2018)</w:t>
        </w:r>
      </w:ins>
      <w:ins w:id="5" w:author="Thompson, Austin" w:date="2025-07-21T12:45:00Z" w16du:dateUtc="2025-07-21T17:45:00Z">
        <w:r w:rsidR="000F4A3A">
          <w:t xml:space="preserve">. A key aspect of transparency is </w:t>
        </w:r>
      </w:ins>
      <w:del w:id="6" w:author="Thompson, Austin" w:date="2025-07-21T12:46:00Z" w16du:dateUtc="2025-07-21T17:46:00Z">
        <w:r w:rsidRPr="00A55161" w:rsidDel="000F4A3A">
          <w:delText xml:space="preserve">with </w:delText>
        </w:r>
      </w:del>
      <w:r w:rsidRPr="00A55161">
        <w:t>computational reproducibility</w:t>
      </w:r>
      <w:ins w:id="7" w:author="Thompson, Austin" w:date="2025-07-21T12:46:00Z" w16du:dateUtc="2025-07-21T17:46:00Z">
        <w:r w:rsidR="000F4A3A">
          <w:t xml:space="preserve">, which </w:t>
        </w:r>
      </w:ins>
      <w:del w:id="8" w:author="Thompson, Austin" w:date="2025-07-21T12:46:00Z" w16du:dateUtc="2025-07-21T17:46:00Z">
        <w:r w:rsidRPr="00A55161" w:rsidDel="000F4A3A">
          <w:delText xml:space="preserve"> playing a key role in maintaining these values. Computational reproducibility </w:delText>
        </w:r>
      </w:del>
      <w:r w:rsidRPr="00A55161">
        <w:t xml:space="preserve">refers to the ability to recreate a study’s results using the original data. Nowadays, </w:t>
      </w:r>
      <w:proofErr w:type="gramStart"/>
      <w:r w:rsidRPr="00A55161">
        <w:t>the vast majority of</w:t>
      </w:r>
      <w:proofErr w:type="gramEnd"/>
      <w:r w:rsidRPr="00A55161">
        <w:t xml:space="preserve">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rsidRPr="00A55161">
        <w:t>Quintana</w:t>
      </w:r>
      <w:proofErr w:type="spellEnd"/>
      <w:r w:rsidRPr="00A55161">
        <w:t>, 2020), only 26% of a sample of researchers in the field of Communication Sciences and Disorders (CSD) reported sharing their data publicly at least once (El Amin et al., 2023).</w:t>
      </w:r>
    </w:p>
    <w:p w14:paraId="4C471199" w14:textId="77777777" w:rsidR="001D40C6" w:rsidRPr="00A55161" w:rsidRDefault="00000000">
      <w:pPr>
        <w:pStyle w:val="BodyText"/>
      </w:pPr>
      <w:r w:rsidRPr="00A55161">
        <w:t xml:space="preserve">Understanding the nuances of data sharing requires a closer look at the different types of </w:t>
      </w:r>
      <w:r w:rsidRPr="00A55161">
        <w:lastRenderedPageBreak/>
        <w:t xml:space="preserve">data generated throughout a research project’s life cycle. These include raw collected data, processed intermediate data, and final analysis data (Table 1). However, a common misconception is that open data refers solely to sharing raw data (e.g., audio recordings, videos, MRI data) (Pfeiffer et al., 2024). </w:t>
      </w:r>
      <w:proofErr w:type="gramStart"/>
      <w:r w:rsidRPr="00A55161">
        <w:t>In reality, sharing</w:t>
      </w:r>
      <w:proofErr w:type="gramEnd"/>
      <w:r w:rsidRPr="00A55161">
        <w:t xml:space="preserve">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Pr="00A55161" w:rsidRDefault="00000000">
      <w:pPr>
        <w:pStyle w:val="Heading5"/>
      </w:pPr>
      <w:bookmarkStart w:id="9"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10" w:name="X5f4b62eae9d0dd3a63c533fd08be6fc596c3e46"/>
      <w:bookmarkEnd w:id="9"/>
      <w:r w:rsidRPr="00A55161">
        <w:lastRenderedPageBreak/>
        <w:t>Synthetic Data as an Approach to Promote Transparency and Reproducibility</w:t>
      </w:r>
    </w:p>
    <w:p w14:paraId="399FD999" w14:textId="6B78D5F8" w:rsidR="001D40C6" w:rsidRPr="00A55161" w:rsidRDefault="00000000">
      <w:pPr>
        <w:pStyle w:val="FirstParagraph"/>
      </w:pPr>
      <w:r w:rsidRPr="00A55161">
        <w:t xml:space="preserve">Synthetic data generation offers a promising solution to safeguarding participants’ privacy and confidentiality in publicly available datasets (Drechsler &amp; </w:t>
      </w:r>
      <w:proofErr w:type="spellStart"/>
      <w:r w:rsidRPr="00A55161">
        <w:t>Haensch</w:t>
      </w:r>
      <w:proofErr w:type="spellEnd"/>
      <w:r w:rsidRPr="00A55161">
        <w:t xml:space="preserve">, 2024; Rubin, 1993). This approach can be applied to a wide variety of data types (e.g., </w:t>
      </w:r>
      <w:ins w:id="11" w:author="Thompson, Austin" w:date="2025-07-21T11:25:00Z" w16du:dateUtc="2025-07-21T16:25:00Z">
        <w:r w:rsidR="002B02DA">
          <w:t>raw, intermediate, or analysis data</w:t>
        </w:r>
      </w:ins>
      <w:ins w:id="12" w:author="Thompson, Austin" w:date="2025-07-21T11:26:00Z" w16du:dateUtc="2025-07-21T16:26:00Z">
        <w:r w:rsidR="002B02DA">
          <w:t xml:space="preserve">) and </w:t>
        </w:r>
      </w:ins>
      <w:ins w:id="13" w:author="Thompson, Austin" w:date="2025-07-21T11:27:00Z" w16du:dateUtc="2025-07-21T16:27:00Z">
        <w:r w:rsidR="002B02DA">
          <w:t xml:space="preserve">variables (e.g., qualitative </w:t>
        </w:r>
      </w:ins>
      <w:r w:rsidRPr="00A55161">
        <w:t>demographic information</w:t>
      </w:r>
      <w:ins w:id="14" w:author="Thompson, Austin" w:date="2025-07-21T11:27:00Z" w16du:dateUtc="2025-07-21T16:27:00Z">
        <w:r w:rsidR="002B02DA">
          <w:t xml:space="preserve"> or quantitative </w:t>
        </w:r>
      </w:ins>
      <w:del w:id="15" w:author="Thompson, Austin" w:date="2025-07-21T11:27:00Z" w16du:dateUtc="2025-07-21T16:27:00Z">
        <w:r w:rsidRPr="00A55161" w:rsidDel="002B02DA">
          <w:delText xml:space="preserve">, </w:delText>
        </w:r>
      </w:del>
      <w:r w:rsidRPr="00A55161">
        <w:t>outcome measures)</w:t>
      </w:r>
      <w:ins w:id="16" w:author="Thompson, Austin" w:date="2025-07-21T11:28:00Z" w16du:dateUtc="2025-07-21T16:28:00Z">
        <w:r w:rsidR="002B02DA">
          <w:t xml:space="preserve">. It </w:t>
        </w:r>
      </w:ins>
      <w:del w:id="17" w:author="Thompson, Austin" w:date="2025-07-21T11:28:00Z" w16du:dateUtc="2025-07-21T16:28:00Z">
        <w:r w:rsidRPr="00A55161" w:rsidDel="002B02DA">
          <w:delText xml:space="preserve"> </w:delText>
        </w:r>
      </w:del>
      <w:del w:id="18" w:author="Thompson, Austin" w:date="2025-07-21T11:29:00Z" w16du:dateUtc="2025-07-21T16:29:00Z">
        <w:r w:rsidRPr="00A55161" w:rsidDel="002B02DA">
          <w:delText xml:space="preserve">and </w:delText>
        </w:r>
      </w:del>
      <w:r w:rsidRPr="00A55161">
        <w:t xml:space="preserve">involves creating artificial datasets that do not represent real individuals, thereby significantly reducing the risk of disclosure. </w:t>
      </w:r>
      <w:ins w:id="19" w:author="jcb2271" w:date="2025-07-14T13:59:00Z">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20" w:author="jcb2271" w:date="2025-07-14T13:59:00Z" w16du:dateUtc="2025-07-14T17:59:00Z">
        <w:r w:rsidRPr="00A55161"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rsidRPr="00A55161">
        <w:t xml:space="preserve">. </w:t>
      </w:r>
      <w:ins w:id="21" w:author="jcb2271" w:date="2025-07-14T14:00:00Z">
        <w:r w:rsidR="00D87182" w:rsidRPr="00A55161">
          <w:t>Synthetic data generation has been used in government agencies, such as the United States Census Bureau (Jarmin et al., 2014) and the Government of Canada’s Directive on Open Government (Gauvin et al., 2021)</w:t>
        </w:r>
        <w:r w:rsidR="00D87182" w:rsidRPr="00A55161">
          <w:rPr>
            <w:b/>
            <w:bCs/>
          </w:rPr>
          <w:t xml:space="preserve"> </w:t>
        </w:r>
        <w:r w:rsidR="00D87182" w:rsidRPr="00A55161">
          <w:t>to promote greater access to data and information</w:t>
        </w:r>
      </w:ins>
      <w:del w:id="22" w:author="jcb2271" w:date="2025-07-14T14:00:00Z" w16du:dateUtc="2025-07-14T18:00:00Z">
        <w:r w:rsidRPr="00A55161" w:rsidDel="00D87182">
          <w:delText>Synthetic data generation is widely used across medical research, industry, and government agencies, most notably by the United States Census Bureau (Jarmin et al., 2014)</w:delText>
        </w:r>
      </w:del>
      <w:r w:rsidRPr="00A55161">
        <w:t>. Although the concept of synthetic data methods was first proposed more than 30 years ago (Rubin, 1993), recent analytic and software developments have streamlined the process, making it easier and more efficient to generate high-quality synthetic data (</w:t>
      </w:r>
      <w:proofErr w:type="spellStart"/>
      <w:r w:rsidRPr="00A55161">
        <w:t>Nowok</w:t>
      </w:r>
      <w:proofErr w:type="spellEnd"/>
      <w:r w:rsidRPr="00A55161">
        <w:t xml:space="preserve"> et al., 2016).</w:t>
      </w:r>
    </w:p>
    <w:p w14:paraId="446BA81C" w14:textId="77777777" w:rsidR="001D40C6" w:rsidRPr="00A55161" w:rsidRDefault="00000000">
      <w:pPr>
        <w:pStyle w:val="BodyText"/>
      </w:pPr>
      <w:r w:rsidRPr="00A55161">
        <w:t xml:space="preserve">Synthetic data are, however, not without limitations; the extent to which statistical properties of the original data are retained varies based on the dataset and the model used to </w:t>
      </w:r>
      <w:r w:rsidRPr="00A55161">
        <w:lastRenderedPageBreak/>
        <w:t>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7777777" w:rsidR="001D40C6" w:rsidRPr="00A55161" w:rsidRDefault="00000000">
      <w:pPr>
        <w:pStyle w:val="BodyText"/>
      </w:pPr>
      <w:r w:rsidRPr="00A5516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proofErr w:type="spellStart"/>
      <w:r w:rsidRPr="00A55161">
        <w:rPr>
          <w:i/>
          <w:iCs/>
        </w:rPr>
        <w:t>S_pMSE</w:t>
      </w:r>
      <w:proofErr w:type="spellEnd"/>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23" w:name="X390b641dacdac45e6a54c359a85438439bf9d3e"/>
      <w:bookmarkEnd w:id="10"/>
      <w:r w:rsidRPr="00A55161">
        <w:t>Application of Synthetic Data in Communication Sciences and Disorders</w:t>
      </w:r>
    </w:p>
    <w:p w14:paraId="3E00896B" w14:textId="77777777" w:rsidR="001D40C6" w:rsidRPr="00A55161" w:rsidRDefault="00000000">
      <w:pPr>
        <w:pStyle w:val="FirstParagraph"/>
      </w:pPr>
      <w:r w:rsidRPr="00A55161">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w:t>
      </w:r>
      <w:r w:rsidRPr="00A55161">
        <w:lastRenderedPageBreak/>
        <w:t>Gaeta &amp; Brydges, 2020). Moreover, reproducible workflows that detail important steps for data wrangling or statistical modeling are rarely provided in publications, further hindering transparency and reproducibility.</w:t>
      </w:r>
    </w:p>
    <w:p w14:paraId="35A4944E" w14:textId="50DE45FF" w:rsidR="001D40C6" w:rsidRPr="00A55161" w:rsidRDefault="00000000">
      <w:pPr>
        <w:pStyle w:val="BodyText"/>
      </w:pPr>
      <w:r w:rsidRPr="00A55161">
        <w:t>To address this gap, the present study aimed to explore the feasibility and preliminary utility of</w:t>
      </w:r>
      <w:ins w:id="24" w:author="Thompson, Austin" w:date="2025-07-21T11:31:00Z" w16du:dateUtc="2025-07-21T16:31:00Z">
        <w:r w:rsidR="002B02DA">
          <w:t xml:space="preserve"> generating</w:t>
        </w:r>
      </w:ins>
      <w:r w:rsidRPr="00A55161">
        <w:t xml:space="preserve"> synthetic </w:t>
      </w:r>
      <w:ins w:id="25" w:author="Thompson, Austin" w:date="2025-07-21T11:31:00Z" w16du:dateUtc="2025-07-21T16:31:00Z">
        <w:r w:rsidR="002B02DA">
          <w:t xml:space="preserve">analysis </w:t>
        </w:r>
      </w:ins>
      <w:r w:rsidRPr="00A55161">
        <w:t xml:space="preserve">data </w:t>
      </w:r>
      <w:del w:id="26" w:author="Thompson, Austin" w:date="2025-07-21T11:31:00Z" w16du:dateUtc="2025-07-21T16:31:00Z">
        <w:r w:rsidRPr="00A55161" w:rsidDel="002B02DA">
          <w:delText xml:space="preserve">generation </w:delText>
        </w:r>
      </w:del>
      <w:r w:rsidRPr="00A55161">
        <w:t>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27" w:name="method"/>
      <w:bookmarkEnd w:id="1"/>
      <w:bookmarkEnd w:id="23"/>
      <w:r w:rsidRPr="00A55161">
        <w:t>Method</w:t>
      </w:r>
    </w:p>
    <w:p w14:paraId="217A7718" w14:textId="77777777" w:rsidR="001D40C6" w:rsidRPr="00A55161" w:rsidRDefault="00000000">
      <w:pPr>
        <w:pStyle w:val="Heading2"/>
      </w:pPr>
      <w:bookmarkStart w:id="28"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 xml:space="preserve">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w:t>
      </w:r>
      <w:proofErr w:type="spellStart"/>
      <w:r w:rsidRPr="00A55161">
        <w:t>Robinaugh</w:t>
      </w:r>
      <w:proofErr w:type="spellEnd"/>
      <w:r w:rsidRPr="00A55161">
        <w:t xml:space="preserve"> et al., 2024), cognitive aspects of communication (Clough et al., 2023), and social aspects of communication (</w:t>
      </w:r>
      <w:proofErr w:type="spellStart"/>
      <w:r w:rsidRPr="00A55161">
        <w:t>Chanchaochai</w:t>
      </w:r>
      <w:proofErr w:type="spellEnd"/>
      <w:r w:rsidRPr="00A55161">
        <w:t xml:space="preserve"> &amp; Schwarz, 2023). The datasets were identified through searching keywords related to the ASHA domains on the Open Science Framework and other </w:t>
      </w:r>
      <w:r w:rsidRPr="00A55161">
        <w:lastRenderedPageBreak/>
        <w:t>data aggregator sites (e.g., UK Data Service), as well as through the authors’ prior research. Given the prevalence of single subject experimental designs in the field of CSD, an additional study was included to ensure adequate representation (</w:t>
      </w:r>
      <w:proofErr w:type="spellStart"/>
      <w:r w:rsidRPr="00A55161">
        <w:t>Robinaugh</w:t>
      </w:r>
      <w:proofErr w:type="spellEnd"/>
      <w:r w:rsidRPr="00A55161">
        <w:t xml:space="preserve">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w:t>
      </w:r>
      <w:proofErr w:type="gramStart"/>
      <w:r w:rsidRPr="00A55161">
        <w:t>study</w:t>
      </w:r>
      <w:proofErr w:type="gramEnd"/>
      <w:r w:rsidRPr="00A55161">
        <w:t xml:space="preserve"> and synthetic data was generated for those variables, as described below.</w:t>
      </w:r>
    </w:p>
    <w:p w14:paraId="66332FBA" w14:textId="77777777" w:rsidR="001D40C6" w:rsidRPr="00A55161" w:rsidRDefault="00000000">
      <w:pPr>
        <w:pStyle w:val="Heading5"/>
      </w:pPr>
      <w:bookmarkStart w:id="29" w:name="table-2-here."/>
      <w:r w:rsidRPr="00A55161">
        <w:t>Table 2 here.</w:t>
      </w:r>
    </w:p>
    <w:p w14:paraId="54BAE104" w14:textId="77777777" w:rsidR="001D40C6" w:rsidRPr="00A55161" w:rsidRDefault="00000000">
      <w:pPr>
        <w:pStyle w:val="Heading2"/>
      </w:pPr>
      <w:bookmarkStart w:id="30" w:name="X321e19ec81b75917a55c1464328791a1d343239"/>
      <w:bookmarkEnd w:id="28"/>
      <w:bookmarkEnd w:id="29"/>
      <w:r w:rsidRPr="00A55161">
        <w:t>Generation of Synthetic Datasets and Comparison with Original Dataset</w:t>
      </w:r>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w:t>
      </w:r>
      <w:proofErr w:type="spellStart"/>
      <w:r w:rsidRPr="00A55161">
        <w:t>Nowok</w:t>
      </w:r>
      <w:proofErr w:type="spellEnd"/>
      <w:r w:rsidRPr="00A55161">
        <w:t xml:space="preserve"> et al., 2016) was used to generate synthetic data via complete conditional specification (Drechsler &amp; </w:t>
      </w:r>
      <w:proofErr w:type="spellStart"/>
      <w:r w:rsidRPr="00A55161">
        <w:t>Haensch</w:t>
      </w:r>
      <w:proofErr w:type="spellEnd"/>
      <w:r w:rsidRPr="00A55161">
        <w:t>,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51193012" w:rsidR="001D40C6" w:rsidRPr="00A55161" w:rsidRDefault="00000000" w:rsidP="00035059">
      <w:pPr>
        <w:pStyle w:val="BodyText"/>
      </w:pPr>
      <w:r w:rsidRPr="00A55161">
        <w:t xml:space="preserve">For example, consider a dataset containing </w:t>
      </w:r>
      <w:del w:id="31" w:author="Thompson, Austin" w:date="2025-07-21T11:51:00Z" w16du:dateUtc="2025-07-21T16:51:00Z">
        <w:r w:rsidRPr="00A55161" w:rsidDel="00035059">
          <w:delText xml:space="preserve">three </w:delText>
        </w:r>
      </w:del>
      <w:ins w:id="32" w:author="Thompson, Austin" w:date="2025-07-21T11:51:00Z" w16du:dateUtc="2025-07-21T16:51:00Z">
        <w:r w:rsidR="00035059">
          <w:t>four</w:t>
        </w:r>
        <w:r w:rsidR="00035059" w:rsidRPr="00A55161">
          <w:t xml:space="preserve"> </w:t>
        </w:r>
      </w:ins>
      <w:r w:rsidRPr="00A55161">
        <w:t xml:space="preserve">variables: participant ID, </w:t>
      </w:r>
      <w:ins w:id="33" w:author="Thompson, Austin" w:date="2025-07-21T11:51:00Z" w16du:dateUtc="2025-07-21T16:51:00Z">
        <w:r w:rsidR="00035059">
          <w:t xml:space="preserve">sex (categorical), </w:t>
        </w:r>
      </w:ins>
      <w:r w:rsidRPr="00A55161">
        <w:t>age</w:t>
      </w:r>
      <w:ins w:id="34" w:author="Thompson, Austin" w:date="2025-07-21T11:51:00Z" w16du:dateUtc="2025-07-21T16:51:00Z">
        <w:r w:rsidR="00035059">
          <w:t xml:space="preserve"> (c</w:t>
        </w:r>
      </w:ins>
      <w:ins w:id="35" w:author="Thompson, Austin" w:date="2025-07-21T11:52:00Z" w16du:dateUtc="2025-07-21T16:52:00Z">
        <w:r w:rsidR="00035059">
          <w:t>ontinuous)</w:t>
        </w:r>
      </w:ins>
      <w:ins w:id="36" w:author="Thompson, Austin" w:date="2025-07-21T11:55:00Z" w16du:dateUtc="2025-07-21T16:55:00Z">
        <w:r w:rsidR="00035059">
          <w:t>, and weight (continuous)</w:t>
        </w:r>
      </w:ins>
      <w:del w:id="37" w:author="Thompson, Austin" w:date="2025-07-21T11:51:00Z" w16du:dateUtc="2025-07-21T16:51:00Z">
        <w:r w:rsidRPr="00A55161" w:rsidDel="00035059">
          <w:delText>, and weight</w:delText>
        </w:r>
      </w:del>
      <w:r w:rsidRPr="00A55161">
        <w:t xml:space="preserve">. The process would begin </w:t>
      </w:r>
      <w:r w:rsidRPr="00A55161">
        <w:lastRenderedPageBreak/>
        <w:t xml:space="preserve">by synthesizing </w:t>
      </w:r>
      <w:ins w:id="38" w:author="Thompson, Austin" w:date="2025-07-21T11:53:00Z" w16du:dateUtc="2025-07-21T16:53:00Z">
        <w:r w:rsidR="00035059">
          <w:t xml:space="preserve">sex </w:t>
        </w:r>
      </w:ins>
      <w:ins w:id="39" w:author="Thompson, Austin" w:date="2025-07-21T12:26:00Z" w16du:dateUtc="2025-07-21T17:26:00Z">
        <w:r w:rsidR="00465447">
          <w:t xml:space="preserve">by estimating its distribution based on the original data and sampling synthetic values from that distribution. </w:t>
        </w:r>
      </w:ins>
      <w:del w:id="40" w:author="Thompson, Austin" w:date="2025-07-21T11:53:00Z" w16du:dateUtc="2025-07-21T16:53:00Z">
        <w:r w:rsidRPr="00A55161" w:rsidDel="00035059">
          <w:delText xml:space="preserve">participant ID </w:delText>
        </w:r>
      </w:del>
      <w:del w:id="41" w:author="Thompson, Austin" w:date="2025-07-21T12:26:00Z" w16du:dateUtc="2025-07-21T17:26:00Z">
        <w:r w:rsidRPr="00A55161" w:rsidDel="00465447">
          <w:delText xml:space="preserve">through random sampling from its observed distribution. </w:delText>
        </w:r>
      </w:del>
      <w:r w:rsidRPr="00A55161">
        <w:t xml:space="preserve">Age would then be synthesized conditionally based on the synthetic </w:t>
      </w:r>
      <w:del w:id="42" w:author="Thompson, Austin" w:date="2025-07-21T11:53:00Z" w16du:dateUtc="2025-07-21T16:53:00Z">
        <w:r w:rsidRPr="00A55161" w:rsidDel="00035059">
          <w:delText>participant ID values</w:delText>
        </w:r>
      </w:del>
      <w:ins w:id="43" w:author="Thompson, Austin" w:date="2025-07-21T11:53:00Z" w16du:dateUtc="2025-07-21T16:53:00Z">
        <w:r w:rsidR="00035059">
          <w:t>sex</w:t>
        </w:r>
      </w:ins>
      <w:ins w:id="44" w:author="Thompson, Austin" w:date="2025-07-21T12:26:00Z" w16du:dateUtc="2025-07-21T17:26:00Z">
        <w:r w:rsidR="00465447">
          <w:t xml:space="preserve"> values</w:t>
        </w:r>
      </w:ins>
      <w:r w:rsidRPr="00A55161">
        <w:t xml:space="preserve">, </w:t>
      </w:r>
      <w:del w:id="45" w:author="Thompson, Austin" w:date="2025-07-21T12:27:00Z" w16du:dateUtc="2025-07-21T17:27:00Z">
        <w:r w:rsidRPr="00A55161" w:rsidDel="00465447">
          <w:delText>with synthetic values drawn from predictions informed by the original data</w:delText>
        </w:r>
      </w:del>
      <w:ins w:id="46" w:author="Thompson, Austin" w:date="2025-07-21T12:27:00Z" w16du:dateUtc="2025-07-21T17:27:00Z">
        <w:r w:rsidR="00465447">
          <w:t>using a model that captures the relationship between sex and age in the original data</w:t>
        </w:r>
      </w:ins>
      <w:r w:rsidRPr="00A55161">
        <w:t xml:space="preserve">. Finally, weight would be synthesized conditionally on both </w:t>
      </w:r>
      <w:del w:id="47" w:author="Thompson, Austin" w:date="2025-07-21T11:55:00Z" w16du:dateUtc="2025-07-21T16:55:00Z">
        <w:r w:rsidRPr="00A55161" w:rsidDel="00420057">
          <w:delText>participant ID</w:delText>
        </w:r>
      </w:del>
      <w:ins w:id="48" w:author="Thompson, Austin" w:date="2025-07-21T11:55:00Z" w16du:dateUtc="2025-07-21T16:55:00Z">
        <w:r w:rsidR="00420057">
          <w:t>s</w:t>
        </w:r>
      </w:ins>
      <w:ins w:id="49" w:author="Thompson, Austin" w:date="2025-07-21T11:56:00Z" w16du:dateUtc="2025-07-21T16:56:00Z">
        <w:r w:rsidR="00420057">
          <w:t>ex</w:t>
        </w:r>
      </w:ins>
      <w:r w:rsidRPr="00A55161">
        <w:t xml:space="preserve"> and age, </w:t>
      </w:r>
      <w:del w:id="50" w:author="Thompson, Austin" w:date="2025-07-21T12:27:00Z" w16du:dateUtc="2025-07-21T17:27:00Z">
        <w:r w:rsidRPr="00A55161" w:rsidDel="00465447">
          <w:delText>with synthetic values similarly sampled from predictions</w:delText>
        </w:r>
      </w:del>
      <w:ins w:id="51" w:author="Thompson, Austin" w:date="2025-07-21T12:27:00Z" w16du:dateUtc="2025-07-21T17:27:00Z">
        <w:r w:rsidR="00465447">
          <w:t>again based on relationships estimated from the observed data</w:t>
        </w:r>
      </w:ins>
      <w:r w:rsidRPr="00A55161">
        <w:t>.</w:t>
      </w:r>
      <w:ins w:id="52" w:author="Thompson, Austin" w:date="2025-07-21T11:54:00Z" w16du:dateUtc="2025-07-21T16:54:00Z">
        <w:r w:rsidR="00035059">
          <w:t xml:space="preserve"> </w:t>
        </w:r>
      </w:ins>
      <w:ins w:id="53" w:author="Thompson, Austin" w:date="2025-07-21T11:55:00Z" w16du:dateUtc="2025-07-21T16:55:00Z">
        <w:r w:rsidR="00035059" w:rsidRPr="00035059">
          <w:t>Participant IDs, which serve only as identifiers and do not contain meaningful information, would be randomly assigned after data synthesis is complete.</w:t>
        </w:r>
      </w:ins>
    </w:p>
    <w:p w14:paraId="5F0A6969" w14:textId="77777777" w:rsidR="001D40C6" w:rsidRPr="00A55161" w:rsidRDefault="00000000">
      <w:pPr>
        <w:pStyle w:val="BodyText"/>
      </w:pPr>
      <w:r w:rsidRPr="00A55161">
        <w:t>Synthpop inherently manages missing data and maintains relationships between missingness and other variables using a tree-based algorithm, specifically classification and regression trees (CART), for data synthesis (</w:t>
      </w:r>
      <w:proofErr w:type="spellStart"/>
      <w:r w:rsidRPr="00A55161">
        <w:t>Nowok</w:t>
      </w:r>
      <w:proofErr w:type="spellEnd"/>
      <w:r w:rsidRPr="00A55161">
        <w:t xml:space="preserve"> et al., 2016). Alternatively, users can select other tree-based methods, such as random forests, or parametric models like linear or logistic regression. This process resembles multiple imputation by chained equations (MICE) for handling missing data (</w:t>
      </w:r>
      <w:proofErr w:type="spellStart"/>
      <w:r w:rsidRPr="00A55161">
        <w:t>Audigier</w:t>
      </w:r>
      <w:proofErr w:type="spellEnd"/>
      <w:r w:rsidRPr="00A55161">
        <w:t xml:space="preserve"> et al., 2018) but with a key distinction: instead of imputing only missing values, synthpop generates entirely synthetic data (Raghunathan, 2021), significantly reducing disclosure risk.</w:t>
      </w:r>
    </w:p>
    <w:p w14:paraId="2D7AC9E5" w14:textId="77777777" w:rsidR="001D40C6" w:rsidRPr="00A55161" w:rsidRDefault="00000000">
      <w:pPr>
        <w:pStyle w:val="BodyText"/>
      </w:pPr>
      <w:proofErr w:type="spellStart"/>
      <w:r w:rsidRPr="00A55161">
        <w:t>Nowok</w:t>
      </w:r>
      <w:proofErr w:type="spellEnd"/>
      <w:r w:rsidRPr="00A55161">
        <w:t xml:space="preserve"> et al. (2016) provide an in-depth overview of the synthpop package’s features. Briefly, synthesis is largely automated using the </w:t>
      </w:r>
      <w:proofErr w:type="gramStart"/>
      <w:r w:rsidRPr="00A55161">
        <w:t>syn(</w:t>
      </w:r>
      <w:proofErr w:type="gramEnd"/>
      <w:r w:rsidRPr="00A55161">
        <w:t>)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54" w:name="Xbb697d1fe2e79f22ec94635276b122a115e53cf"/>
      <w:bookmarkEnd w:id="30"/>
      <w:r w:rsidRPr="00A55161">
        <w:lastRenderedPageBreak/>
        <w:t>Evaluation of General and Specific Utility</w:t>
      </w:r>
    </w:p>
    <w:p w14:paraId="4DFDB8FA" w14:textId="77777777" w:rsidR="001D40C6" w:rsidRPr="00A55161" w:rsidRDefault="00000000">
      <w:pPr>
        <w:pStyle w:val="FirstParagraph"/>
      </w:pPr>
      <w:r w:rsidRPr="00A55161">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rsidRPr="00A55161">
        <w:t>propensity</w:t>
      </w:r>
      <w:proofErr w:type="gramEnd"/>
      <w:r w:rsidRPr="00A55161">
        <w:t xml:space="preserve"> mean squared error (</w:t>
      </w:r>
      <w:proofErr w:type="spellStart"/>
      <w:r w:rsidRPr="00A55161">
        <w:rPr>
          <w:i/>
          <w:iCs/>
        </w:rPr>
        <w:t>S_pMSE</w:t>
      </w:r>
      <w:proofErr w:type="spellEnd"/>
      <w:r w:rsidRPr="00A55161">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7548E9AA" w14:textId="77777777" w:rsidR="008727F5" w:rsidRPr="00A55161" w:rsidRDefault="00000000">
      <w:pPr>
        <w:pStyle w:val="BodyText"/>
        <w:rPr>
          <w:ins w:id="55" w:author="jcb2271" w:date="2025-07-21T07:17:00Z" w16du:dateUtc="2025-07-21T11:17:00Z"/>
        </w:rPr>
      </w:pPr>
      <w:r w:rsidRPr="00A55161">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w:t>
      </w:r>
    </w:p>
    <w:p w14:paraId="19AE1AE0" w14:textId="6206AE04" w:rsidR="001D40C6" w:rsidRPr="00A55161" w:rsidRDefault="0064053B">
      <w:pPr>
        <w:pStyle w:val="BodyText"/>
      </w:pPr>
      <w:ins w:id="56" w:author="jcb2271" w:date="2025-07-21T07:10:00Z" w16du:dateUtc="2025-07-21T11:10:00Z">
        <w:r w:rsidRPr="00A55161">
          <w:t>W</w:t>
        </w:r>
      </w:ins>
      <w:ins w:id="57" w:author="jcb2271" w:date="2025-07-21T07:07:00Z" w16du:dateUtc="2025-07-21T11:07:00Z">
        <w:r w:rsidR="00700E14" w:rsidRPr="00A55161">
          <w:t xml:space="preserve">e </w:t>
        </w:r>
      </w:ins>
      <w:ins w:id="58" w:author="jcb2271" w:date="2025-07-21T07:10:00Z" w16du:dateUtc="2025-07-21T11:10:00Z">
        <w:r w:rsidRPr="00A55161">
          <w:t xml:space="preserve">also </w:t>
        </w:r>
      </w:ins>
      <w:ins w:id="59" w:author="jcb2271" w:date="2025-07-21T07:07:00Z" w16du:dateUtc="2025-07-21T11:07:00Z">
        <w:r w:rsidR="00700E14" w:rsidRPr="00A55161">
          <w:t xml:space="preserve">examined the stability of results when </w:t>
        </w:r>
      </w:ins>
      <w:ins w:id="60" w:author="jcb2271" w:date="2025-07-21T07:07:00Z">
        <w:r w:rsidR="00700E14" w:rsidRPr="00A55161">
          <w:t>generating multiple synthetic datasets</w:t>
        </w:r>
      </w:ins>
      <w:ins w:id="61" w:author="jcb2271" w:date="2025-07-21T07:07:00Z" w16du:dateUtc="2025-07-21T11:07:00Z">
        <w:r w:rsidR="00700E14" w:rsidRPr="00A55161">
          <w:t xml:space="preserve">. </w:t>
        </w:r>
      </w:ins>
      <w:ins w:id="62" w:author="jcb2271" w:date="2025-07-21T07:13:00Z" w16du:dateUtc="2025-07-21T11:13:00Z">
        <w:r w:rsidR="00F71E85" w:rsidRPr="00A55161">
          <w:t xml:space="preserve">Specifically, our approach </w:t>
        </w:r>
      </w:ins>
      <w:ins w:id="63" w:author="jcb2271" w:date="2025-07-21T07:13:00Z">
        <w:r w:rsidR="00F71E85" w:rsidRPr="00A55161">
          <w:t xml:space="preserve">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t>
        </w:r>
      </w:ins>
      <w:ins w:id="64" w:author="jcb2271" w:date="2025-07-21T07:14:00Z" w16du:dateUtc="2025-07-21T11:14:00Z">
        <w:r w:rsidR="00F71E85" w:rsidRPr="00A55161">
          <w:t>We then evaluated whether</w:t>
        </w:r>
      </w:ins>
      <w:ins w:id="65" w:author="jcb2271" w:date="2025-07-21T07:13:00Z">
        <w:r w:rsidR="00F71E85" w:rsidRPr="00A55161">
          <w:t xml:space="preserve"> 95% of </w:t>
        </w:r>
        <w:r w:rsidR="00F71E85" w:rsidRPr="00A55161">
          <w:rPr>
            <w:i/>
            <w:iCs/>
          </w:rPr>
          <w:t>p</w:t>
        </w:r>
        <w:r w:rsidR="00F71E85" w:rsidRPr="00A55161">
          <w:t xml:space="preserve">-values and effect sizes from the synthetic </w:t>
        </w:r>
        <w:r w:rsidR="00F71E85" w:rsidRPr="00A55161">
          <w:lastRenderedPageBreak/>
          <w:t xml:space="preserve">datasets demonstrated a similar result as the original study, </w:t>
        </w:r>
      </w:ins>
      <w:ins w:id="66" w:author="jcb2271" w:date="2025-07-21T07:09:00Z">
        <w:r w:rsidR="00394A15" w:rsidRPr="00A55161">
          <w:t>Measures of effect size and their interpretation for each study are provided in Table 3.</w:t>
        </w:r>
      </w:ins>
      <w:ins w:id="67" w:author="jcb2271" w:date="2025-07-21T07:08:00Z">
        <w:r w:rsidR="00700E14" w:rsidRPr="00A55161">
          <w:t xml:space="preserve"> </w:t>
        </w:r>
      </w:ins>
      <w:ins w:id="68" w:author="jcb2271" w:date="2025-07-21T07:09:00Z" w16du:dateUtc="2025-07-21T11:09:00Z">
        <w:r w:rsidR="004F1D59" w:rsidRPr="00A55161">
          <w:t xml:space="preserve">Associated results and figures for this stability analyses are provided in Appendix A. </w:t>
        </w:r>
      </w:ins>
      <w:ins w:id="69" w:author="jcb2271" w:date="2025-07-21T07:16:00Z">
        <w:r w:rsidR="00E50A3C" w:rsidRPr="00A55161">
          <w:t xml:space="preserve">Since Curtis et al. (2023) did not perform </w:t>
        </w:r>
      </w:ins>
      <w:ins w:id="70" w:author="jcb2271" w:date="2025-07-21T07:16:00Z" w16du:dateUtc="2025-07-21T11:16:00Z">
        <w:r w:rsidR="00E50A3C" w:rsidRPr="00A55161">
          <w:t xml:space="preserve">inferential statistical models, </w:t>
        </w:r>
      </w:ins>
      <w:ins w:id="71" w:author="jcb2271" w:date="2025-07-21T07:15:00Z">
        <w:r w:rsidR="00D64321" w:rsidRPr="00A55161">
          <w:t xml:space="preserve">we directly compared each synthetic dataset to the original data with a zero-inflated beta multilevel model with the </w:t>
        </w:r>
        <w:proofErr w:type="spellStart"/>
        <w:r w:rsidR="00D64321" w:rsidRPr="00A55161">
          <w:rPr>
            <w:i/>
            <w:iCs/>
          </w:rPr>
          <w:t>gamlss</w:t>
        </w:r>
        <w:proofErr w:type="spellEnd"/>
        <w:r w:rsidR="00D64321" w:rsidRPr="00A55161">
          <w:t xml:space="preserve"> package (version 5.4.3) (Stasinopoulos &amp; Rigby, 2007)</w:t>
        </w:r>
      </w:ins>
      <w:ins w:id="72" w:author="jcb2271" w:date="2025-07-21T07:22:00Z" w16du:dateUtc="2025-07-21T11:22:00Z">
        <w:r w:rsidR="00C646B3">
          <w:t xml:space="preserve">, which </w:t>
        </w:r>
      </w:ins>
      <w:ins w:id="73" w:author="jcb2271" w:date="2025-07-21T07:15:00Z">
        <w:r w:rsidR="00D64321" w:rsidRPr="00A55161">
          <w:t xml:space="preserve">included </w:t>
        </w:r>
      </w:ins>
      <w:ins w:id="74" w:author="jcb2271" w:date="2025-07-21T07:16:00Z" w16du:dateUtc="2025-07-21T11:16:00Z">
        <w:r w:rsidR="004E41A6" w:rsidRPr="00A55161">
          <w:t xml:space="preserve">a </w:t>
        </w:r>
      </w:ins>
      <w:ins w:id="75" w:author="jcb2271" w:date="2025-07-21T07:15:00Z">
        <w:r w:rsidR="00D64321" w:rsidRPr="00A55161">
          <w:t>fixed effect of dataset type</w:t>
        </w:r>
      </w:ins>
      <w:ins w:id="76" w:author="jcb2271" w:date="2025-07-21T07:22:00Z" w16du:dateUtc="2025-07-21T11:22:00Z">
        <w:r w:rsidR="00D9399E">
          <w:t xml:space="preserve"> </w:t>
        </w:r>
      </w:ins>
      <w:ins w:id="77" w:author="jcb2271" w:date="2025-07-21T07:15:00Z">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ins>
      <w:ins w:id="78" w:author="jcb2271" w:date="2025-07-21T07:22:00Z" w16du:dateUtc="2025-07-21T11:22:00Z">
        <w:r w:rsidR="00827F0F">
          <w:t xml:space="preserve">as </w:t>
        </w:r>
      </w:ins>
      <w:ins w:id="79" w:author="jcb2271" w:date="2025-07-21T07:15:00Z">
        <w:r w:rsidR="00D64321" w:rsidRPr="00A55161">
          <w:t>no statistically significant difference between the synthetic and original dataset.</w:t>
        </w:r>
      </w:ins>
      <w:ins w:id="80" w:author="jcb2271" w:date="2025-07-21T07:16:00Z" w16du:dateUtc="2025-07-21T11:16:00Z">
        <w:r w:rsidR="00D418A1" w:rsidRPr="00A55161">
          <w:t xml:space="preserve"> </w:t>
        </w:r>
      </w:ins>
      <w:ins w:id="81" w:author="Borders, James" w:date="2025-07-22T17:26:00Z" w16du:dateUtc="2025-07-22T21:26:00Z">
        <w:r w:rsidR="003E1A62">
          <w:t xml:space="preserve">Since </w:t>
        </w:r>
        <w:proofErr w:type="spellStart"/>
        <w:r w:rsidR="003E1A62">
          <w:t>Robinaugh</w:t>
        </w:r>
        <w:proofErr w:type="spellEnd"/>
        <w:r w:rsidR="003E1A62">
          <w:t xml:space="preserve"> et </w:t>
        </w:r>
        <w:proofErr w:type="spellStart"/>
        <w:r w:rsidR="003E1A62">
          <w:t xml:space="preserve">al. </w:t>
        </w:r>
        <w:proofErr w:type="spellEnd"/>
        <w:r w:rsidR="003E1A62">
          <w:t xml:space="preserve">(2024) </w:t>
        </w:r>
        <w:r w:rsidR="00704AED">
          <w:t>used a Bayesian analysis, we compared synthetic versus original model estimates</w:t>
        </w:r>
        <w:r w:rsidR="003E1A62">
          <w:t xml:space="preserve">. </w:t>
        </w:r>
      </w:ins>
      <w:r w:rsidRPr="00A55161">
        <w:t>The pre-registered analysis plan and corresponding deviations are publicly available on the Open Science Framework (https://osf.io/vhgq2).</w:t>
      </w:r>
      <w:del w:id="82" w:author="jcb2271" w:date="2025-07-21T07:10:00Z" w16du:dateUtc="2025-07-21T11:10:00Z">
        <w:r w:rsidRPr="00A55161" w:rsidDel="004F1D59">
          <w:delText xml:space="preserve"> Additional analyses evaluating the distribution and stability of </w:delText>
        </w:r>
        <w:r w:rsidRPr="00A55161" w:rsidDel="004F1D59">
          <w:rPr>
            <w:i/>
            <w:iCs/>
          </w:rPr>
          <w:delText>p</w:delText>
        </w:r>
        <w:r w:rsidRPr="00A55161" w:rsidDel="004F1D59">
          <w:delText>-values and effect sizes across 100 synthetic datasets are included in the supplemental materials.</w:delText>
        </w:r>
      </w:del>
    </w:p>
    <w:p w14:paraId="4749C4DD" w14:textId="77777777" w:rsidR="001D40C6" w:rsidRPr="00A55161" w:rsidRDefault="00000000">
      <w:pPr>
        <w:pStyle w:val="Heading5"/>
      </w:pPr>
      <w:bookmarkStart w:id="83" w:name="table-3-here."/>
      <w:r w:rsidRPr="00A55161">
        <w:t>Table 3 here.</w:t>
      </w:r>
    </w:p>
    <w:p w14:paraId="741222AE" w14:textId="77777777" w:rsidR="001D40C6" w:rsidRPr="00A55161" w:rsidRDefault="00000000">
      <w:pPr>
        <w:pStyle w:val="Heading1"/>
      </w:pPr>
      <w:bookmarkStart w:id="84" w:name="results"/>
      <w:bookmarkEnd w:id="27"/>
      <w:bookmarkEnd w:id="54"/>
      <w:bookmarkEnd w:id="83"/>
      <w:r w:rsidRPr="00A55161">
        <w:t>Results</w:t>
      </w:r>
    </w:p>
    <w:p w14:paraId="76C96997" w14:textId="77777777" w:rsidR="001D40C6" w:rsidRPr="00A55161" w:rsidRDefault="00000000">
      <w:pPr>
        <w:pStyle w:val="Heading3"/>
      </w:pPr>
      <w:bookmarkStart w:id="85" w:name="swallowing"/>
      <w:r w:rsidRPr="00A55161">
        <w:t>Swallowing</w:t>
      </w:r>
    </w:p>
    <w:p w14:paraId="27E4B3C7" w14:textId="77777777" w:rsidR="001D40C6" w:rsidRPr="00A55161" w:rsidRDefault="00000000">
      <w:pPr>
        <w:pStyle w:val="FirstParagraph"/>
      </w:pPr>
      <w:r w:rsidRPr="00A55161">
        <w:t xml:space="preserve">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w:t>
      </w:r>
      <w:r w:rsidRPr="00A55161">
        <w:lastRenderedPageBreak/>
        <w:t>statistics were conducted; instead, the distribution of laryngeal vestibule residue ratings was summarized using median and interquartile ranges.</w:t>
      </w:r>
    </w:p>
    <w:p w14:paraId="0BD19EC1" w14:textId="2103619B" w:rsidR="001D40C6" w:rsidRPr="00A55161" w:rsidRDefault="00000000">
      <w:pPr>
        <w:pStyle w:val="BodyText"/>
        <w:rPr>
          <w:ins w:id="86" w:author="jcb2271" w:date="2025-07-21T07:17:00Z" w16du:dateUtc="2025-07-21T11:17:00Z"/>
        </w:rPr>
      </w:pPr>
      <w:r w:rsidRPr="00A55161">
        <w:t>In the synthetic dataset, the primary outcome (laryngeal vestibule residue ratings) closely mirrored the original data (</w:t>
      </w:r>
      <w:del w:id="87" w:author="jcb2271" w:date="2025-07-14T14:01:00Z" w16du:dateUtc="2025-07-14T18:01:00Z">
        <w:r w:rsidRPr="00A55161" w:rsidDel="006120D9">
          <w:delText>Figure 1</w:delText>
        </w:r>
      </w:del>
      <w:ins w:id="88" w:author="jcb2271" w:date="2025-07-14T14:01:00Z" w16du:dateUtc="2025-07-14T18:01:00Z">
        <w:r w:rsidR="006120D9" w:rsidRPr="00A55161">
          <w:t>Figure 2</w:t>
        </w:r>
      </w:ins>
      <w:r w:rsidRPr="00A55161">
        <w:t xml:space="preserve">A). The frequency of zero values was nearly identical and the distribution of values greater than zero was also similar, with only minor deviations at higher residue ratings. The </w:t>
      </w:r>
      <w:proofErr w:type="spellStart"/>
      <w:r w:rsidRPr="00A55161">
        <w:rPr>
          <w:i/>
          <w:iCs/>
        </w:rPr>
        <w:t>S_pMSE</w:t>
      </w:r>
      <w:proofErr w:type="spellEnd"/>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ins w:id="89" w:author="jcb2271" w:date="2025-07-21T07:17:00Z">
        <w:r w:rsidRPr="00A55161">
          <w:t>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Additionally, effect size categorizations were maintained for 100% of both zero-inflated and beta portions of the model.</w:t>
        </w:r>
      </w:ins>
    </w:p>
    <w:p w14:paraId="03C41434" w14:textId="19C43AE6" w:rsidR="001D40C6" w:rsidRPr="00A55161" w:rsidRDefault="00000000">
      <w:pPr>
        <w:pStyle w:val="Heading5"/>
      </w:pPr>
      <w:bookmarkStart w:id="90" w:name="figure-1-here."/>
      <w:del w:id="91" w:author="jcb2271" w:date="2025-07-14T14:01:00Z" w16du:dateUtc="2025-07-14T18:01:00Z">
        <w:r w:rsidRPr="00A55161" w:rsidDel="006120D9">
          <w:delText>Figure 1</w:delText>
        </w:r>
      </w:del>
      <w:ins w:id="92" w:author="jcb2271" w:date="2025-07-14T14:01:00Z" w16du:dateUtc="2025-07-14T18:01:00Z">
        <w:r w:rsidR="006120D9" w:rsidRPr="00A55161">
          <w:t>Figure 2</w:t>
        </w:r>
      </w:ins>
      <w:r w:rsidRPr="00A55161">
        <w:t xml:space="preserve"> here.</w:t>
      </w:r>
    </w:p>
    <w:p w14:paraId="1447CA50" w14:textId="77777777" w:rsidR="001D40C6" w:rsidRPr="00A55161" w:rsidRDefault="00000000">
      <w:pPr>
        <w:pStyle w:val="Heading3"/>
      </w:pPr>
      <w:bookmarkStart w:id="93" w:name="articulation"/>
      <w:bookmarkEnd w:id="85"/>
      <w:bookmarkEnd w:id="90"/>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.001) with a Cohen’s </w:t>
      </w:r>
      <w:r w:rsidRPr="00A55161">
        <w:rPr>
          <w:i/>
          <w:iCs/>
        </w:rPr>
        <w:t>f</w:t>
      </w:r>
      <w:r w:rsidRPr="00A55161">
        <w:t xml:space="preserve"> of 0.59, corresponding to a conventionally “large” effect size (Table 3).</w:t>
      </w:r>
    </w:p>
    <w:p w14:paraId="3FF56717" w14:textId="181436E4" w:rsidR="001D40C6" w:rsidRPr="00A55161" w:rsidRDefault="00000000">
      <w:pPr>
        <w:pStyle w:val="BodyText"/>
        <w:rPr>
          <w:ins w:id="94" w:author="jcb2271" w:date="2025-07-21T07:18:00Z" w16du:dateUtc="2025-07-21T11:18:00Z"/>
        </w:rPr>
      </w:pPr>
      <w:r w:rsidRPr="00A55161">
        <w:t>Compared to original data, the synthetic data demonstrated a similar distribution (</w:t>
      </w:r>
      <w:del w:id="95" w:author="jcb2271" w:date="2025-07-14T14:01:00Z" w16du:dateUtc="2025-07-14T18:01:00Z">
        <w:r w:rsidRPr="00A55161" w:rsidDel="006120D9">
          <w:delText>Figure 1</w:delText>
        </w:r>
      </w:del>
      <w:ins w:id="96" w:author="jcb2271" w:date="2025-07-14T14:01:00Z" w16du:dateUtc="2025-07-14T18:01:00Z">
        <w:r w:rsidR="006120D9" w:rsidRPr="00A55161">
          <w:t>Figure 2</w:t>
        </w:r>
      </w:ins>
      <w:r w:rsidRPr="00A55161">
        <w:t>B). General utility was high for both variables of vowel space area (</w:t>
      </w:r>
      <w:proofErr w:type="spellStart"/>
      <w:r w:rsidRPr="00A55161">
        <w:rPr>
          <w:i/>
          <w:iCs/>
        </w:rPr>
        <w:t>S_pMSE</w:t>
      </w:r>
      <w:proofErr w:type="spellEnd"/>
      <w:r w:rsidRPr="00A55161">
        <w:t xml:space="preserve"> = 1.07) and intelligibility (</w:t>
      </w:r>
      <w:proofErr w:type="spellStart"/>
      <w:r w:rsidRPr="00A55161">
        <w:rPr>
          <w:i/>
          <w:iCs/>
        </w:rPr>
        <w:t>S_pMSE</w:t>
      </w:r>
      <w:proofErr w:type="spellEnd"/>
      <w:r w:rsidRPr="00A55161">
        <w:t xml:space="preserve"> = 0.74). Specific utility was high as the statistical model with the </w:t>
      </w:r>
      <w:r w:rsidRPr="00A55161">
        <w:lastRenderedPageBreak/>
        <w:t>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ins w:id="97" w:author="jcb2271" w:date="2025-07-21T07:18:00Z">
        <w:r w:rsidRPr="00784940">
          <w:t xml:space="preserve">Findings from the 100 generated synthetic datasets indicate that 71% of datasets demonstrated the same inferential result (i.e., a statistically significant </w:t>
        </w:r>
        <w:r w:rsidRPr="00784940">
          <w:rPr>
            <w:i/>
            <w:iCs/>
          </w:rPr>
          <w:t>p</w:t>
        </w:r>
        <w:r w:rsidRPr="00784940">
          <w:t>-value)</w:t>
        </w:r>
      </w:ins>
      <w:ins w:id="98" w:author="jcb2271" w:date="2025-07-21T07:49:00Z" w16du:dateUtc="2025-07-21T11:49:00Z">
        <w:r w:rsidR="003F1385">
          <w:t xml:space="preserve"> and </w:t>
        </w:r>
      </w:ins>
      <w:ins w:id="99" w:author="jcb2271" w:date="2025-07-21T07:18:00Z">
        <w:r w:rsidRPr="00784940">
          <w:t xml:space="preserve">57% </w:t>
        </w:r>
      </w:ins>
      <w:ins w:id="100" w:author="jcb2271" w:date="2025-07-21T07:47:00Z" w16du:dateUtc="2025-07-21T11:47:00Z">
        <w:r w:rsidR="005A71F4">
          <w:t>maintained their effect size category.</w:t>
        </w:r>
      </w:ins>
    </w:p>
    <w:p w14:paraId="4480ACEE" w14:textId="77777777" w:rsidR="001D40C6" w:rsidRPr="00A55161" w:rsidRDefault="00000000">
      <w:pPr>
        <w:pStyle w:val="Heading3"/>
      </w:pPr>
      <w:bookmarkStart w:id="101" w:name="fluency"/>
      <w:bookmarkEnd w:id="93"/>
      <w:r w:rsidRPr="00A55161">
        <w:t>Fluency</w:t>
      </w:r>
    </w:p>
    <w:p w14:paraId="1776FC8E" w14:textId="77777777" w:rsidR="001D40C6" w:rsidRPr="00A55161" w:rsidRDefault="00000000">
      <w:pPr>
        <w:pStyle w:val="FirstParagraph"/>
      </w:pPr>
      <w:r w:rsidRPr="00A55161">
        <w:t>Elsherif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5A8A782E" w:rsidR="001D40C6" w:rsidRDefault="00000000">
      <w:pPr>
        <w:pStyle w:val="BodyText"/>
      </w:pPr>
      <w:r w:rsidRPr="00A55161">
        <w:t>Compared to original data, the synthetic data similar distributions (</w:t>
      </w:r>
      <w:del w:id="102" w:author="jcb2271" w:date="2025-07-14T14:01:00Z" w16du:dateUtc="2025-07-14T18:01:00Z">
        <w:r w:rsidRPr="00A55161" w:rsidDel="006120D9">
          <w:delText>Figure 1</w:delText>
        </w:r>
      </w:del>
      <w:ins w:id="103" w:author="jcb2271" w:date="2025-07-14T14:01:00Z" w16du:dateUtc="2025-07-14T18:01:00Z">
        <w:r w:rsidR="006120D9" w:rsidRPr="00A55161">
          <w:t>Figure 2</w:t>
        </w:r>
      </w:ins>
      <w:r w:rsidRPr="00A55161">
        <w:t>C). General utility was high for the outcome of non-word repetitions (</w:t>
      </w:r>
      <w:proofErr w:type="spellStart"/>
      <w:r w:rsidRPr="00A55161">
        <w:rPr>
          <w:i/>
          <w:iCs/>
        </w:rPr>
        <w:t>S_pMSE</w:t>
      </w:r>
      <w:proofErr w:type="spellEnd"/>
      <w:r w:rsidRPr="00A55161">
        <w:t xml:space="preserve"> = 1.27) and the statistical model with the synthetic data maintained the direction of statistical significance (</w:t>
      </w:r>
      <w:r w:rsidRPr="00A55161">
        <w:rPr>
          <w:i/>
          <w:iCs/>
        </w:rPr>
        <w:t>p</w:t>
      </w:r>
      <w:r w:rsidRPr="00A55161">
        <w:t xml:space="preserve"> = .004) and effect size magnitude (</w:t>
      </w:r>
      <w:r w:rsidRPr="00A55161">
        <w:rPr>
          <w:i/>
          <w:iCs/>
        </w:rPr>
        <w:t>f</w:t>
      </w:r>
      <w:r w:rsidRPr="00A55161">
        <w:t xml:space="preserve"> = 1.32).</w:t>
      </w:r>
    </w:p>
    <w:p w14:paraId="63C60C87" w14:textId="568ED38D" w:rsidR="00722C84" w:rsidRPr="00722C84" w:rsidRDefault="00722C84" w:rsidP="00722C84">
      <w:pPr>
        <w:pStyle w:val="BodyText"/>
      </w:pPr>
      <w:ins w:id="104" w:author="jcb2271" w:date="2025-07-21T07:18:00Z">
        <w:r w:rsidRPr="00722C84">
          <w:t xml:space="preserve">Findings from the 100 generated synthetic datasets indicate that </w:t>
        </w:r>
      </w:ins>
      <w:ins w:id="105" w:author="jcb2271" w:date="2025-07-21T07:42:00Z" w16du:dateUtc="2025-07-21T11:42:00Z">
        <w:r>
          <w:t>100</w:t>
        </w:r>
      </w:ins>
      <w:ins w:id="106" w:author="jcb2271" w:date="2025-07-21T07:18:00Z">
        <w:r w:rsidRPr="00722C84">
          <w:t xml:space="preserve">% of datasets demonstrated the same inferential result (i.e., a statistically significant </w:t>
        </w:r>
        <w:r w:rsidRPr="00722C84">
          <w:rPr>
            <w:i/>
            <w:iCs/>
          </w:rPr>
          <w:t>p</w:t>
        </w:r>
        <w:r w:rsidRPr="00722C84">
          <w:t>-value)</w:t>
        </w:r>
      </w:ins>
      <w:ins w:id="107" w:author="jcb2271" w:date="2025-07-21T07:42:00Z" w16du:dateUtc="2025-07-21T11:42:00Z">
        <w:r>
          <w:t xml:space="preserve"> and </w:t>
        </w:r>
      </w:ins>
      <w:ins w:id="108" w:author="jcb2271" w:date="2025-07-21T07:18:00Z">
        <w:r w:rsidRPr="00722C84">
          <w:t>maintained a ‘large’ effect size categorization.</w:t>
        </w:r>
      </w:ins>
    </w:p>
    <w:p w14:paraId="586D34CE" w14:textId="77777777" w:rsidR="00B351DB" w:rsidRPr="00A55161" w:rsidRDefault="00B351DB">
      <w:pPr>
        <w:pStyle w:val="BodyText"/>
      </w:pPr>
    </w:p>
    <w:p w14:paraId="4E2EF3CC" w14:textId="77777777" w:rsidR="001D40C6" w:rsidRPr="00A55161" w:rsidRDefault="00000000">
      <w:pPr>
        <w:pStyle w:val="Heading3"/>
      </w:pPr>
      <w:bookmarkStart w:id="109" w:name="voice-and-resonance"/>
      <w:bookmarkEnd w:id="101"/>
      <w:r w:rsidRPr="00A55161">
        <w:t>Voice and Resonance</w:t>
      </w:r>
    </w:p>
    <w:p w14:paraId="7A4BBAF6" w14:textId="0D317520" w:rsidR="001D40C6" w:rsidRDefault="00000000">
      <w:pPr>
        <w:pStyle w:val="FirstParagraph"/>
        <w:rPr>
          <w:ins w:id="110" w:author="jcb2271" w:date="2025-07-21T07:43:00Z" w16du:dateUtc="2025-07-21T11:43:00Z"/>
        </w:rPr>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w:t>
      </w:r>
      <w:r w:rsidRPr="00A55161">
        <w:lastRenderedPageBreak/>
        <w:t>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111" w:author="jcb2271" w:date="2025-07-14T14:01:00Z" w16du:dateUtc="2025-07-14T18:01:00Z">
        <w:r w:rsidRPr="00A55161" w:rsidDel="006120D9">
          <w:delText>Figure 1</w:delText>
        </w:r>
      </w:del>
      <w:ins w:id="112" w:author="jcb2271" w:date="2025-07-14T14:01:00Z" w16du:dateUtc="2025-07-14T18:01:00Z">
        <w:r w:rsidR="006120D9" w:rsidRPr="00A55161">
          <w:t>Figure 2</w:t>
        </w:r>
      </w:ins>
      <w:r w:rsidRPr="00A55161">
        <w:t>D). General utility was high for both nasality variability (</w:t>
      </w:r>
      <w:proofErr w:type="spellStart"/>
      <w:r w:rsidRPr="00A55161">
        <w:rPr>
          <w:i/>
          <w:iCs/>
        </w:rPr>
        <w:t>S_pMSE</w:t>
      </w:r>
      <w:proofErr w:type="spellEnd"/>
      <w:r w:rsidRPr="00A55161">
        <w:t xml:space="preserve"> = 0.68) and perceptual rating (</w:t>
      </w:r>
      <w:proofErr w:type="spellStart"/>
      <w:r w:rsidRPr="00A55161">
        <w:rPr>
          <w:i/>
          <w:iCs/>
        </w:rPr>
        <w:t>S_pMSE</w:t>
      </w:r>
      <w:proofErr w:type="spellEnd"/>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rPr>
          <w:ins w:id="113" w:author="jcb2271" w:date="2025-07-21T07:43:00Z" w16du:dateUtc="2025-07-21T11:43:00Z"/>
        </w:rPr>
      </w:pPr>
      <w:ins w:id="114" w:author="jcb2271" w:date="2025-07-21T07:43:00Z">
        <w:r w:rsidRPr="009E3879">
          <w:t xml:space="preserve">Findings from the 100 generated synthetic datasets indicate that </w:t>
        </w:r>
      </w:ins>
      <w:ins w:id="115" w:author="jcb2271" w:date="2025-07-21T07:43:00Z" w16du:dateUtc="2025-07-21T11:43:00Z">
        <w:r>
          <w:t>100</w:t>
        </w:r>
      </w:ins>
      <w:ins w:id="116" w:author="jcb2271" w:date="2025-07-21T07:43:00Z">
        <w:r w:rsidRPr="009E3879">
          <w:t xml:space="preserve">% of datasets demonstrated the same inferential result (i.e., a statistically significant </w:t>
        </w:r>
        <w:r w:rsidRPr="009E3879">
          <w:rPr>
            <w:i/>
            <w:iCs/>
          </w:rPr>
          <w:t>p</w:t>
        </w:r>
        <w:r w:rsidRPr="009E3879">
          <w:t>-value)</w:t>
        </w:r>
      </w:ins>
      <w:ins w:id="117" w:author="jcb2271" w:date="2025-07-21T07:48:00Z" w16du:dateUtc="2025-07-21T11:48:00Z">
        <w:r w:rsidR="004652CF">
          <w:t xml:space="preserve"> and </w:t>
        </w:r>
      </w:ins>
      <w:ins w:id="118" w:author="jcb2271" w:date="2025-07-21T07:43:00Z" w16du:dateUtc="2025-07-21T11:43:00Z">
        <w:r>
          <w:t>46</w:t>
        </w:r>
      </w:ins>
      <w:ins w:id="119" w:author="jcb2271" w:date="2025-07-21T07:43:00Z">
        <w:r w:rsidRPr="009E3879">
          <w:t xml:space="preserve">% </w:t>
        </w:r>
      </w:ins>
      <w:ins w:id="120" w:author="jcb2271" w:date="2025-07-21T07:47:00Z" w16du:dateUtc="2025-07-21T11:47:00Z">
        <w:r w:rsidR="005A71F4">
          <w:t>maintained their effect size category.</w:t>
        </w:r>
      </w:ins>
    </w:p>
    <w:p w14:paraId="7FE9AAF2" w14:textId="77777777" w:rsidR="009E3879" w:rsidRPr="009E3879" w:rsidRDefault="009E3879">
      <w:pPr>
        <w:pStyle w:val="BodyText"/>
        <w:pPrChange w:id="121" w:author="jcb2271" w:date="2025-07-21T07:43:00Z" w16du:dateUtc="2025-07-21T11:43:00Z">
          <w:pPr>
            <w:pStyle w:val="FirstParagraph"/>
          </w:pPr>
        </w:pPrChange>
      </w:pPr>
    </w:p>
    <w:p w14:paraId="4650781C" w14:textId="77777777" w:rsidR="001D40C6" w:rsidRPr="00A55161" w:rsidRDefault="00000000">
      <w:pPr>
        <w:pStyle w:val="Heading3"/>
      </w:pPr>
      <w:bookmarkStart w:id="122" w:name="hearing"/>
      <w:bookmarkEnd w:id="109"/>
      <w:r w:rsidRPr="00A55161">
        <w:t>Hearing</w:t>
      </w:r>
    </w:p>
    <w:p w14:paraId="181CB70C" w14:textId="3D66FC21" w:rsidR="001D40C6" w:rsidRDefault="00000000">
      <w:pPr>
        <w:pStyle w:val="FirstParagraph"/>
        <w:rPr>
          <w:ins w:id="123" w:author="jcb2271" w:date="2025-07-21T07:43:00Z" w16du:dateUtc="2025-07-21T11:43:00Z"/>
        </w:rPr>
      </w:pPr>
      <w:r w:rsidRPr="00A55161">
        <w:t>Battal et al. (2019) compared auditory localization abilities between 17 congenitally blind 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del w:id="124" w:author="jcb2271" w:date="2025-07-14T14:01:00Z" w16du:dateUtc="2025-07-14T18:01:00Z">
        <w:r w:rsidRPr="00A55161" w:rsidDel="006120D9">
          <w:delText>Figure 1</w:delText>
        </w:r>
      </w:del>
      <w:ins w:id="125" w:author="jcb2271" w:date="2025-07-14T14:01:00Z" w16du:dateUtc="2025-07-14T18:01:00Z">
        <w:r w:rsidR="006120D9" w:rsidRPr="00A55161">
          <w:t>Figure 2</w:t>
        </w:r>
      </w:ins>
      <w:r w:rsidRPr="00A55161">
        <w:t>E). General utility was high for subject (</w:t>
      </w:r>
      <w:proofErr w:type="spellStart"/>
      <w:r w:rsidRPr="00A55161">
        <w:rPr>
          <w:i/>
          <w:iCs/>
        </w:rPr>
        <w:t>S_pMSE</w:t>
      </w:r>
      <w:proofErr w:type="spellEnd"/>
      <w:r w:rsidRPr="00A55161">
        <w:t xml:space="preserve"> = 0.53) and group (</w:t>
      </w:r>
      <w:proofErr w:type="spellStart"/>
      <w:r w:rsidRPr="00A55161">
        <w:rPr>
          <w:i/>
          <w:iCs/>
        </w:rPr>
        <w:t>S_pMSE</w:t>
      </w:r>
      <w:proofErr w:type="spellEnd"/>
      <w:r w:rsidRPr="00A55161">
        <w:t xml:space="preserve"> = 0.17) variables. Specific utility was high as the statistical model with the synthetic data maintained the direction of statistical significance (</w:t>
      </w:r>
      <w:r w:rsidRPr="00A55161">
        <w:rPr>
          <w:i/>
          <w:iCs/>
        </w:rPr>
        <w:t>p</w:t>
      </w:r>
      <w:r w:rsidRPr="00A55161">
        <w:t xml:space="preserve"> .018)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rPr>
          <w:ins w:id="126" w:author="jcb2271" w:date="2025-07-21T07:43:00Z"/>
        </w:rPr>
      </w:pPr>
      <w:ins w:id="127" w:author="jcb2271" w:date="2025-07-21T07:43:00Z">
        <w:r w:rsidRPr="00FE4F91">
          <w:t>Findings from the 100 generated synthetic datasets indicate that 7</w:t>
        </w:r>
      </w:ins>
      <w:ins w:id="128" w:author="jcb2271" w:date="2025-07-21T07:43:00Z" w16du:dateUtc="2025-07-21T11:43:00Z">
        <w:r w:rsidR="006C75D5">
          <w:t>8</w:t>
        </w:r>
      </w:ins>
      <w:ins w:id="129" w:author="jcb2271" w:date="2025-07-21T07:43:00Z">
        <w:r w:rsidRPr="00FE4F91">
          <w:t xml:space="preserve">% of datasets </w:t>
        </w:r>
        <w:r w:rsidRPr="00FE4F91">
          <w:lastRenderedPageBreak/>
          <w:t xml:space="preserve">demonstrated the same inferential result (i.e., a statistically significant </w:t>
        </w:r>
        <w:r w:rsidRPr="00FE4F91">
          <w:rPr>
            <w:i/>
            <w:iCs/>
          </w:rPr>
          <w:t>p</w:t>
        </w:r>
        <w:r w:rsidRPr="00FE4F91">
          <w:t>-value)</w:t>
        </w:r>
      </w:ins>
      <w:ins w:id="130" w:author="jcb2271" w:date="2025-07-21T07:43:00Z" w16du:dateUtc="2025-07-21T11:43:00Z">
        <w:r w:rsidR="00EB7D9C">
          <w:t xml:space="preserve"> and </w:t>
        </w:r>
        <w:r w:rsidR="006C75D5">
          <w:t>100</w:t>
        </w:r>
      </w:ins>
      <w:ins w:id="131" w:author="jcb2271" w:date="2025-07-21T07:43:00Z">
        <w:r w:rsidRPr="00FE4F91">
          <w:t xml:space="preserve">% </w:t>
        </w:r>
      </w:ins>
      <w:ins w:id="132" w:author="jcb2271" w:date="2025-07-21T07:47:00Z" w16du:dateUtc="2025-07-21T11:47:00Z">
        <w:r w:rsidR="005A71F4">
          <w:t xml:space="preserve">maintained their effect size </w:t>
        </w:r>
      </w:ins>
      <w:ins w:id="133" w:author="jcb2271" w:date="2025-07-21T07:48:00Z" w16du:dateUtc="2025-07-21T11:48:00Z">
        <w:r w:rsidR="00532F21">
          <w:t>categorization</w:t>
        </w:r>
      </w:ins>
      <w:ins w:id="134" w:author="jcb2271" w:date="2025-07-21T07:47:00Z" w16du:dateUtc="2025-07-21T11:47:00Z">
        <w:r w:rsidR="005A71F4">
          <w:t>.</w:t>
        </w:r>
      </w:ins>
    </w:p>
    <w:p w14:paraId="20144712" w14:textId="77777777" w:rsidR="00FE4F91" w:rsidRPr="00FE4F91" w:rsidRDefault="00FE4F91">
      <w:pPr>
        <w:pStyle w:val="BodyText"/>
        <w:pPrChange w:id="135" w:author="jcb2271" w:date="2025-07-21T07:43:00Z" w16du:dateUtc="2025-07-21T11:43:00Z">
          <w:pPr>
            <w:pStyle w:val="FirstParagraph"/>
          </w:pPr>
        </w:pPrChange>
      </w:pPr>
    </w:p>
    <w:p w14:paraId="20A6F7EA" w14:textId="77777777" w:rsidR="001D40C6" w:rsidRPr="00A55161" w:rsidRDefault="00000000">
      <w:pPr>
        <w:pStyle w:val="Heading3"/>
      </w:pPr>
      <w:bookmarkStart w:id="136" w:name="communication-modalities"/>
      <w:bookmarkEnd w:id="122"/>
      <w:r w:rsidRPr="00A55161">
        <w:t>Communication Modalities</w:t>
      </w:r>
    </w:p>
    <w:p w14:paraId="40819A75" w14:textId="32E35DF9" w:rsidR="001D40C6" w:rsidRDefault="00000000">
      <w:pPr>
        <w:pStyle w:val="FirstParagraph"/>
        <w:rPr>
          <w:ins w:id="137" w:author="jcb2271" w:date="2025-07-21T07:43:00Z" w16du:dateUtc="2025-07-21T11:43:00Z"/>
        </w:rPr>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del w:id="138" w:author="jcb2271" w:date="2025-07-14T14:01:00Z" w16du:dateUtc="2025-07-14T18:01:00Z">
        <w:r w:rsidRPr="00A55161" w:rsidDel="006120D9">
          <w:delText>Figure 1</w:delText>
        </w:r>
      </w:del>
      <w:ins w:id="139" w:author="jcb2271" w:date="2025-07-14T14:01:00Z" w16du:dateUtc="2025-07-14T18:01:00Z">
        <w:r w:rsidR="006120D9" w:rsidRPr="00A55161">
          <w:t>Figure 2</w:t>
        </w:r>
      </w:ins>
      <w:r w:rsidRPr="00A55161">
        <w:t>F). General utility was high for assessment type (</w:t>
      </w:r>
      <w:proofErr w:type="spellStart"/>
      <w:r w:rsidRPr="00A55161">
        <w:rPr>
          <w:i/>
          <w:iCs/>
        </w:rPr>
        <w:t>S_pMSE</w:t>
      </w:r>
      <w:proofErr w:type="spellEnd"/>
      <w:r w:rsidRPr="00A55161">
        <w:t xml:space="preserve"> = 0.03) and time point (</w:t>
      </w:r>
      <w:proofErr w:type="spellStart"/>
      <w:r w:rsidRPr="00A55161">
        <w:rPr>
          <w:i/>
          <w:iCs/>
        </w:rPr>
        <w:t>S_pMSE</w:t>
      </w:r>
      <w:proofErr w:type="spellEnd"/>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35.38), indicating high specific utility.</w:t>
      </w:r>
    </w:p>
    <w:p w14:paraId="16E5977C" w14:textId="4CA882B9" w:rsidR="00DB1D6B" w:rsidRPr="00DB1D6B" w:rsidRDefault="00DB1D6B" w:rsidP="00DB1D6B">
      <w:pPr>
        <w:pStyle w:val="BodyText"/>
        <w:rPr>
          <w:ins w:id="140" w:author="jcb2271" w:date="2025-07-21T07:43:00Z"/>
        </w:rPr>
      </w:pPr>
      <w:ins w:id="141" w:author="jcb2271" w:date="2025-07-21T07:43:00Z">
        <w:r w:rsidRPr="00DB1D6B">
          <w:t xml:space="preserve">Findings from the 100 generated synthetic datasets indicate that </w:t>
        </w:r>
      </w:ins>
      <w:ins w:id="142" w:author="jcb2271" w:date="2025-07-21T07:43:00Z" w16du:dateUtc="2025-07-21T11:43:00Z">
        <w:r w:rsidR="004F6918">
          <w:t>100</w:t>
        </w:r>
      </w:ins>
      <w:ins w:id="143" w:author="jcb2271" w:date="2025-07-21T07:43:00Z">
        <w:r w:rsidRPr="00DB1D6B">
          <w:t xml:space="preserve">% of datasets demonstrated the same inferential result (i.e., a statistically significant </w:t>
        </w:r>
        <w:r w:rsidRPr="00DB1D6B">
          <w:rPr>
            <w:i/>
            <w:iCs/>
          </w:rPr>
          <w:t>p</w:t>
        </w:r>
        <w:r w:rsidRPr="00DB1D6B">
          <w:t>-value)</w:t>
        </w:r>
      </w:ins>
      <w:ins w:id="144" w:author="jcb2271" w:date="2025-07-21T07:43:00Z" w16du:dateUtc="2025-07-21T11:43:00Z">
        <w:r w:rsidR="004F6918">
          <w:t xml:space="preserve"> and </w:t>
        </w:r>
      </w:ins>
      <w:ins w:id="145" w:author="jcb2271" w:date="2025-07-21T07:43:00Z">
        <w:r w:rsidRPr="00DB1D6B">
          <w:t xml:space="preserve">maintained </w:t>
        </w:r>
      </w:ins>
      <w:ins w:id="146" w:author="jcb2271" w:date="2025-07-21T07:48:00Z" w16du:dateUtc="2025-07-21T11:48:00Z">
        <w:r w:rsidR="00192964">
          <w:t>their</w:t>
        </w:r>
      </w:ins>
      <w:ins w:id="147" w:author="jcb2271" w:date="2025-07-21T07:43:00Z">
        <w:r w:rsidRPr="00DB1D6B">
          <w:t xml:space="preserve"> effect size </w:t>
        </w:r>
      </w:ins>
      <w:ins w:id="148" w:author="jcb2271" w:date="2025-07-21T07:48:00Z" w16du:dateUtc="2025-07-21T11:48:00Z">
        <w:r w:rsidR="00192964">
          <w:t>categorization</w:t>
        </w:r>
      </w:ins>
      <w:ins w:id="149" w:author="jcb2271" w:date="2025-07-21T07:43:00Z">
        <w:r w:rsidRPr="00DB1D6B">
          <w:t>.</w:t>
        </w:r>
      </w:ins>
    </w:p>
    <w:p w14:paraId="2A9E20DE" w14:textId="77777777" w:rsidR="00DB1D6B" w:rsidRPr="00DB1D6B" w:rsidRDefault="00DB1D6B">
      <w:pPr>
        <w:pStyle w:val="BodyText"/>
        <w:pPrChange w:id="150" w:author="jcb2271" w:date="2025-07-21T07:43:00Z" w16du:dateUtc="2025-07-21T11:43:00Z">
          <w:pPr>
            <w:pStyle w:val="FirstParagraph"/>
          </w:pPr>
        </w:pPrChange>
      </w:pPr>
    </w:p>
    <w:p w14:paraId="470F5B29" w14:textId="77777777" w:rsidR="001D40C6" w:rsidRPr="00A55161" w:rsidRDefault="00000000">
      <w:pPr>
        <w:pStyle w:val="Heading3"/>
      </w:pPr>
      <w:bookmarkStart w:id="151" w:name="receptive-and-expressive-language"/>
      <w:bookmarkEnd w:id="136"/>
      <w:r w:rsidRPr="00A55161">
        <w:t>Receptive and Expressive Language</w:t>
      </w:r>
    </w:p>
    <w:p w14:paraId="332919DF" w14:textId="77777777" w:rsidR="001D40C6" w:rsidRPr="00A55161" w:rsidRDefault="00000000">
      <w:pPr>
        <w:pStyle w:val="FirstParagraph"/>
      </w:pPr>
      <w:r w:rsidRPr="00A55161">
        <w:t xml:space="preserve">Two studies were included in the domain of Receptive and Expressive Language (Kearney et al., 2023; </w:t>
      </w:r>
      <w:proofErr w:type="spellStart"/>
      <w:r w:rsidRPr="00A55161">
        <w:t>Robinaugh</w:t>
      </w:r>
      <w:proofErr w:type="spellEnd"/>
      <w:r w:rsidRPr="00A55161">
        <w:t xml:space="preserve"> et al., 2024).</w:t>
      </w:r>
    </w:p>
    <w:p w14:paraId="4AD26205" w14:textId="01D7F506" w:rsidR="001D40C6" w:rsidRPr="00A55161" w:rsidRDefault="00000000" w:rsidP="00552D1E">
      <w:pPr>
        <w:pStyle w:val="BodyText"/>
      </w:pPr>
      <w:r w:rsidRPr="00A55161">
        <w:t xml:space="preserve">Kearney et al. (2023) examined the relationship between years of education and reading performance among 36 individuals following left-hemisphere tumor resection. Results indicated </w:t>
      </w:r>
      <w:r w:rsidRPr="00A55161">
        <w:lastRenderedPageBreak/>
        <w:t>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del w:id="152" w:author="jcb2271" w:date="2025-07-14T14:01:00Z" w16du:dateUtc="2025-07-14T18:01:00Z">
        <w:r w:rsidRPr="00A55161" w:rsidDel="006120D9">
          <w:delText>Figure 2</w:delText>
        </w:r>
      </w:del>
      <w:ins w:id="153" w:author="jcb2271" w:date="2025-07-14T14:01:00Z" w16du:dateUtc="2025-07-14T18:01:00Z">
        <w:r w:rsidR="006120D9" w:rsidRPr="00A55161">
          <w:t>Figure 3</w:t>
        </w:r>
      </w:ins>
      <w:r w:rsidRPr="00A55161">
        <w:t>A). General utility was high for both years of education (</w:t>
      </w:r>
      <w:proofErr w:type="spellStart"/>
      <w:r w:rsidRPr="00A55161">
        <w:rPr>
          <w:i/>
          <w:iCs/>
        </w:rPr>
        <w:t>S_pMSE</w:t>
      </w:r>
      <w:proofErr w:type="spellEnd"/>
      <w:r w:rsidRPr="00A55161">
        <w:t xml:space="preserve"> = 0.6) and reading scores (</w:t>
      </w:r>
      <w:proofErr w:type="spellStart"/>
      <w:r w:rsidRPr="00A55161">
        <w:rPr>
          <w:i/>
          <w:iCs/>
        </w:rPr>
        <w:t>S_pMSE</w:t>
      </w:r>
      <w:proofErr w:type="spellEnd"/>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ins w:id="154" w:author="jcb2271" w:date="2025-07-21T07:43:00Z" w16du:dateUtc="2025-07-21T11:43:00Z">
        <w:r w:rsidR="004F6918">
          <w:t xml:space="preserve"> </w:t>
        </w:r>
      </w:ins>
      <w:ins w:id="155" w:author="jcb2271" w:date="2025-07-21T07:44:00Z">
        <w:r w:rsidR="004F6918" w:rsidRPr="00784940">
          <w:t xml:space="preserve">Findings from the 100 generated synthetic datasets indicate that </w:t>
        </w:r>
      </w:ins>
      <w:ins w:id="156" w:author="jcb2271" w:date="2025-07-21T07:44:00Z" w16du:dateUtc="2025-07-21T11:44:00Z">
        <w:r w:rsidR="0007752A">
          <w:t>98</w:t>
        </w:r>
      </w:ins>
      <w:ins w:id="157" w:author="jcb2271" w:date="2025-07-21T07:44:00Z">
        <w:r w:rsidR="004F6918" w:rsidRPr="00784940">
          <w:t xml:space="preserve">% of datasets demonstrated the same inferential result (i.e., a statistically significant </w:t>
        </w:r>
        <w:r w:rsidR="004F6918" w:rsidRPr="00784940">
          <w:rPr>
            <w:i/>
            <w:iCs/>
          </w:rPr>
          <w:t>p</w:t>
        </w:r>
        <w:r w:rsidR="004F6918" w:rsidRPr="00784940">
          <w:t>-value)</w:t>
        </w:r>
      </w:ins>
      <w:ins w:id="158" w:author="jcb2271" w:date="2025-07-21T07:44:00Z" w16du:dateUtc="2025-07-21T11:44:00Z">
        <w:r w:rsidR="0007752A">
          <w:t xml:space="preserve"> and 70</w:t>
        </w:r>
      </w:ins>
      <w:ins w:id="159" w:author="jcb2271" w:date="2025-07-21T07:44:00Z">
        <w:r w:rsidR="004F6918" w:rsidRPr="00784940">
          <w:t xml:space="preserve">% </w:t>
        </w:r>
      </w:ins>
      <w:ins w:id="160" w:author="jcb2271" w:date="2025-07-21T07:47:00Z" w16du:dateUtc="2025-07-21T11:47:00Z">
        <w:r w:rsidR="005A71F4">
          <w:t>of synthetic datasets maintained their effect size category.</w:t>
        </w:r>
      </w:ins>
    </w:p>
    <w:p w14:paraId="040723C6" w14:textId="2F587EDF" w:rsidR="001D40C6" w:rsidRDefault="00000000">
      <w:pPr>
        <w:pStyle w:val="BodyText"/>
        <w:rPr>
          <w:ins w:id="161" w:author="Borders, James" w:date="2025-07-22T17:25:00Z" w16du:dateUtc="2025-07-22T21:25:00Z"/>
        </w:rPr>
      </w:pPr>
      <w:proofErr w:type="spellStart"/>
      <w:r w:rsidRPr="00A55161">
        <w:t>Robinaugh</w:t>
      </w:r>
      <w:proofErr w:type="spellEnd"/>
      <w:r w:rsidRPr="00A55161">
        <w:t xml:space="preserve">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w:t>
      </w:r>
      <w:del w:id="162" w:author="jcb2271" w:date="2025-07-14T14:01:00Z" w16du:dateUtc="2025-07-14T18:01:00Z">
        <w:r w:rsidRPr="00A55161" w:rsidDel="006120D9">
          <w:delText>Figure 2</w:delText>
        </w:r>
      </w:del>
      <w:ins w:id="163" w:author="jcb2271" w:date="2025-07-14T14:01:00Z" w16du:dateUtc="2025-07-14T18:01:00Z">
        <w:r w:rsidR="006120D9" w:rsidRPr="00A55161">
          <w:t>Figure 3</w:t>
        </w:r>
      </w:ins>
      <w:r w:rsidRPr="00A55161">
        <w:t>B). General utility was high for id (</w:t>
      </w:r>
      <w:proofErr w:type="spellStart"/>
      <w:r w:rsidRPr="00A55161">
        <w:rPr>
          <w:i/>
          <w:iCs/>
        </w:rPr>
        <w:t>S_pMSE</w:t>
      </w:r>
      <w:proofErr w:type="spellEnd"/>
      <w:r w:rsidRPr="00A55161">
        <w:t xml:space="preserve"> = 0.22), set (</w:t>
      </w:r>
      <w:proofErr w:type="spellStart"/>
      <w:r w:rsidRPr="00A55161">
        <w:rPr>
          <w:i/>
          <w:iCs/>
        </w:rPr>
        <w:t>S_pMSE</w:t>
      </w:r>
      <w:proofErr w:type="spellEnd"/>
      <w:r w:rsidRPr="00A55161">
        <w:t xml:space="preserve"> = 0.09), session (</w:t>
      </w:r>
      <w:proofErr w:type="spellStart"/>
      <w:r w:rsidRPr="00A55161">
        <w:rPr>
          <w:i/>
          <w:iCs/>
        </w:rPr>
        <w:t>S_pMSE</w:t>
      </w:r>
      <w:proofErr w:type="spellEnd"/>
      <w:r w:rsidRPr="00A55161">
        <w:t xml:space="preserve"> = 0.22), and phase (</w:t>
      </w:r>
      <w:proofErr w:type="spellStart"/>
      <w:r w:rsidRPr="00A55161">
        <w:rPr>
          <w:i/>
          <w:iCs/>
        </w:rPr>
        <w:t>S_pMSE</w:t>
      </w:r>
      <w:proofErr w:type="spellEnd"/>
      <w:r w:rsidRPr="00A55161">
        <w:t xml:space="preserve"> = 0.03) variables. The statistical model with the synthetic data overestimated the effect size (β = 60.11; 90% CI: 54.41, 65.38), indicating that specific utility was low.</w:t>
      </w:r>
      <w:ins w:id="164" w:author="Borders, James" w:date="2025-07-22T17:22:00Z" w16du:dateUtc="2025-07-22T21:22:00Z">
        <w:r w:rsidR="0081457B">
          <w:t xml:space="preserve"> </w:t>
        </w:r>
        <w:r w:rsidR="0081457B" w:rsidRPr="00784940">
          <w:t xml:space="preserve">Findings from the 100 generated synthetic datasets indicate that </w:t>
        </w:r>
      </w:ins>
      <w:ins w:id="165" w:author="Borders, James" w:date="2025-07-22T17:23:00Z" w16du:dateUtc="2025-07-22T21:23:00Z">
        <w:r w:rsidR="0081457B">
          <w:t>the average model estimate was 6</w:t>
        </w:r>
      </w:ins>
      <w:ins w:id="166" w:author="Borders, James" w:date="2025-07-22T17:25:00Z" w16du:dateUtc="2025-07-22T21:25:00Z">
        <w:r w:rsidR="0081457B">
          <w:t>9</w:t>
        </w:r>
      </w:ins>
      <w:ins w:id="167" w:author="Borders, James" w:date="2025-07-22T17:23:00Z" w16du:dateUtc="2025-07-22T21:23:00Z">
        <w:r w:rsidR="0081457B">
          <w:t xml:space="preserve"> </w:t>
        </w:r>
      </w:ins>
      <w:ins w:id="168" w:author="Borders, James" w:date="2025-07-22T17:24:00Z" w16du:dateUtc="2025-07-22T21:24:00Z">
        <w:r w:rsidR="0081457B">
          <w:t>words, which was a</w:t>
        </w:r>
      </w:ins>
      <w:ins w:id="169" w:author="Borders, James" w:date="2025-07-22T17:25:00Z" w16du:dateUtc="2025-07-22T21:25:00Z">
        <w:r w:rsidR="0081457B">
          <w:t xml:space="preserve"> very</w:t>
        </w:r>
      </w:ins>
      <w:ins w:id="170" w:author="Borders, James" w:date="2025-07-22T17:24:00Z" w16du:dateUtc="2025-07-22T21:24:00Z">
        <w:r w:rsidR="0081457B">
          <w:t xml:space="preserve"> large overestimation</w:t>
        </w:r>
      </w:ins>
      <w:ins w:id="171" w:author="Borders, James" w:date="2025-07-22T17:25:00Z" w16du:dateUtc="2025-07-22T21:25:00Z">
        <w:r w:rsidR="0081457B">
          <w:t xml:space="preserve"> compared to the original model estimate of 35 words</w:t>
        </w:r>
      </w:ins>
      <w:ins w:id="172" w:author="Borders, James" w:date="2025-07-22T17:23:00Z" w16du:dateUtc="2025-07-22T21:23:00Z">
        <w:r w:rsidR="0081457B">
          <w:t>.</w:t>
        </w:r>
      </w:ins>
    </w:p>
    <w:p w14:paraId="42A3B4F3" w14:textId="77777777" w:rsidR="00AE1538" w:rsidRPr="00A55161" w:rsidRDefault="00AE1538">
      <w:pPr>
        <w:pStyle w:val="BodyText"/>
      </w:pPr>
    </w:p>
    <w:p w14:paraId="20F4211F" w14:textId="77777777" w:rsidR="001D40C6" w:rsidRPr="00A55161" w:rsidRDefault="00000000">
      <w:pPr>
        <w:pStyle w:val="Heading3"/>
      </w:pPr>
      <w:bookmarkStart w:id="173" w:name="cognitive-aspects-of-communication"/>
      <w:bookmarkEnd w:id="151"/>
      <w:r w:rsidRPr="00A55161">
        <w:t>Cognitive Aspects of Communication</w:t>
      </w:r>
    </w:p>
    <w:p w14:paraId="50A772F5" w14:textId="5D024D9F" w:rsidR="001D40C6" w:rsidRDefault="00000000">
      <w:pPr>
        <w:pStyle w:val="FirstParagraph"/>
        <w:rPr>
          <w:ins w:id="174" w:author="jcb2271" w:date="2025-07-21T07:44:00Z" w16du:dateUtc="2025-07-21T11:44:00Z"/>
        </w:rPr>
      </w:pPr>
      <w:r w:rsidRPr="00A55161">
        <w:t xml:space="preserve">Clough et al. (2023) examined the interaction between group (traumatic brain injury [TBI] or neurotypical) and condition (basic emotion or social emotion emojis) on the accuracy of </w:t>
      </w:r>
      <w:r w:rsidRPr="00A55161">
        <w:lastRenderedPageBreak/>
        <w:t>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del w:id="175" w:author="jcb2271" w:date="2025-07-14T14:01:00Z" w16du:dateUtc="2025-07-14T18:01:00Z">
        <w:r w:rsidRPr="00A55161" w:rsidDel="006120D9">
          <w:delText>Figure 2</w:delText>
        </w:r>
      </w:del>
      <w:ins w:id="176" w:author="jcb2271" w:date="2025-07-14T14:01:00Z" w16du:dateUtc="2025-07-14T18:01:00Z">
        <w:r w:rsidR="006120D9" w:rsidRPr="00A55161">
          <w:t>Figure 3</w:t>
        </w:r>
      </w:ins>
      <w:r w:rsidRPr="00A55161">
        <w:t>C). General utility was high for subject (</w:t>
      </w:r>
      <w:proofErr w:type="spellStart"/>
      <w:r w:rsidRPr="00A55161">
        <w:rPr>
          <w:i/>
          <w:iCs/>
        </w:rPr>
        <w:t>S_pMSE</w:t>
      </w:r>
      <w:proofErr w:type="spellEnd"/>
      <w:r w:rsidRPr="00A55161">
        <w:t xml:space="preserve"> = 0.23) and condition (</w:t>
      </w:r>
      <w:proofErr w:type="spellStart"/>
      <w:r w:rsidRPr="00A55161">
        <w:rPr>
          <w:i/>
          <w:iCs/>
        </w:rPr>
        <w:t>S_pMSE</w:t>
      </w:r>
      <w:proofErr w:type="spellEnd"/>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 even though the effect size magnitude was still considered large (</w:t>
      </w:r>
      <w:r w:rsidRPr="00A55161">
        <w:rPr>
          <w:i/>
          <w:iCs/>
        </w:rPr>
        <w:t>OR</w:t>
      </w:r>
      <w:r w:rsidRPr="00A55161">
        <w:t xml:space="preserve"> = 1.51). The random effect estimates were stable between the original (mean = -0.011, 95% CI: -0.018, -0.005) and synthetic (mean = -0.012, 95% CI: -0.018, -0.005) datasets.</w:t>
      </w:r>
    </w:p>
    <w:p w14:paraId="70BC07E6" w14:textId="25550908" w:rsidR="004C4775" w:rsidRPr="004C4775" w:rsidRDefault="004C4775" w:rsidP="004C4775">
      <w:pPr>
        <w:pStyle w:val="BodyText"/>
        <w:rPr>
          <w:ins w:id="177" w:author="jcb2271" w:date="2025-07-21T07:44:00Z"/>
        </w:rPr>
      </w:pPr>
      <w:ins w:id="178" w:author="jcb2271" w:date="2025-07-21T07:44:00Z">
        <w:r w:rsidRPr="004C4775">
          <w:t xml:space="preserve">Findings from the 100 generated synthetic datasets indicate that </w:t>
        </w:r>
      </w:ins>
      <w:ins w:id="179" w:author="jcb2271" w:date="2025-07-21T07:44:00Z" w16du:dateUtc="2025-07-21T11:44:00Z">
        <w:r w:rsidR="005E2E97">
          <w:t>35</w:t>
        </w:r>
      </w:ins>
      <w:ins w:id="180" w:author="jcb2271" w:date="2025-07-21T07:44:00Z">
        <w:r w:rsidRPr="004C4775">
          <w:t xml:space="preserve">% of datasets demonstrated the same inferential result (i.e., a statistically significant </w:t>
        </w:r>
        <w:r w:rsidRPr="004C4775">
          <w:rPr>
            <w:i/>
            <w:iCs/>
          </w:rPr>
          <w:t>p</w:t>
        </w:r>
        <w:r w:rsidRPr="004C4775">
          <w:t>-value)</w:t>
        </w:r>
      </w:ins>
      <w:ins w:id="181" w:author="jcb2271" w:date="2025-07-21T07:48:00Z" w16du:dateUtc="2025-07-21T11:48:00Z">
        <w:r w:rsidR="00955C5D">
          <w:t xml:space="preserve"> and </w:t>
        </w:r>
      </w:ins>
      <w:ins w:id="182" w:author="jcb2271" w:date="2025-07-21T07:44:00Z" w16du:dateUtc="2025-07-21T11:44:00Z">
        <w:r w:rsidR="005E2E97">
          <w:t>100</w:t>
        </w:r>
      </w:ins>
      <w:ins w:id="183" w:author="jcb2271" w:date="2025-07-21T07:44:00Z">
        <w:r w:rsidRPr="004C4775">
          <w:t xml:space="preserve">% </w:t>
        </w:r>
      </w:ins>
      <w:ins w:id="184" w:author="jcb2271" w:date="2025-07-21T07:47:00Z" w16du:dateUtc="2025-07-21T11:47:00Z">
        <w:r w:rsidR="005A71F4">
          <w:t>of synthetic datasets maintained their effect size category.</w:t>
        </w:r>
      </w:ins>
    </w:p>
    <w:p w14:paraId="5DD2ED6C" w14:textId="77777777" w:rsidR="004C4775" w:rsidRPr="004C4775" w:rsidRDefault="004C4775">
      <w:pPr>
        <w:pStyle w:val="BodyText"/>
        <w:pPrChange w:id="185" w:author="jcb2271" w:date="2025-07-21T07:44:00Z" w16du:dateUtc="2025-07-21T11:44:00Z">
          <w:pPr>
            <w:pStyle w:val="FirstParagraph"/>
          </w:pPr>
        </w:pPrChange>
      </w:pPr>
    </w:p>
    <w:p w14:paraId="42F212E5" w14:textId="77777777" w:rsidR="001D40C6" w:rsidRPr="00A55161" w:rsidRDefault="00000000">
      <w:pPr>
        <w:pStyle w:val="Heading3"/>
      </w:pPr>
      <w:bookmarkStart w:id="186" w:name="social-aspects-of-communication"/>
      <w:bookmarkEnd w:id="173"/>
      <w:r w:rsidRPr="00A55161">
        <w:t>Social Aspects of Communication</w:t>
      </w:r>
    </w:p>
    <w:p w14:paraId="5BCBB8A0" w14:textId="3C68B224" w:rsidR="001D40C6" w:rsidRDefault="00000000">
      <w:pPr>
        <w:pStyle w:val="FirstParagraph"/>
        <w:rPr>
          <w:ins w:id="187" w:author="jcb2271" w:date="2025-07-21T07:44:00Z" w16du:dateUtc="2025-07-21T11:44:00Z"/>
        </w:rPr>
      </w:pPr>
      <w:proofErr w:type="spellStart"/>
      <w:r w:rsidRPr="00A55161">
        <w:t>Chanchaochai</w:t>
      </w:r>
      <w:proofErr w:type="spellEnd"/>
      <w:r w:rsidRPr="00A55161">
        <w:t xml:space="preserve"> &amp; Schwarz et al. (2023) compared non-verbal IQ between individuals with 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del w:id="188" w:author="jcb2271" w:date="2025-07-14T14:01:00Z" w16du:dateUtc="2025-07-14T18:01:00Z">
        <w:r w:rsidRPr="00A55161" w:rsidDel="006120D9">
          <w:delText>Figure 2</w:delText>
        </w:r>
      </w:del>
      <w:ins w:id="189" w:author="jcb2271" w:date="2025-07-14T14:01:00Z" w16du:dateUtc="2025-07-14T18:01:00Z">
        <w:r w:rsidR="006120D9" w:rsidRPr="00A55161">
          <w:t>Figure 3</w:t>
        </w:r>
      </w:ins>
      <w:r w:rsidRPr="00A55161">
        <w:t>D). General utility was high for both group (</w:t>
      </w:r>
      <w:proofErr w:type="spellStart"/>
      <w:r w:rsidRPr="00A55161">
        <w:rPr>
          <w:i/>
          <w:iCs/>
        </w:rPr>
        <w:t>S_pMSE</w:t>
      </w:r>
      <w:proofErr w:type="spellEnd"/>
      <w:r w:rsidRPr="00A55161">
        <w:t xml:space="preserve"> = 0.01) and non-verbal IQ (</w:t>
      </w:r>
      <w:proofErr w:type="spellStart"/>
      <w:r w:rsidRPr="00A55161">
        <w:rPr>
          <w:i/>
          <w:iCs/>
        </w:rPr>
        <w:t>S_pMSE</w:t>
      </w:r>
      <w:proofErr w:type="spellEnd"/>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r w:rsidRPr="00A55161">
        <w:rPr>
          <w:i/>
          <w:iCs/>
        </w:rPr>
        <w:t>r</w:t>
      </w:r>
      <w:r w:rsidRPr="00A55161">
        <w:t xml:space="preserve"> = -0.54) was </w:t>
      </w:r>
      <w:r w:rsidRPr="00A55161">
        <w:lastRenderedPageBreak/>
        <w:t>lower, indicating a low level of specific utility.</w:t>
      </w:r>
    </w:p>
    <w:p w14:paraId="7458C2E2" w14:textId="2B8A96B5" w:rsidR="000016C4" w:rsidRPr="000016C4" w:rsidRDefault="000016C4">
      <w:pPr>
        <w:pStyle w:val="BodyText"/>
        <w:pPrChange w:id="190" w:author="jcb2271" w:date="2025-07-21T07:44:00Z" w16du:dateUtc="2025-07-21T11:44:00Z">
          <w:pPr>
            <w:pStyle w:val="FirstParagraph"/>
          </w:pPr>
        </w:pPrChange>
      </w:pPr>
      <w:ins w:id="191" w:author="jcb2271" w:date="2025-07-21T07:44:00Z">
        <w:r w:rsidRPr="000016C4">
          <w:t>Findings from the 100 generated synthetic datasets indicate that</w:t>
        </w:r>
      </w:ins>
      <w:ins w:id="192" w:author="jcb2271" w:date="2025-07-21T07:44:00Z" w16du:dateUtc="2025-07-21T11:44:00Z">
        <w:r>
          <w:t xml:space="preserve"> 87</w:t>
        </w:r>
      </w:ins>
      <w:ins w:id="193" w:author="jcb2271" w:date="2025-07-21T07:44:00Z">
        <w:r w:rsidRPr="000016C4">
          <w:t xml:space="preserve">% of datasets demonstrated the same inferential result (i.e., a statistically significant </w:t>
        </w:r>
        <w:r w:rsidRPr="000016C4">
          <w:rPr>
            <w:i/>
            <w:iCs/>
          </w:rPr>
          <w:t>p</w:t>
        </w:r>
        <w:r w:rsidRPr="000016C4">
          <w:t>-value)</w:t>
        </w:r>
      </w:ins>
      <w:ins w:id="194" w:author="jcb2271" w:date="2025-07-21T07:48:00Z" w16du:dateUtc="2025-07-21T11:48:00Z">
        <w:r w:rsidR="00C025F6">
          <w:t xml:space="preserve"> and </w:t>
        </w:r>
      </w:ins>
      <w:ins w:id="195" w:author="jcb2271" w:date="2025-07-21T07:44:00Z" w16du:dateUtc="2025-07-21T11:44:00Z">
        <w:r>
          <w:t>47</w:t>
        </w:r>
      </w:ins>
      <w:ins w:id="196" w:author="jcb2271" w:date="2025-07-21T07:44:00Z">
        <w:r w:rsidRPr="000016C4">
          <w:t xml:space="preserve">% </w:t>
        </w:r>
      </w:ins>
      <w:ins w:id="197" w:author="jcb2271" w:date="2025-07-21T07:47:00Z" w16du:dateUtc="2025-07-21T11:47:00Z">
        <w:r w:rsidR="005A71F4">
          <w:t>of synthetic datasets maintained their effect size category.</w:t>
        </w:r>
      </w:ins>
    </w:p>
    <w:p w14:paraId="3176BF5F" w14:textId="77777777" w:rsidR="001D40C6" w:rsidRPr="00A55161" w:rsidRDefault="00000000">
      <w:pPr>
        <w:pStyle w:val="Heading1"/>
      </w:pPr>
      <w:bookmarkStart w:id="198" w:name="discussion"/>
      <w:bookmarkEnd w:id="84"/>
      <w:bookmarkEnd w:id="186"/>
      <w:r w:rsidRPr="00A55161">
        <w:t>Discussion</w:t>
      </w:r>
    </w:p>
    <w:p w14:paraId="339872E8" w14:textId="77777777" w:rsidR="001D40C6" w:rsidRPr="00A55161" w:rsidRDefault="00000000">
      <w:pPr>
        <w:pStyle w:val="FirstParagraph"/>
      </w:pPr>
      <w:r w:rsidRPr="00A55161">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Pr="00A55161" w:rsidRDefault="00000000">
      <w:pPr>
        <w:pStyle w:val="BodyText"/>
      </w:pPr>
      <w:r w:rsidRPr="00A55161">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w:t>
      </w:r>
      <w:r w:rsidRPr="00A55161">
        <w:lastRenderedPageBreak/>
        <w:t>demonstrated strong specific utility. These datasets could form the basis for further hypothesis-testing or inclusion in meta-analyses, while those with low specific utility should be excluded from such analyses.</w:t>
      </w:r>
    </w:p>
    <w:p w14:paraId="2AA1B3F1" w14:textId="52586D30"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w:t>
      </w:r>
      <w:proofErr w:type="spellStart"/>
      <w:r w:rsidRPr="00A55161">
        <w:t>Nowok</w:t>
      </w:r>
      <w:proofErr w:type="spellEnd"/>
      <w:r w:rsidRPr="00A55161">
        <w:t xml:space="preserve">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w:t>
      </w:r>
      <w:del w:id="199" w:author="jcb2271" w:date="2025-07-21T07:58:00Z" w16du:dateUtc="2025-07-21T11:58:00Z">
        <w:r w:rsidRPr="00A55161" w:rsidDel="00E04CA2">
          <w:delText xml:space="preserve">specifically </w:delText>
        </w:r>
      </w:del>
      <w:r w:rsidRPr="00A55161">
        <w:t xml:space="preserve">designed </w:t>
      </w:r>
      <w:ins w:id="200" w:author="jcb2271" w:date="2025-07-21T07:58:00Z">
        <w:r w:rsidR="00E04CA2" w:rsidRPr="00E04CA2">
          <w:t xml:space="preserve">specifically </w:t>
        </w:r>
      </w:ins>
      <w:r w:rsidRPr="00A55161">
        <w:t xml:space="preserve">to handle hierarchical data (Gauvin, 2021) </w:t>
      </w:r>
      <w:del w:id="201" w:author="jcb2271" w:date="2025-07-21T07:58:00Z" w16du:dateUtc="2025-07-21T11:58:00Z">
        <w:r w:rsidRPr="00A55161" w:rsidDel="00991921">
          <w:delText xml:space="preserve">may </w:delText>
        </w:r>
      </w:del>
      <w:ins w:id="202" w:author="jcb2271" w:date="2025-07-21T07:58:00Z" w16du:dateUtc="2025-07-21T11:58:00Z">
        <w:r w:rsidR="00991921">
          <w:t>might</w:t>
        </w:r>
        <w:r w:rsidR="00991921" w:rsidRPr="00A55161">
          <w:t xml:space="preserve"> </w:t>
        </w:r>
      </w:ins>
      <w:r w:rsidRPr="00A55161">
        <w:t xml:space="preserve">offer </w:t>
      </w:r>
      <w:del w:id="203" w:author="jcb2271" w:date="2025-07-21T07:58:00Z" w16du:dateUtc="2025-07-21T11:58:00Z">
        <w:r w:rsidRPr="00A55161" w:rsidDel="00991921">
          <w:delText>a better</w:delText>
        </w:r>
      </w:del>
      <w:ins w:id="204" w:author="jcb2271" w:date="2025-07-21T07:58:00Z" w16du:dateUtc="2025-07-21T11:58:00Z">
        <w:r w:rsidR="00991921">
          <w:t>improved</w:t>
        </w:r>
      </w:ins>
      <w:r w:rsidRPr="00A55161">
        <w:t xml:space="preserve"> solution</w:t>
      </w:r>
      <w:ins w:id="205" w:author="jcb2271" w:date="2025-07-21T07:58:00Z" w16du:dateUtc="2025-07-21T11:58:00Z">
        <w:r w:rsidR="00991921">
          <w:t>s</w:t>
        </w:r>
      </w:ins>
      <w:r w:rsidRPr="00A55161">
        <w:t xml:space="preserve"> and should be explored in future work.</w:t>
      </w:r>
      <w:ins w:id="206" w:author="jcb2271" w:date="2025-07-21T07:55:00Z" w16du:dateUtc="2025-07-21T11:55:00Z">
        <w:r w:rsidR="00B87BF5">
          <w:t xml:space="preserve"> Additionally, </w:t>
        </w:r>
      </w:ins>
      <w:ins w:id="207" w:author="jcb2271" w:date="2025-07-21T07:57:00Z" w16du:dateUtc="2025-07-21T11:57:00Z">
        <w:r w:rsidR="00C95883">
          <w:t xml:space="preserve">another potential </w:t>
        </w:r>
      </w:ins>
      <w:ins w:id="208" w:author="jcb2271" w:date="2025-07-21T07:59:00Z" w16du:dateUtc="2025-07-21T11:59:00Z">
        <w:r w:rsidR="00991921">
          <w:t>method</w:t>
        </w:r>
      </w:ins>
      <w:ins w:id="209" w:author="jcb2271" w:date="2025-07-21T07:57:00Z" w16du:dateUtc="2025-07-21T11:57:00Z">
        <w:r w:rsidR="00C95883">
          <w:t xml:space="preserve"> </w:t>
        </w:r>
      </w:ins>
      <w:ins w:id="210" w:author="jcb2271" w:date="2025-07-21T07:59:00Z" w16du:dateUtc="2025-07-21T11:59:00Z">
        <w:r w:rsidR="00991921">
          <w:t>for</w:t>
        </w:r>
      </w:ins>
      <w:ins w:id="211" w:author="jcb2271" w:date="2025-07-21T07:57:00Z" w16du:dateUtc="2025-07-21T11:57:00Z">
        <w:r w:rsidR="00C95883">
          <w:t xml:space="preserve"> handl</w:t>
        </w:r>
      </w:ins>
      <w:ins w:id="212" w:author="jcb2271" w:date="2025-07-21T07:59:00Z" w16du:dateUtc="2025-07-21T11:59:00Z">
        <w:r w:rsidR="00991921">
          <w:t>ing</w:t>
        </w:r>
      </w:ins>
      <w:ins w:id="213" w:author="jcb2271" w:date="2025-07-21T07:57:00Z" w16du:dateUtc="2025-07-21T11:57:00Z">
        <w:r w:rsidR="00C95883">
          <w:t xml:space="preserve"> more complex, hierarchical data</w:t>
        </w:r>
      </w:ins>
      <w:ins w:id="214" w:author="jcb2271" w:date="2025-07-21T07:56:00Z" w16du:dateUtc="2025-07-21T11:56:00Z">
        <w:r w:rsidR="004F46C8">
          <w:t xml:space="preserve"> </w:t>
        </w:r>
      </w:ins>
      <w:ins w:id="215" w:author="jcb2271" w:date="2025-07-21T07:59:00Z" w16du:dateUtc="2025-07-21T11:59:00Z">
        <w:r w:rsidR="00DD4E53">
          <w:t>involves creating</w:t>
        </w:r>
      </w:ins>
      <w:ins w:id="216" w:author="jcb2271" w:date="2025-07-21T07:56:00Z" w16du:dateUtc="2025-07-21T11:56:00Z">
        <w:r w:rsidR="004F46C8">
          <w:t xml:space="preserve"> synthetic dataset</w:t>
        </w:r>
      </w:ins>
      <w:ins w:id="217" w:author="jcb2271" w:date="2025-07-21T07:59:00Z" w16du:dateUtc="2025-07-21T11:59:00Z">
        <w:r w:rsidR="00DD4E53">
          <w:t>s</w:t>
        </w:r>
      </w:ins>
      <w:ins w:id="218" w:author="jcb2271" w:date="2025-07-21T07:56:00Z" w16du:dateUtc="2025-07-21T11:56:00Z">
        <w:r w:rsidR="004F46C8">
          <w:t xml:space="preserve"> by sampling posterior predictive distributions </w:t>
        </w:r>
      </w:ins>
      <w:ins w:id="219" w:author="jcb2271" w:date="2025-07-21T07:59:00Z" w16du:dateUtc="2025-07-21T11:59:00Z">
        <w:r w:rsidR="00DD4E53">
          <w:t>through</w:t>
        </w:r>
      </w:ins>
      <w:ins w:id="220" w:author="jcb2271" w:date="2025-07-21T07:56:00Z" w16du:dateUtc="2025-07-21T11:56:00Z">
        <w:r w:rsidR="004F46C8">
          <w:t xml:space="preserve"> </w:t>
        </w:r>
      </w:ins>
      <w:ins w:id="221" w:author="jcb2271" w:date="2025-07-21T07:55:00Z" w16du:dateUtc="2025-07-21T11:55:00Z">
        <w:r w:rsidR="00B87BF5">
          <w:t>a fully Bayesian analytical a</w:t>
        </w:r>
      </w:ins>
      <w:ins w:id="222" w:author="jcb2271" w:date="2025-07-21T07:56:00Z" w16du:dateUtc="2025-07-21T11:56:00Z">
        <w:r w:rsidR="00B87BF5">
          <w:t>pproach</w:t>
        </w:r>
      </w:ins>
      <w:ins w:id="223" w:author="jcb2271" w:date="2025-07-21T07:57:00Z" w16du:dateUtc="2025-07-21T11:57:00Z">
        <w:r w:rsidR="00C95883">
          <w:t xml:space="preserve">; however, this </w:t>
        </w:r>
      </w:ins>
      <w:ins w:id="224" w:author="jcb2271" w:date="2025-07-21T07:59:00Z" w16du:dateUtc="2025-07-21T11:59:00Z">
        <w:r w:rsidR="00DD4E53">
          <w:t>method</w:t>
        </w:r>
      </w:ins>
      <w:ins w:id="225" w:author="jcb2271" w:date="2025-07-21T07:57:00Z" w16du:dateUtc="2025-07-21T11:57:00Z">
        <w:r w:rsidR="00C95883">
          <w:t xml:space="preserve"> does not </w:t>
        </w:r>
      </w:ins>
      <w:ins w:id="226" w:author="jcb2271" w:date="2025-07-21T07:59:00Z" w16du:dateUtc="2025-07-21T11:59:00Z">
        <w:r w:rsidR="00DD4E53">
          <w:t>guarantee</w:t>
        </w:r>
      </w:ins>
      <w:ins w:id="227" w:author="jcb2271" w:date="2025-07-21T07:57:00Z" w16du:dateUtc="2025-07-21T11:57:00Z">
        <w:r w:rsidR="00C95883">
          <w:t xml:space="preserve"> anonymization</w:t>
        </w:r>
      </w:ins>
      <w:ins w:id="228" w:author="jcb2271" w:date="2025-07-21T07:59:00Z" w16du:dateUtc="2025-07-21T11:59:00Z">
        <w:r w:rsidR="00663A25">
          <w:t xml:space="preserve"> and should be used with caution when sharing </w:t>
        </w:r>
      </w:ins>
      <w:ins w:id="229" w:author="jcb2271" w:date="2025-07-21T08:00:00Z" w16du:dateUtc="2025-07-21T12:00:00Z">
        <w:r w:rsidR="00011E8E">
          <w:t>confidential</w:t>
        </w:r>
        <w:r w:rsidR="009055F3">
          <w:t xml:space="preserve"> and highly sensitive</w:t>
        </w:r>
        <w:r w:rsidR="00011E8E">
          <w:t xml:space="preserve"> </w:t>
        </w:r>
        <w:r w:rsidR="00663A25">
          <w:t>data</w:t>
        </w:r>
      </w:ins>
      <w:ins w:id="230" w:author="jcb2271" w:date="2025-07-21T07:57:00Z" w16du:dateUtc="2025-07-21T11:57:00Z">
        <w:r w:rsidR="00C95883">
          <w:t>.</w:t>
        </w:r>
      </w:ins>
    </w:p>
    <w:p w14:paraId="1880F8FF" w14:textId="77777777" w:rsidR="001D40C6" w:rsidRPr="00A55161" w:rsidRDefault="00000000">
      <w:pPr>
        <w:pStyle w:val="BodyText"/>
        <w:rPr>
          <w:ins w:id="231" w:author="jcb2271" w:date="2025-07-14T14:03:00Z" w16du:dateUtc="2025-07-14T18:03:00Z"/>
        </w:rPr>
      </w:pPr>
      <w:r w:rsidRPr="00A55161">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w:t>
      </w:r>
      <w:r w:rsidRPr="00A55161">
        <w:lastRenderedPageBreak/>
        <w:t>re-use of synthetic data (Matthews &amp; Harel, 2011).</w:t>
      </w:r>
    </w:p>
    <w:p w14:paraId="0CD7011D" w14:textId="46E2EF8A" w:rsidR="00465CB5" w:rsidRPr="00A55161" w:rsidRDefault="00A42EB9">
      <w:pPr>
        <w:pStyle w:val="BodyText"/>
      </w:pPr>
      <w:ins w:id="232" w:author="jcb2271" w:date="2025-07-14T14:06:00Z" w16du:dateUtc="2025-07-14T18:06:00Z">
        <w:r w:rsidRPr="00A55161">
          <w:t>I</w:t>
        </w:r>
      </w:ins>
      <w:ins w:id="233" w:author="jcb2271" w:date="2025-07-14T14:04:00Z" w16du:dateUtc="2025-07-14T18:04:00Z">
        <w:r w:rsidR="00727927" w:rsidRPr="00A55161">
          <w:t>t is important to highlight the many benefits of sharing</w:t>
        </w:r>
      </w:ins>
      <w:ins w:id="234" w:author="jcb2271" w:date="2025-07-14T14:03:00Z">
        <w:r w:rsidR="00465CB5" w:rsidRPr="00A55161">
          <w:t xml:space="preserve"> </w:t>
        </w:r>
      </w:ins>
      <w:ins w:id="235" w:author="jcb2271" w:date="2025-07-14T14:07:00Z" w16du:dateUtc="2025-07-14T18:07:00Z">
        <w:r w:rsidR="00B050BA" w:rsidRPr="00A55161">
          <w:t xml:space="preserve">either </w:t>
        </w:r>
      </w:ins>
      <w:ins w:id="236" w:author="jcb2271" w:date="2025-07-14T14:03:00Z">
        <w:r w:rsidR="00465CB5" w:rsidRPr="00A55161">
          <w:t>raw or intermediate data</w:t>
        </w:r>
      </w:ins>
      <w:ins w:id="237" w:author="jcb2271" w:date="2025-07-14T14:04:00Z" w16du:dateUtc="2025-07-14T18:04:00Z">
        <w:r w:rsidR="00727927" w:rsidRPr="00A55161">
          <w:t xml:space="preserve">. </w:t>
        </w:r>
      </w:ins>
      <w:ins w:id="238" w:author="jcb2271" w:date="2025-07-14T14:05:00Z" w16du:dateUtc="2025-07-14T18:05:00Z">
        <w:r w:rsidR="00727927" w:rsidRPr="00A55161">
          <w:t>S</w:t>
        </w:r>
      </w:ins>
      <w:ins w:id="239" w:author="jcb2271" w:date="2025-07-14T14:04:00Z" w16du:dateUtc="2025-07-14T18:04:00Z">
        <w:r w:rsidR="00727927" w:rsidRPr="00A55161">
          <w:t xml:space="preserve">haring </w:t>
        </w:r>
      </w:ins>
      <w:ins w:id="240" w:author="jcb2271" w:date="2025-07-14T14:07:00Z" w16du:dateUtc="2025-07-14T18:07:00Z">
        <w:r w:rsidR="00FA1EF6" w:rsidRPr="00A55161">
          <w:t xml:space="preserve">these types of </w:t>
        </w:r>
      </w:ins>
      <w:ins w:id="241" w:author="jcb2271" w:date="2025-07-14T14:04:00Z" w16du:dateUtc="2025-07-14T18:04:00Z">
        <w:r w:rsidR="00727927" w:rsidRPr="00A55161">
          <w:t xml:space="preserve">data </w:t>
        </w:r>
      </w:ins>
      <w:ins w:id="242" w:author="jcb2271" w:date="2025-07-14T14:03:00Z">
        <w:r w:rsidR="00465CB5" w:rsidRPr="00A55161">
          <w:t xml:space="preserve">enhances </w:t>
        </w:r>
      </w:ins>
      <w:ins w:id="243" w:author="jcb2271" w:date="2025-07-14T14:05:00Z" w16du:dateUtc="2025-07-14T18:05:00Z">
        <w:r w:rsidR="00B273F3" w:rsidRPr="00A55161">
          <w:t xml:space="preserve">research </w:t>
        </w:r>
      </w:ins>
      <w:ins w:id="244" w:author="jcb2271" w:date="2025-07-14T14:03:00Z">
        <w:r w:rsidR="00465CB5" w:rsidRPr="00A55161">
          <w:t xml:space="preserve">transparency by enabling </w:t>
        </w:r>
      </w:ins>
      <w:ins w:id="245" w:author="jcb2271" w:date="2025-07-14T14:05:00Z" w16du:dateUtc="2025-07-14T18:05:00Z">
        <w:r w:rsidR="00B273F3" w:rsidRPr="00A55161">
          <w:t>readers</w:t>
        </w:r>
      </w:ins>
      <w:ins w:id="246" w:author="jcb2271" w:date="2025-07-14T14:03:00Z">
        <w:r w:rsidR="00465CB5" w:rsidRPr="00A55161">
          <w:t xml:space="preserve"> to</w:t>
        </w:r>
      </w:ins>
      <w:ins w:id="247" w:author="jcb2271" w:date="2025-07-14T14:07:00Z" w16du:dateUtc="2025-07-14T18:07:00Z">
        <w:r w:rsidR="002609C6" w:rsidRPr="00A55161">
          <w:t xml:space="preserve"> re-analyze raw data for different purposes or</w:t>
        </w:r>
      </w:ins>
      <w:ins w:id="248" w:author="jcb2271" w:date="2025-07-14T14:03:00Z">
        <w:r w:rsidR="00465CB5" w:rsidRPr="00A55161">
          <w:t xml:space="preserve"> reproduce the calculations behind analysis data. Different operational definitions or analysis steps are often a barrier to inclusion in a meta-analysis</w:t>
        </w:r>
      </w:ins>
      <w:ins w:id="249" w:author="jcb2271" w:date="2025-07-14T14:05:00Z" w16du:dateUtc="2025-07-14T18:05:00Z">
        <w:r w:rsidR="0044480E" w:rsidRPr="00A55161">
          <w:t>; therefore, s</w:t>
        </w:r>
      </w:ins>
      <w:ins w:id="250" w:author="jcb2271" w:date="2025-07-14T14:03:00Z">
        <w:r w:rsidR="00465CB5" w:rsidRPr="00A55161">
          <w:t>haring this type of data ensures that secondary analyses can be performed with alternate methodologies or operational definitions</w:t>
        </w:r>
      </w:ins>
      <w:ins w:id="251" w:author="jcb2271" w:date="2025-07-14T14:05:00Z" w16du:dateUtc="2025-07-14T18:05:00Z">
        <w:r w:rsidR="0044480E" w:rsidRPr="00A55161">
          <w:t xml:space="preserve"> </w:t>
        </w:r>
      </w:ins>
      <w:ins w:id="252" w:author="jcb2271" w:date="2025-07-14T14:03:00Z">
        <w:r w:rsidR="00465CB5" w:rsidRPr="00A55161">
          <w:t xml:space="preserve">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ins>
      <w:ins w:id="253" w:author="jcb2271" w:date="2025-07-14T14:06:00Z" w16du:dateUtc="2025-07-14T18:06:00Z">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ins>
      <w:ins w:id="254" w:author="jcb2271" w:date="2025-07-14T14:03:00Z">
        <w:r w:rsidR="00465CB5" w:rsidRPr="00A55161">
          <w:t>.</w:t>
        </w:r>
      </w:ins>
    </w:p>
    <w:p w14:paraId="26DD1D50" w14:textId="77777777" w:rsidR="001D40C6" w:rsidRPr="00A55161" w:rsidRDefault="00000000">
      <w:pPr>
        <w:pStyle w:val="Heading2"/>
      </w:pPr>
      <w:bookmarkStart w:id="255" w:name="limitations-and-future-directions"/>
      <w:r w:rsidRPr="00A55161">
        <w:t>Limitations and future directions</w:t>
      </w:r>
    </w:p>
    <w:p w14:paraId="0BBA5544" w14:textId="77777777" w:rsidR="001D40C6" w:rsidRPr="00A55161" w:rsidRDefault="00000000">
      <w:pPr>
        <w:pStyle w:val="FirstParagraph"/>
      </w:pPr>
      <w:r w:rsidRPr="00A55161">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Pr="00A55161" w:rsidRDefault="00000000">
      <w:pPr>
        <w:pStyle w:val="BodyText"/>
      </w:pPr>
      <w:r w:rsidRPr="00A55161">
        <w:t xml:space="preserve">Second, it is important to recognize that synthetic data are inherently a proxy and cannot entirely preserve all statistical properties of the original dataset. Whenever ethically permissible, </w:t>
      </w:r>
      <w:r w:rsidRPr="00A55161">
        <w:lastRenderedPageBreak/>
        <w:t>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Pr="00A55161" w:rsidRDefault="00000000">
      <w:pPr>
        <w:pStyle w:val="BodyText"/>
      </w:pPr>
      <w:r w:rsidRPr="00A55161">
        <w:t>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Pr="00A55161" w:rsidRDefault="00000000">
      <w:pPr>
        <w:pStyle w:val="Heading2"/>
      </w:pPr>
      <w:bookmarkStart w:id="256" w:name="conclusions"/>
      <w:bookmarkEnd w:id="255"/>
      <w:r w:rsidRPr="00A55161">
        <w:t>Conclusions</w:t>
      </w:r>
    </w:p>
    <w:p w14:paraId="1B3B14E5" w14:textId="6D8C88BD"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ins w:id="257" w:author="jcb2271" w:date="2025-07-14T14:02:00Z" w16du:dateUtc="2025-07-14T18:02:00Z">
        <w:r w:rsidR="005C79A5" w:rsidRPr="00A55161">
          <w:t xml:space="preserve">standard methods </w:t>
        </w:r>
      </w:ins>
      <w:ins w:id="258" w:author="jcb2271" w:date="2025-07-14T14:03:00Z" w16du:dateUtc="2025-07-14T18:03:00Z">
        <w:r w:rsidR="005C79A5" w:rsidRPr="00A55161">
          <w:t xml:space="preserve">for synthesizing </w:t>
        </w:r>
      </w:ins>
      <w:del w:id="259" w:author="jcb2271" w:date="2025-07-14T14:03:00Z" w16du:dateUtc="2025-07-14T18:03:00Z">
        <w:r w:rsidRPr="00A55161" w:rsidDel="005C79A5">
          <w:delText xml:space="preserve">synthetic </w:delText>
        </w:r>
      </w:del>
      <w:r w:rsidRPr="00A55161">
        <w:t xml:space="preserve">data generated using </w:t>
      </w:r>
      <w:ins w:id="260" w:author="jcb2271" w:date="2025-07-14T14:03:00Z" w16du:dateUtc="2025-07-14T18:03:00Z">
        <w:r w:rsidR="005C79A5" w:rsidRPr="00A55161">
          <w:t xml:space="preserve">the </w:t>
        </w:r>
      </w:ins>
      <w:r w:rsidRPr="00A55161">
        <w:t>synthpop</w:t>
      </w:r>
      <w:ins w:id="261" w:author="jcb2271" w:date="2025-07-14T14:03:00Z" w16du:dateUtc="2025-07-14T18:03:00Z">
        <w:r w:rsidR="005C79A5" w:rsidRPr="00A55161">
          <w:t xml:space="preserve"> package</w:t>
        </w:r>
      </w:ins>
      <w:r w:rsidRPr="00A55161">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ins w:id="262" w:author="jcb2271" w:date="2025-07-21T07:19:00Z" w16du:dateUtc="2025-07-21T11:19:00Z"/>
          <w:rFonts w:ascii="Times New Roman" w:hAnsi="Times New Roman" w:cs="Times New Roman"/>
        </w:rPr>
      </w:pPr>
      <w:ins w:id="263" w:author="jcb2271" w:date="2025-07-21T07:19:00Z" w16du:dateUtc="2025-07-21T11:19:00Z">
        <w:r w:rsidRPr="00A55161">
          <w:rPr>
            <w:rFonts w:ascii="Times New Roman" w:hAnsi="Times New Roman" w:cs="Times New Roman"/>
          </w:rPr>
          <w:lastRenderedPageBreak/>
          <w:br w:type="page"/>
        </w:r>
      </w:ins>
    </w:p>
    <w:p w14:paraId="78927F14" w14:textId="33BDEFFE" w:rsidR="00A55161" w:rsidRPr="00A55161" w:rsidRDefault="00A55161" w:rsidP="00267D7F">
      <w:pPr>
        <w:spacing w:line="480" w:lineRule="auto"/>
        <w:rPr>
          <w:ins w:id="264" w:author="jcb2271" w:date="2025-07-21T07:19:00Z" w16du:dateUtc="2025-07-21T11:19:00Z"/>
          <w:rFonts w:ascii="Times New Roman" w:hAnsi="Times New Roman" w:cs="Times New Roman"/>
        </w:rPr>
      </w:pPr>
      <w:ins w:id="265" w:author="jcb2271" w:date="2025-07-21T07:19:00Z" w16du:dateUtc="2025-07-21T11:19:00Z">
        <w:r w:rsidRPr="00A55161">
          <w:rPr>
            <w:rFonts w:ascii="Times New Roman" w:hAnsi="Times New Roman" w:cs="Times New Roman"/>
          </w:rPr>
          <w:lastRenderedPageBreak/>
          <w:t>Appendix A:</w:t>
        </w:r>
      </w:ins>
      <w:ins w:id="266" w:author="jcb2271" w:date="2025-07-21T07:23:00Z" w16du:dateUtc="2025-07-21T11:23:00Z">
        <w:r w:rsidR="00267D7F">
          <w:rPr>
            <w:rFonts w:ascii="Times New Roman" w:hAnsi="Times New Roman" w:cs="Times New Roman"/>
          </w:rPr>
          <w:t xml:space="preserve"> Description, full results, and visualization of stability analysis</w:t>
        </w:r>
      </w:ins>
    </w:p>
    <w:p w14:paraId="490E44B7" w14:textId="7062EBFE" w:rsidR="00A55161" w:rsidRDefault="00267D7F" w:rsidP="0080448E">
      <w:pPr>
        <w:spacing w:line="480" w:lineRule="auto"/>
        <w:ind w:firstLine="720"/>
        <w:rPr>
          <w:ins w:id="267" w:author="Borders, James" w:date="2025-07-22T17:29:00Z" w16du:dateUtc="2025-07-22T21:29:00Z"/>
          <w:rFonts w:ascii="Times New Roman" w:hAnsi="Times New Roman" w:cs="Times New Roman"/>
        </w:rPr>
      </w:pPr>
      <w:ins w:id="268" w:author="jcb2271" w:date="2025-07-21T07:24:00Z" w16du:dateUtc="2025-07-21T11:24:00Z">
        <w:r>
          <w:rPr>
            <w:rFonts w:ascii="Times New Roman" w:hAnsi="Times New Roman" w:cs="Times New Roman"/>
          </w:rPr>
          <w:t>An additional</w:t>
        </w:r>
      </w:ins>
      <w:ins w:id="269" w:author="jcb2271" w:date="2025-07-21T07:23:00Z" w16du:dateUtc="2025-07-21T11:23:00Z">
        <w:r>
          <w:rPr>
            <w:rFonts w:ascii="Times New Roman" w:hAnsi="Times New Roman" w:cs="Times New Roman"/>
          </w:rPr>
          <w:t xml:space="preserve"> stability analysis </w:t>
        </w:r>
      </w:ins>
      <w:ins w:id="270" w:author="jcb2271" w:date="2025-07-21T07:24:00Z" w16du:dateUtc="2025-07-21T11:24:00Z">
        <w:r>
          <w:rPr>
            <w:rFonts w:ascii="Times New Roman" w:hAnsi="Times New Roman" w:cs="Times New Roman"/>
          </w:rPr>
          <w:t>was performed to examine whether synthetic datasets maintained the statistical properties and relationships of the original dataset across multiple synthetic datasets. This approach involved generating 100 different synthetic datasets for each st</w:t>
        </w:r>
      </w:ins>
      <w:ins w:id="271" w:author="jcb2271" w:date="2025-07-21T07:25:00Z" w16du:dateUtc="2025-07-21T11:25:00Z">
        <w:r>
          <w:rPr>
            <w:rFonts w:ascii="Times New Roman" w:hAnsi="Times New Roman" w:cs="Times New Roman"/>
          </w:rPr>
          <w:t xml:space="preserve">udy’s original dataset. A </w:t>
        </w:r>
      </w:ins>
      <w:ins w:id="272" w:author="jcb2271" w:date="2025-07-21T07:23:00Z" w16du:dateUtc="2025-07-21T11:23:00Z">
        <w:r w:rsidRPr="00267D7F">
          <w:rPr>
            <w:rFonts w:ascii="Times New Roman" w:hAnsi="Times New Roman" w:cs="Times New Roman"/>
          </w:rPr>
          <w:t xml:space="preserve">statistical model </w:t>
        </w:r>
      </w:ins>
      <w:ins w:id="273" w:author="jcb2271" w:date="2025-07-21T07:25:00Z" w16du:dateUtc="2025-07-21T11:25:00Z">
        <w:r>
          <w:rPr>
            <w:rFonts w:ascii="Times New Roman" w:hAnsi="Times New Roman" w:cs="Times New Roman"/>
          </w:rPr>
          <w:t xml:space="preserve">was fit </w:t>
        </w:r>
      </w:ins>
      <w:ins w:id="274" w:author="jcb2271" w:date="2025-07-21T07:23:00Z" w16du:dateUtc="2025-07-21T11:23:00Z">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ins>
      <w:ins w:id="275" w:author="jcb2271" w:date="2025-07-21T07:25:00Z" w16du:dateUtc="2025-07-21T11:25:00Z">
        <w:r>
          <w:rPr>
            <w:rFonts w:ascii="Times New Roman" w:hAnsi="Times New Roman" w:cs="Times New Roman"/>
          </w:rPr>
          <w:t xml:space="preserve"> magnitude</w:t>
        </w:r>
      </w:ins>
      <w:ins w:id="276" w:author="jcb2271" w:date="2025-07-21T07:23:00Z" w16du:dateUtc="2025-07-21T11:23:00Z">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ins>
      <w:ins w:id="277" w:author="jcb2271" w:date="2025-07-21T07:25:00Z" w16du:dateUtc="2025-07-21T11:25:00Z">
        <w:r w:rsidR="00FF7561">
          <w:rPr>
            <w:rFonts w:ascii="Times New Roman" w:hAnsi="Times New Roman" w:cs="Times New Roman"/>
          </w:rPr>
          <w:t xml:space="preserve"> across multiple generations</w:t>
        </w:r>
      </w:ins>
      <w:ins w:id="278" w:author="jcb2271" w:date="2025-07-21T07:23:00Z" w16du:dateUtc="2025-07-21T11:23:00Z">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ins>
      <w:ins w:id="279" w:author="jcb2271" w:date="2025-07-21T07:26:00Z" w16du:dateUtc="2025-07-21T11:26:00Z">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ins>
    </w:p>
    <w:p w14:paraId="4E9A7426" w14:textId="77777777" w:rsidR="00F109ED" w:rsidRDefault="00F109ED" w:rsidP="00F109ED">
      <w:pPr>
        <w:spacing w:line="480" w:lineRule="auto"/>
        <w:ind w:firstLine="720"/>
        <w:rPr>
          <w:ins w:id="280" w:author="Borders, James" w:date="2025-07-22T17:30:00Z" w16du:dateUtc="2025-07-22T21:30:00Z"/>
          <w:rFonts w:ascii="Times New Roman" w:hAnsi="Times New Roman" w:cs="Times New Roman"/>
        </w:rPr>
      </w:pPr>
      <w:ins w:id="281" w:author="Borders, James" w:date="2025-07-22T17:30:00Z" w16du:dateUtc="2025-07-22T21:30:00Z">
        <w:r>
          <w:rPr>
            <w:rFonts w:ascii="Times New Roman" w:hAnsi="Times New Roman" w:cs="Times New Roman"/>
          </w:rPr>
          <w:t xml:space="preserve">Of note, two studies required additional considerations. </w:t>
        </w:r>
      </w:ins>
      <w:ins w:id="282" w:author="Borders, James" w:date="2025-07-22T17:29:00Z" w16du:dateUtc="2025-07-22T21:29:00Z">
        <w:r w:rsidRPr="00F109ED">
          <w:rPr>
            <w:rFonts w:ascii="Times New Roman" w:hAnsi="Times New Roman" w:cs="Times New Roman"/>
          </w:rPr>
          <w:t xml:space="preserve">Since Curtis et al. (2023) did not perform inferential statistical models, we directly compared each synthetic dataset to the original data with a zero-inflated beta multilevel model with the </w:t>
        </w:r>
        <w:proofErr w:type="spellStart"/>
        <w:r w:rsidRPr="00F109ED">
          <w:rPr>
            <w:rFonts w:ascii="Times New Roman" w:hAnsi="Times New Roman" w:cs="Times New Roman"/>
          </w:rPr>
          <w:t>gamlss</w:t>
        </w:r>
        <w:proofErr w:type="spellEnd"/>
        <w:r w:rsidRPr="00F109ED">
          <w:rPr>
            <w:rFonts w:ascii="Times New Roman" w:hAnsi="Times New Roman" w:cs="Times New Roman"/>
          </w:rPr>
          <w:t xml:space="preserve"> package (version 5.4.3) (Stasinopoulos &amp; Rigby, 2007), which included a fixed effect of dataset type and a random intercept of participant. The p-value from both zero-inflated and beta portions of the model were evaluated and p &lt; .05 was interpreted as no statistically significant difference between the synthetic and original dataset. </w:t>
        </w:r>
      </w:ins>
    </w:p>
    <w:p w14:paraId="724C2F0A" w14:textId="78CDE397" w:rsidR="0080448E" w:rsidRPr="00F109ED" w:rsidRDefault="00F109ED" w:rsidP="00F109ED">
      <w:pPr>
        <w:spacing w:line="480" w:lineRule="auto"/>
        <w:ind w:firstLine="720"/>
        <w:rPr>
          <w:ins w:id="283" w:author="jcb2271" w:date="2025-07-21T07:20:00Z" w16du:dateUtc="2025-07-21T11:20:00Z"/>
          <w:rFonts w:ascii="Times New Roman" w:hAnsi="Times New Roman" w:cs="Times New Roman"/>
        </w:rPr>
        <w:pPrChange w:id="284" w:author="Borders, James" w:date="2025-07-22T17:30:00Z" w16du:dateUtc="2025-07-22T21:30:00Z">
          <w:pPr>
            <w:spacing w:line="480" w:lineRule="auto"/>
          </w:pPr>
        </w:pPrChange>
      </w:pPr>
      <w:ins w:id="285" w:author="Borders, James" w:date="2025-07-22T17:29:00Z" w16du:dateUtc="2025-07-22T21:29:00Z">
        <w:r w:rsidRPr="00F109ED">
          <w:rPr>
            <w:rFonts w:ascii="Times New Roman" w:hAnsi="Times New Roman" w:cs="Times New Roman"/>
          </w:rPr>
          <w:lastRenderedPageBreak/>
          <w:t xml:space="preserve">Since </w:t>
        </w:r>
        <w:proofErr w:type="spellStart"/>
        <w:r w:rsidRPr="00F109ED">
          <w:rPr>
            <w:rFonts w:ascii="Times New Roman" w:hAnsi="Times New Roman" w:cs="Times New Roman"/>
          </w:rPr>
          <w:t>Robinaugh</w:t>
        </w:r>
        <w:proofErr w:type="spellEnd"/>
        <w:r w:rsidRPr="00F109ED">
          <w:rPr>
            <w:rFonts w:ascii="Times New Roman" w:hAnsi="Times New Roman" w:cs="Times New Roman"/>
          </w:rPr>
          <w:t xml:space="preserve"> et al. (2024) used a Bayesian analysis, we </w:t>
        </w:r>
      </w:ins>
      <w:ins w:id="286" w:author="Borders, James" w:date="2025-07-22T17:30:00Z" w16du:dateUtc="2025-07-22T21:30:00Z">
        <w:r>
          <w:rPr>
            <w:rFonts w:ascii="Times New Roman" w:hAnsi="Times New Roman" w:cs="Times New Roman"/>
          </w:rPr>
          <w:t xml:space="preserve">focused our analysis on the </w:t>
        </w:r>
      </w:ins>
      <w:ins w:id="287" w:author="Borders, James" w:date="2025-07-22T17:29:00Z" w16du:dateUtc="2025-07-22T21:29:00Z">
        <w:r w:rsidRPr="00F109ED">
          <w:rPr>
            <w:rFonts w:ascii="Times New Roman" w:hAnsi="Times New Roman" w:cs="Times New Roman"/>
          </w:rPr>
          <w:t>compar</w:t>
        </w:r>
      </w:ins>
      <w:ins w:id="288" w:author="Borders, James" w:date="2025-07-22T17:30:00Z" w16du:dateUtc="2025-07-22T21:30:00Z">
        <w:r>
          <w:rPr>
            <w:rFonts w:ascii="Times New Roman" w:hAnsi="Times New Roman" w:cs="Times New Roman"/>
          </w:rPr>
          <w:t>ison of unadjusted model estimates between</w:t>
        </w:r>
      </w:ins>
      <w:ins w:id="289" w:author="Borders, James" w:date="2025-07-22T17:29:00Z" w16du:dateUtc="2025-07-22T21:29:00Z">
        <w:r w:rsidRPr="00F109ED">
          <w:rPr>
            <w:rFonts w:ascii="Times New Roman" w:hAnsi="Times New Roman" w:cs="Times New Roman"/>
          </w:rPr>
          <w:t xml:space="preserve"> </w:t>
        </w:r>
      </w:ins>
      <w:ins w:id="290" w:author="Borders, James" w:date="2025-07-22T17:30:00Z" w16du:dateUtc="2025-07-22T21:30:00Z">
        <w:r>
          <w:rPr>
            <w:rFonts w:ascii="Times New Roman" w:hAnsi="Times New Roman" w:cs="Times New Roman"/>
          </w:rPr>
          <w:t xml:space="preserve">the </w:t>
        </w:r>
      </w:ins>
      <w:ins w:id="291" w:author="Borders, James" w:date="2025-07-22T17:29:00Z" w16du:dateUtc="2025-07-22T21:29:00Z">
        <w:r w:rsidRPr="00F109ED">
          <w:rPr>
            <w:rFonts w:ascii="Times New Roman" w:hAnsi="Times New Roman" w:cs="Times New Roman"/>
          </w:rPr>
          <w:t xml:space="preserve">synthetic </w:t>
        </w:r>
      </w:ins>
      <w:ins w:id="292" w:author="Borders, James" w:date="2025-07-22T17:30:00Z" w16du:dateUtc="2025-07-22T21:30:00Z">
        <w:r>
          <w:rPr>
            <w:rFonts w:ascii="Times New Roman" w:hAnsi="Times New Roman" w:cs="Times New Roman"/>
          </w:rPr>
          <w:t>and</w:t>
        </w:r>
      </w:ins>
      <w:ins w:id="293" w:author="Borders, James" w:date="2025-07-22T17:29:00Z" w16du:dateUtc="2025-07-22T21:29:00Z">
        <w:r w:rsidRPr="00F109ED">
          <w:rPr>
            <w:rFonts w:ascii="Times New Roman" w:hAnsi="Times New Roman" w:cs="Times New Roman"/>
          </w:rPr>
          <w:t xml:space="preserve"> original </w:t>
        </w:r>
      </w:ins>
      <w:ins w:id="294" w:author="Borders, James" w:date="2025-07-22T17:30:00Z" w16du:dateUtc="2025-07-22T21:30:00Z">
        <w:r>
          <w:rPr>
            <w:rFonts w:ascii="Times New Roman" w:hAnsi="Times New Roman" w:cs="Times New Roman"/>
          </w:rPr>
          <w:t>data</w:t>
        </w:r>
      </w:ins>
      <w:ins w:id="295" w:author="Borders, James" w:date="2025-07-22T17:29:00Z" w16du:dateUtc="2025-07-22T21:29:00Z">
        <w:r w:rsidRPr="00F109ED">
          <w:rPr>
            <w:rFonts w:ascii="Times New Roman" w:hAnsi="Times New Roman" w:cs="Times New Roman"/>
          </w:rPr>
          <w:t>.</w:t>
        </w:r>
      </w:ins>
      <w:ins w:id="296" w:author="Borders, James" w:date="2025-07-22T17:31:00Z" w16du:dateUtc="2025-07-22T21:31:00Z">
        <w:r>
          <w:rPr>
            <w:rFonts w:ascii="Times New Roman" w:hAnsi="Times New Roman" w:cs="Times New Roman"/>
          </w:rPr>
          <w:t xml:space="preserve"> No </w:t>
        </w:r>
        <w:r>
          <w:rPr>
            <w:rFonts w:ascii="Times New Roman" w:hAnsi="Times New Roman" w:cs="Times New Roman"/>
            <w:i/>
            <w:iCs/>
          </w:rPr>
          <w:t>p</w:t>
        </w:r>
        <w:r>
          <w:rPr>
            <w:rFonts w:ascii="Times New Roman" w:hAnsi="Times New Roman" w:cs="Times New Roman"/>
          </w:rPr>
          <w:t xml:space="preserve">-values are provided as this is not a component of </w:t>
        </w:r>
        <w:r w:rsidR="00415F0F">
          <w:rPr>
            <w:rFonts w:ascii="Times New Roman" w:hAnsi="Times New Roman" w:cs="Times New Roman"/>
          </w:rPr>
          <w:t xml:space="preserve">a </w:t>
        </w:r>
        <w:r>
          <w:rPr>
            <w:rFonts w:ascii="Times New Roman" w:hAnsi="Times New Roman" w:cs="Times New Roman"/>
          </w:rPr>
          <w:t xml:space="preserve">Bayesian statistical </w:t>
        </w:r>
        <w:r w:rsidR="00415F0F">
          <w:rPr>
            <w:rFonts w:ascii="Times New Roman" w:hAnsi="Times New Roman" w:cs="Times New Roman"/>
          </w:rPr>
          <w:t>framework</w:t>
        </w:r>
        <w:r>
          <w:rPr>
            <w:rFonts w:ascii="Times New Roman" w:hAnsi="Times New Roman" w:cs="Times New Roman"/>
          </w:rPr>
          <w:t>.</w:t>
        </w:r>
      </w:ins>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14"/>
        <w:gridCol w:w="2304"/>
        <w:gridCol w:w="784"/>
        <w:gridCol w:w="720"/>
        <w:gridCol w:w="1300"/>
        <w:gridCol w:w="651"/>
        <w:gridCol w:w="1067"/>
        <w:gridCol w:w="1565"/>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Elsherif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Novotný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Battal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1A64440" w:rsidR="00370626" w:rsidRPr="00A55161" w:rsidRDefault="00411274" w:rsidP="00A55161">
            <w:pPr>
              <w:rPr>
                <w:rFonts w:ascii="Times New Roman" w:hAnsi="Times New Roman" w:cs="Times New Roman"/>
              </w:rPr>
            </w:pPr>
            <w:proofErr w:type="spellStart"/>
            <w:ins w:id="297" w:author="Borders, James" w:date="2025-07-22T17:28:00Z" w16du:dateUtc="2025-07-22T21:28:00Z">
              <w:r>
                <w:rPr>
                  <w:rFonts w:ascii="Times New Roman" w:hAnsi="Times New Roman" w:cs="Times New Roman"/>
                </w:rPr>
                <w:t>Robinaugh</w:t>
              </w:r>
              <w:proofErr w:type="spellEnd"/>
              <w:r>
                <w:rPr>
                  <w:rFonts w:ascii="Times New Roman" w:hAnsi="Times New Roman" w:cs="Times New Roman"/>
                </w:rPr>
                <w:t xml:space="preserve"> et al. (2024)</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078EB62C" w:rsidR="00370626" w:rsidRPr="00A55161" w:rsidRDefault="00411274" w:rsidP="00A55161">
            <w:pPr>
              <w:rPr>
                <w:rFonts w:ascii="Times New Roman" w:hAnsi="Times New Roman" w:cs="Times New Roman"/>
              </w:rPr>
            </w:pPr>
            <w:ins w:id="298" w:author="Borders, James" w:date="2025-07-22T17:28:00Z" w16du:dateUtc="2025-07-22T21:28:00Z">
              <w:r>
                <w:rPr>
                  <w:rFonts w:ascii="Times New Roman" w:hAnsi="Times New Roman" w:cs="Times New Roman"/>
                </w:rPr>
                <w:t>1</w:t>
              </w:r>
            </w:ins>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1F6EE7AC" w:rsidR="00370626" w:rsidRPr="00A55161" w:rsidRDefault="00411274" w:rsidP="00A55161">
            <w:pPr>
              <w:rPr>
                <w:rFonts w:ascii="Times New Roman" w:hAnsi="Times New Roman" w:cs="Times New Roman"/>
              </w:rPr>
            </w:pPr>
            <w:ins w:id="299" w:author="Borders, James" w:date="2025-07-22T17:28:00Z" w16du:dateUtc="2025-07-22T21:28:00Z">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1610D8D0" w:rsidR="00370626" w:rsidRPr="00A55161" w:rsidRDefault="00411274" w:rsidP="00A55161">
            <w:pPr>
              <w:rPr>
                <w:rFonts w:ascii="Times New Roman" w:hAnsi="Times New Roman" w:cs="Times New Roman"/>
              </w:rPr>
            </w:pPr>
            <w:ins w:id="300" w:author="Borders, James" w:date="2025-07-22T17:28:00Z" w16du:dateUtc="2025-07-22T21:28:00Z">
              <w:r>
                <w:rPr>
                  <w:rFonts w:ascii="Times New Roman" w:hAnsi="Times New Roman" w:cs="Times New Roman"/>
                </w:rPr>
                <w:t>Unadjusted model estimate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17EEE3B7" w:rsidR="00370626" w:rsidRPr="00A55161" w:rsidRDefault="00411274" w:rsidP="00A55161">
            <w:pPr>
              <w:rPr>
                <w:rFonts w:ascii="Times New Roman" w:hAnsi="Times New Roman" w:cs="Times New Roman"/>
              </w:rPr>
            </w:pPr>
            <w:ins w:id="301" w:author="Borders, James" w:date="2025-07-22T17:28:00Z" w16du:dateUtc="2025-07-22T21:28:00Z">
              <w:r>
                <w:rPr>
                  <w:rFonts w:ascii="Times New Roman" w:hAnsi="Times New Roman" w:cs="Times New Roman"/>
                </w:rPr>
                <w:t>35</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466A4C49" w:rsidR="00370626" w:rsidRPr="00A55161" w:rsidRDefault="00411274" w:rsidP="00A55161">
            <w:pPr>
              <w:rPr>
                <w:rFonts w:ascii="Times New Roman" w:hAnsi="Times New Roman" w:cs="Times New Roman"/>
              </w:rPr>
            </w:pPr>
            <w:ins w:id="302" w:author="Borders, James" w:date="2025-07-22T17:28:00Z" w16du:dateUtc="2025-07-22T21:28:00Z">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2BACB4A" w:rsidR="00370626" w:rsidRPr="00A55161" w:rsidRDefault="00411274" w:rsidP="00A55161">
            <w:pPr>
              <w:rPr>
                <w:rFonts w:ascii="Times New Roman" w:hAnsi="Times New Roman" w:cs="Times New Roman"/>
              </w:rPr>
            </w:pPr>
            <w:ins w:id="303" w:author="Borders, James" w:date="2025-07-22T17:28:00Z" w16du:dateUtc="2025-07-22T21:28:00Z">
              <w:r>
                <w:rPr>
                  <w:rFonts w:ascii="Times New Roman" w:hAnsi="Times New Roman" w:cs="Times New Roman"/>
                </w:rPr>
                <w:t>N/A</w:t>
              </w:r>
            </w:ins>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Chanchaochai</w:t>
            </w:r>
            <w:proofErr w:type="spellEnd"/>
            <w:r w:rsidRPr="00A55161">
              <w:rPr>
                <w:rFonts w:ascii="Times New Roman" w:hAnsi="Times New Roman" w:cs="Times New Roman"/>
              </w:rPr>
              <w:t xml:space="preserve">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52022BE1" w:rsidR="00A55161" w:rsidRPr="00411274" w:rsidRDefault="00411274" w:rsidP="00A55161">
      <w:pPr>
        <w:rPr>
          <w:ins w:id="304" w:author="Borders, James" w:date="2025-07-22T17:28:00Z" w16du:dateUtc="2025-07-22T21:28:00Z"/>
          <w:rFonts w:ascii="Times New Roman" w:hAnsi="Times New Roman" w:cs="Times New Roman"/>
        </w:rPr>
      </w:pPr>
      <w:ins w:id="305" w:author="Borders, James" w:date="2025-07-22T17:28:00Z" w16du:dateUtc="2025-07-22T21:28:00Z">
        <w:r>
          <w:rPr>
            <w:rFonts w:ascii="Times New Roman" w:hAnsi="Times New Roman" w:cs="Times New Roman"/>
          </w:rPr>
          <w:t>N/A: Not applicable.</w:t>
        </w:r>
      </w:ins>
    </w:p>
    <w:p w14:paraId="1D268CC0" w14:textId="77777777" w:rsidR="00411274" w:rsidRPr="00A55161" w:rsidRDefault="00411274" w:rsidP="00A55161">
      <w:pPr>
        <w:rPr>
          <w:ins w:id="306" w:author="jcb2271" w:date="2025-07-21T07:20:00Z"/>
          <w:rFonts w:ascii="Times New Roman" w:hAnsi="Times New Roman" w:cs="Times New Roman"/>
        </w:rPr>
      </w:pPr>
    </w:p>
    <w:p w14:paraId="2C40864A" w14:textId="09897B26" w:rsidR="00E666E4" w:rsidRDefault="00E666E4">
      <w:pPr>
        <w:rPr>
          <w:ins w:id="307" w:author="jcb2271" w:date="2025-07-21T07:26:00Z" w16du:dateUtc="2025-07-21T11:26:00Z"/>
          <w:rFonts w:ascii="Times New Roman" w:hAnsi="Times New Roman" w:cs="Times New Roman"/>
        </w:rPr>
      </w:pPr>
      <w:ins w:id="308" w:author="jcb2271" w:date="2025-07-21T07:26:00Z" w16du:dateUtc="2025-07-21T11:26:00Z">
        <w:r>
          <w:rPr>
            <w:rFonts w:ascii="Times New Roman" w:hAnsi="Times New Roman" w:cs="Times New Roman"/>
          </w:rPr>
          <w:t>Appendix Figure 1: XXX</w:t>
        </w:r>
      </w:ins>
    </w:p>
    <w:p w14:paraId="20FB3516" w14:textId="6DFFAAFE" w:rsidR="00E666E4" w:rsidRDefault="0050314A">
      <w:pPr>
        <w:rPr>
          <w:ins w:id="309" w:author="Borders, James" w:date="2025-07-22T17:31:00Z" w16du:dateUtc="2025-07-22T21:31:00Z"/>
          <w:rFonts w:ascii="Times New Roman" w:hAnsi="Times New Roman" w:cs="Times New Roman"/>
        </w:rPr>
      </w:pPr>
      <w:ins w:id="310" w:author="Borders, James" w:date="2025-07-22T17:31:00Z" w16du:dateUtc="2025-07-22T21:31:00Z">
        <w:r>
          <w:rPr>
            <w:rFonts w:ascii="Times New Roman" w:hAnsi="Times New Roman" w:cs="Times New Roman"/>
            <w:noProof/>
          </w:rPr>
          <w:lastRenderedPageBreak/>
          <w:drawing>
            <wp:inline distT="0" distB="0" distL="0" distR="0" wp14:anchorId="044FD5B4" wp14:editId="280BCA42">
              <wp:extent cx="3751042" cy="3751042"/>
              <wp:effectExtent l="0" t="0" r="0" b="0"/>
              <wp:docPr id="64030065"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0065" name="Picture 1" descr="A group of graphs showing different types of data&#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3329" cy="3753329"/>
                      </a:xfrm>
                      <a:prstGeom prst="rect">
                        <a:avLst/>
                      </a:prstGeom>
                    </pic:spPr>
                  </pic:pic>
                </a:graphicData>
              </a:graphic>
            </wp:inline>
          </w:drawing>
        </w:r>
      </w:ins>
    </w:p>
    <w:p w14:paraId="26D3E09C" w14:textId="481E3445" w:rsidR="0050314A" w:rsidRPr="0050314A" w:rsidRDefault="0050314A">
      <w:pPr>
        <w:rPr>
          <w:ins w:id="311" w:author="Borders, James" w:date="2025-07-22T17:31:00Z" w16du:dateUtc="2025-07-22T21:31:00Z"/>
          <w:rFonts w:ascii="Times New Roman" w:hAnsi="Times New Roman" w:cs="Times New Roman"/>
          <w:i/>
          <w:iCs/>
          <w:rPrChange w:id="312" w:author="Borders, James" w:date="2025-07-22T17:32:00Z" w16du:dateUtc="2025-07-22T21:32:00Z">
            <w:rPr>
              <w:ins w:id="313" w:author="Borders, James" w:date="2025-07-22T17:31:00Z" w16du:dateUtc="2025-07-22T21:31:00Z"/>
              <w:rFonts w:ascii="Times New Roman" w:hAnsi="Times New Roman" w:cs="Times New Roman"/>
            </w:rPr>
          </w:rPrChange>
        </w:rPr>
      </w:pPr>
      <w:ins w:id="314" w:author="Borders, James" w:date="2025-07-22T17:32:00Z" w16du:dateUtc="2025-07-22T21:32:00Z">
        <w:r>
          <w:rPr>
            <w:rFonts w:ascii="Times New Roman" w:hAnsi="Times New Roman" w:cs="Times New Roman"/>
            <w:i/>
            <w:iCs/>
          </w:rPr>
          <w:t>Note that the domain of Receptive and Expressive Language refers to Kearney et al. (2023).</w:t>
        </w:r>
      </w:ins>
    </w:p>
    <w:p w14:paraId="252A21A0" w14:textId="77777777" w:rsidR="00082518" w:rsidRDefault="00082518">
      <w:pPr>
        <w:rPr>
          <w:ins w:id="315" w:author="jcb2271" w:date="2025-07-21T07:26:00Z" w16du:dateUtc="2025-07-21T11:26:00Z"/>
          <w:rFonts w:ascii="Times New Roman" w:hAnsi="Times New Roman" w:cs="Times New Roman"/>
        </w:rPr>
      </w:pPr>
    </w:p>
    <w:p w14:paraId="449D4525" w14:textId="246928CD" w:rsidR="001D40C6" w:rsidRPr="00A55161" w:rsidRDefault="00E666E4">
      <w:pPr>
        <w:rPr>
          <w:rFonts w:ascii="Times New Roman" w:hAnsi="Times New Roman" w:cs="Times New Roman"/>
        </w:rPr>
      </w:pPr>
      <w:ins w:id="316" w:author="jcb2271" w:date="2025-07-21T07:26:00Z" w16du:dateUtc="2025-07-21T11:26:00Z">
        <w:r>
          <w:rPr>
            <w:rFonts w:ascii="Times New Roman" w:hAnsi="Times New Roman" w:cs="Times New Roman"/>
          </w:rPr>
          <w:t>Appendix Figure 2: XXX</w:t>
        </w:r>
      </w:ins>
      <w:r w:rsidRPr="00A55161">
        <w:rPr>
          <w:rFonts w:ascii="Times New Roman" w:hAnsi="Times New Roman" w:cs="Times New Roman"/>
        </w:rPr>
        <w:br w:type="page"/>
      </w:r>
    </w:p>
    <w:p w14:paraId="60727FDF" w14:textId="77777777" w:rsidR="001D40C6" w:rsidRPr="00A55161" w:rsidRDefault="00000000">
      <w:pPr>
        <w:pStyle w:val="Heading1"/>
      </w:pPr>
      <w:bookmarkStart w:id="317" w:name="acknowledgements"/>
      <w:bookmarkEnd w:id="198"/>
      <w:bookmarkEnd w:id="256"/>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pPr>
        <w:pStyle w:val="BodyText"/>
        <w:ind w:firstLine="0"/>
        <w:pPrChange w:id="318" w:author="jcb2271" w:date="2025-07-14T14:02:00Z" w16du:dateUtc="2025-07-14T18:02:00Z">
          <w:pPr>
            <w:pStyle w:val="BodyText"/>
          </w:pPr>
        </w:pPrChange>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pPr>
        <w:pStyle w:val="BodyText"/>
        <w:ind w:firstLine="0"/>
        <w:pPrChange w:id="319" w:author="jcb2271" w:date="2025-07-14T14:02:00Z" w16du:dateUtc="2025-07-14T18:02:00Z">
          <w:pPr>
            <w:pStyle w:val="BodyText"/>
          </w:pPr>
        </w:pPrChange>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320" w:name="references"/>
      <w:bookmarkEnd w:id="317"/>
      <w:r w:rsidRPr="00A55161">
        <w:lastRenderedPageBreak/>
        <w:t>References</w:t>
      </w:r>
    </w:p>
    <w:p w14:paraId="2F4ECDD4" w14:textId="77777777" w:rsidR="001D40C6" w:rsidRPr="00A55161" w:rsidRDefault="00000000">
      <w:pPr>
        <w:pStyle w:val="Bibliography"/>
        <w:rPr>
          <w:rFonts w:cs="Times New Roman"/>
        </w:rPr>
      </w:pPr>
      <w:bookmarkStart w:id="321" w:name="ref-audigier_etal18"/>
      <w:bookmarkStart w:id="322" w:name="refs"/>
      <w:proofErr w:type="spellStart"/>
      <w:r w:rsidRPr="00A55161">
        <w:rPr>
          <w:rFonts w:cs="Times New Roman"/>
        </w:rPr>
        <w:t>Audigier</w:t>
      </w:r>
      <w:proofErr w:type="spellEnd"/>
      <w:r w:rsidRPr="00A55161">
        <w:rPr>
          <w:rFonts w:cs="Times New Roman"/>
        </w:rPr>
        <w:t xml:space="preserve">, V., White, I. R., Jolani, S., Debray, T. P., </w:t>
      </w:r>
      <w:proofErr w:type="spellStart"/>
      <w:r w:rsidRPr="00A55161">
        <w:rPr>
          <w:rFonts w:cs="Times New Roman"/>
        </w:rPr>
        <w:t>Quartagno</w:t>
      </w:r>
      <w:proofErr w:type="spellEnd"/>
      <w:r w:rsidRPr="00A55161">
        <w:rPr>
          <w:rFonts w:cs="Times New Roman"/>
        </w:rPr>
        <w:t xml:space="preserve">, M., Carpenter, J., Van Buuren, S., &amp; </w:t>
      </w:r>
      <w:proofErr w:type="spellStart"/>
      <w:r w:rsidRPr="00A55161">
        <w:rPr>
          <w:rFonts w:cs="Times New Roman"/>
        </w:rPr>
        <w:t>Resche</w:t>
      </w:r>
      <w:proofErr w:type="spellEnd"/>
      <w:r w:rsidRPr="00A55161">
        <w:rPr>
          <w:rFonts w:cs="Times New Roman"/>
        </w:rPr>
        <w:t xml:space="preserve">-Rigon, M. (2018). </w:t>
      </w:r>
      <w:r w:rsidRPr="00A55161">
        <w:rPr>
          <w:rFonts w:cs="Times New Roman"/>
          <w:i/>
          <w:iCs/>
        </w:rPr>
        <w:t>Multiple imputation for multilevel data with continuous and binary variables</w:t>
      </w:r>
      <w:r w:rsidRPr="00A55161">
        <w:rPr>
          <w:rFonts w:cs="Times New Roman"/>
        </w:rPr>
        <w:t xml:space="preserve">. </w:t>
      </w:r>
      <w:hyperlink r:id="rId8">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323" w:name="ref-battal_etal19"/>
      <w:bookmarkEnd w:id="321"/>
      <w:r w:rsidRPr="00A55161">
        <w:rPr>
          <w:rFonts w:cs="Times New Roman"/>
        </w:rPr>
        <w:t xml:space="preserve">Battal, C., </w:t>
      </w:r>
      <w:proofErr w:type="spellStart"/>
      <w:r w:rsidRPr="00A55161">
        <w:rPr>
          <w:rFonts w:cs="Times New Roman"/>
        </w:rPr>
        <w:t>Occelli</w:t>
      </w:r>
      <w:proofErr w:type="spellEnd"/>
      <w:r w:rsidRPr="00A55161">
        <w:rPr>
          <w:rFonts w:cs="Times New Roman"/>
        </w:rPr>
        <w:t xml:space="preserve">, V., </w:t>
      </w:r>
      <w:proofErr w:type="spellStart"/>
      <w:r w:rsidRPr="00A55161">
        <w:rPr>
          <w:rFonts w:cs="Times New Roman"/>
        </w:rPr>
        <w:t>Bertonati</w:t>
      </w:r>
      <w:proofErr w:type="spellEnd"/>
      <w:r w:rsidRPr="00A55161">
        <w:rPr>
          <w:rFonts w:cs="Times New Roman"/>
        </w:rPr>
        <w:t xml:space="preserve">, G., </w:t>
      </w:r>
      <w:proofErr w:type="spellStart"/>
      <w:r w:rsidRPr="00A55161">
        <w:rPr>
          <w:rFonts w:cs="Times New Roman"/>
        </w:rPr>
        <w:t>Falagiarda</w:t>
      </w:r>
      <w:proofErr w:type="spellEnd"/>
      <w:r w:rsidRPr="00A55161">
        <w:rPr>
          <w:rFonts w:cs="Times New Roman"/>
        </w:rPr>
        <w:t xml:space="preserve">,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9">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324" w:name="ref-borders_etal22a"/>
      <w:bookmarkEnd w:id="323"/>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10">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325" w:name="ref-chanchaochai_schwarz23"/>
      <w:bookmarkEnd w:id="324"/>
      <w:proofErr w:type="spellStart"/>
      <w:r w:rsidRPr="00A55161">
        <w:rPr>
          <w:rFonts w:cs="Times New Roman"/>
        </w:rPr>
        <w:t>Chanchaochai</w:t>
      </w:r>
      <w:proofErr w:type="spellEnd"/>
      <w:r w:rsidRPr="00A55161">
        <w:rPr>
          <w:rFonts w:cs="Times New Roman"/>
        </w:rPr>
        <w:t xml:space="preserve">,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1">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326" w:name="ref-chow_etal23"/>
      <w:bookmarkEnd w:id="325"/>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Journal of Speech, Language, and Hearing Research</w:t>
      </w:r>
      <w:r w:rsidRPr="00A55161">
        <w:rPr>
          <w:rFonts w:cs="Times New Roman"/>
        </w:rPr>
        <w:t xml:space="preserve">. </w:t>
      </w:r>
      <w:hyperlink r:id="rId12">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327" w:name="ref-clough_etal23"/>
      <w:bookmarkEnd w:id="326"/>
      <w:r w:rsidRPr="00A55161">
        <w:rPr>
          <w:rFonts w:cs="Times New Roman"/>
        </w:rPr>
        <w:lastRenderedPageBreak/>
        <w:t xml:space="preserve">Clough, S., Morrow, E., Mutlu, B., </w:t>
      </w:r>
      <w:proofErr w:type="spellStart"/>
      <w:r w:rsidRPr="00A55161">
        <w:rPr>
          <w:rFonts w:cs="Times New Roman"/>
        </w:rPr>
        <w:t>Turkstra</w:t>
      </w:r>
      <w:proofErr w:type="spellEnd"/>
      <w:r w:rsidRPr="00A55161">
        <w:rPr>
          <w:rFonts w:cs="Times New Roman"/>
        </w:rPr>
        <w:t xml:space="preserve">,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3">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328" w:name="ref-curtis_etal23a"/>
      <w:bookmarkEnd w:id="327"/>
      <w:r w:rsidRPr="00A55161">
        <w:rPr>
          <w:rFonts w:cs="Times New Roman"/>
        </w:rPr>
        <w:t xml:space="preserve">Curtis, J. A., Borders, J. C., Dakin, A. E., &amp; Troche, M. S. (2023). Normative Reference Values for FEES and VASES: Preliminary Data From 39 </w:t>
      </w:r>
      <w:proofErr w:type="spellStart"/>
      <w:r w:rsidRPr="00A55161">
        <w:rPr>
          <w:rFonts w:cs="Times New Roman"/>
        </w:rPr>
        <w:t>Nondysphagic</w:t>
      </w:r>
      <w:proofErr w:type="spellEnd"/>
      <w:r w:rsidRPr="00A55161">
        <w:rPr>
          <w:rFonts w:cs="Times New Roman"/>
        </w:rPr>
        <w:t xml:space="preserve">, Community-Dwelling Adults. </w:t>
      </w:r>
      <w:r w:rsidRPr="00A55161">
        <w:rPr>
          <w:rFonts w:cs="Times New Roman"/>
          <w:i/>
          <w:iCs/>
        </w:rPr>
        <w:t>Journal of Speech, Language, and Hearing Research</w:t>
      </w:r>
      <w:r w:rsidRPr="00A55161">
        <w:rPr>
          <w:rFonts w:cs="Times New Roman"/>
        </w:rPr>
        <w:t xml:space="preserve">. </w:t>
      </w:r>
      <w:hyperlink r:id="rId14">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329" w:name="ref-drechsler_haensch24"/>
      <w:bookmarkEnd w:id="328"/>
      <w:r w:rsidRPr="00A55161">
        <w:rPr>
          <w:rFonts w:cs="Times New Roman"/>
        </w:rPr>
        <w:t xml:space="preserve">Drechsler, J., &amp; </w:t>
      </w:r>
      <w:proofErr w:type="spellStart"/>
      <w:r w:rsidRPr="00A55161">
        <w:rPr>
          <w:rFonts w:cs="Times New Roman"/>
        </w:rPr>
        <w:t>Haensch</w:t>
      </w:r>
      <w:proofErr w:type="spellEnd"/>
      <w:r w:rsidRPr="00A55161">
        <w:rPr>
          <w:rFonts w:cs="Times New Roman"/>
        </w:rPr>
        <w:t xml:space="preserve">,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5">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330" w:name="ref-elamin_etal23"/>
      <w:bookmarkEnd w:id="329"/>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6">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331" w:name="ref-elsherif_etal21"/>
      <w:bookmarkEnd w:id="330"/>
      <w:r w:rsidRPr="00A55161">
        <w:rPr>
          <w:rFonts w:cs="Times New Roman"/>
        </w:rPr>
        <w:t xml:space="preserve">Elsherif,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7">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332" w:name="ref-gaeta_brydges20"/>
      <w:bookmarkEnd w:id="331"/>
      <w:r w:rsidRPr="00A55161">
        <w:rPr>
          <w:rFonts w:cs="Times New Roman"/>
        </w:rPr>
        <w:t xml:space="preserve">Gaeta, L., &amp; Brydges,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8">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333" w:name="ref-gauvin21"/>
      <w:bookmarkEnd w:id="332"/>
      <w:r w:rsidRPr="00A55161">
        <w:rPr>
          <w:rFonts w:cs="Times New Roman"/>
        </w:rPr>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334" w:name="ref-jarmin_etal14a"/>
      <w:bookmarkEnd w:id="333"/>
      <w:r w:rsidRPr="00A55161">
        <w:rPr>
          <w:rFonts w:cs="Times New Roman"/>
        </w:rPr>
        <w:lastRenderedPageBreak/>
        <w:t xml:space="preserve">Jarmin,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19">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335" w:name="ref-kearney_etal23"/>
      <w:bookmarkEnd w:id="334"/>
      <w:r w:rsidRPr="00A55161">
        <w:rPr>
          <w:rFonts w:cs="Times New Roman"/>
        </w:rPr>
        <w:t xml:space="preserve">Kearney, E., </w:t>
      </w:r>
      <w:proofErr w:type="spellStart"/>
      <w:r w:rsidRPr="00A55161">
        <w:rPr>
          <w:rFonts w:cs="Times New Roman"/>
        </w:rPr>
        <w:t>Brownsett</w:t>
      </w:r>
      <w:proofErr w:type="spellEnd"/>
      <w:r w:rsidRPr="00A55161">
        <w:rPr>
          <w:rFonts w:cs="Times New Roman"/>
        </w:rPr>
        <w:t xml:space="preserve">, S. L., Copland, D. A., Drummond, K. J., Jeffree, R. L., Olson, S., Murton, E., Ong, B., Robinson, G. A., &amp; </w:t>
      </w:r>
      <w:proofErr w:type="spellStart"/>
      <w:r w:rsidRPr="00A55161">
        <w:rPr>
          <w:rFonts w:cs="Times New Roman"/>
        </w:rPr>
        <w:t>Tolkacheva</w:t>
      </w:r>
      <w:proofErr w:type="spellEnd"/>
      <w:r w:rsidRPr="00A55161">
        <w:rPr>
          <w:rFonts w:cs="Times New Roman"/>
        </w:rPr>
        <w:t xml:space="preserve">, V. (2023). Relationships between reading performance and regional spontaneous brain activity following surgical removal of primary left-hemisphere tumors: A resting-state fMRI study. </w:t>
      </w:r>
      <w:proofErr w:type="spellStart"/>
      <w:r w:rsidRPr="00A55161">
        <w:rPr>
          <w:rFonts w:cs="Times New Roman"/>
          <w:i/>
          <w:iCs/>
        </w:rPr>
        <w:t>Neuropsychologia</w:t>
      </w:r>
      <w:proofErr w:type="spellEnd"/>
      <w:r w:rsidRPr="00A55161">
        <w:rPr>
          <w:rFonts w:cs="Times New Roman"/>
        </w:rPr>
        <w:t xml:space="preserve">, </w:t>
      </w:r>
      <w:r w:rsidRPr="00A55161">
        <w:rPr>
          <w:rFonts w:cs="Times New Roman"/>
          <w:i/>
          <w:iCs/>
        </w:rPr>
        <w:t>188</w:t>
      </w:r>
      <w:r w:rsidRPr="00A55161">
        <w:rPr>
          <w:rFonts w:cs="Times New Roman"/>
        </w:rPr>
        <w:t xml:space="preserve">, 108631. </w:t>
      </w:r>
      <w:hyperlink r:id="rId20">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336" w:name="ref-king_etal22"/>
      <w:bookmarkEnd w:id="335"/>
      <w:r w:rsidRPr="00A55161">
        <w:rPr>
          <w:rFonts w:cs="Times New Roman"/>
        </w:rPr>
        <w:t xml:space="preserve">King, M., Ward, H., Soto, G., &amp; Barrett, T. S. (2022). Supporting Emergent Bilinguals Who Use Augmentative and Alternative Communication and Their Families: Lessons in </w:t>
      </w:r>
      <w:proofErr w:type="spellStart"/>
      <w:r w:rsidRPr="00A55161">
        <w:rPr>
          <w:rFonts w:cs="Times New Roman"/>
        </w:rPr>
        <w:t>Telepractice</w:t>
      </w:r>
      <w:proofErr w:type="spellEnd"/>
      <w:r w:rsidRPr="00A55161">
        <w:rPr>
          <w:rFonts w:cs="Times New Roman"/>
        </w:rPr>
        <w:t xml:space="preserv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1">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337" w:name="ref-latner_etal24"/>
      <w:bookmarkEnd w:id="336"/>
      <w:r w:rsidRPr="00A55161">
        <w:rPr>
          <w:rFonts w:cs="Times New Roman"/>
        </w:rPr>
        <w:t xml:space="preserve">Latner, J., </w:t>
      </w:r>
      <w:proofErr w:type="spellStart"/>
      <w:r w:rsidRPr="00A55161">
        <w:rPr>
          <w:rFonts w:cs="Times New Roman"/>
        </w:rPr>
        <w:t>Neunhoeffer</w:t>
      </w:r>
      <w:proofErr w:type="spellEnd"/>
      <w:r w:rsidRPr="00A55161">
        <w:rPr>
          <w:rFonts w:cs="Times New Roman"/>
        </w:rPr>
        <w:t xml:space="preserve">, M., &amp; Drechsler, J. (2024). Generating Synthetic Data is Complicated: Know Your Data and Know Your Generator. In J. Domingo-Ferrer &amp; M. Önen (Eds.), </w:t>
      </w:r>
      <w:r w:rsidRPr="00A55161">
        <w:rPr>
          <w:rFonts w:cs="Times New Roman"/>
          <w:i/>
          <w:iCs/>
        </w:rPr>
        <w:t>Privacy in Statistical Databases</w:t>
      </w:r>
      <w:r w:rsidRPr="00A55161">
        <w:rPr>
          <w:rFonts w:cs="Times New Roman"/>
        </w:rPr>
        <w:t xml:space="preserve"> (Vol. 14915, pp. 115–128). Springer Nature Switzerland. </w:t>
      </w:r>
      <w:hyperlink r:id="rId22">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338" w:name="ref-matthews_harel11"/>
      <w:bookmarkEnd w:id="337"/>
      <w:r w:rsidRPr="00A55161">
        <w:rPr>
          <w:rFonts w:cs="Times New Roman"/>
        </w:rPr>
        <w:t xml:space="preserve">Matthews, G. J., &amp; Harel,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3">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339" w:name="ref-novotny_etal16"/>
      <w:bookmarkEnd w:id="338"/>
      <w:r w:rsidRPr="00A55161">
        <w:rPr>
          <w:rFonts w:cs="Times New Roman"/>
        </w:rPr>
        <w:lastRenderedPageBreak/>
        <w:t xml:space="preserve">Novotný, M., Rusz, J., </w:t>
      </w:r>
      <w:proofErr w:type="spellStart"/>
      <w:r w:rsidRPr="00A55161">
        <w:rPr>
          <w:rFonts w:cs="Times New Roman"/>
        </w:rPr>
        <w:t>Čmejla</w:t>
      </w:r>
      <w:proofErr w:type="spellEnd"/>
      <w:r w:rsidRPr="00A55161">
        <w:rPr>
          <w:rFonts w:cs="Times New Roman"/>
        </w:rPr>
        <w:t xml:space="preserve">, R., Růžičková, H., </w:t>
      </w:r>
      <w:proofErr w:type="spellStart"/>
      <w:r w:rsidRPr="00A55161">
        <w:rPr>
          <w:rFonts w:cs="Times New Roman"/>
        </w:rPr>
        <w:t>Klempíř</w:t>
      </w:r>
      <w:proofErr w:type="spellEnd"/>
      <w:r w:rsidRPr="00A55161">
        <w:rPr>
          <w:rFonts w:cs="Times New Roman"/>
        </w:rPr>
        <w:t xml:space="preserve">, J., &amp; Růžička, E. (2016). Hypernasality associated with basal ganglia dysfunction: Evidence from Parkinson’s disease and Huntington’s disease. </w:t>
      </w:r>
      <w:proofErr w:type="spellStart"/>
      <w:r w:rsidRPr="00A55161">
        <w:rPr>
          <w:rFonts w:cs="Times New Roman"/>
          <w:i/>
          <w:iCs/>
        </w:rPr>
        <w:t>PeerJ</w:t>
      </w:r>
      <w:proofErr w:type="spellEnd"/>
      <w:r w:rsidRPr="00A55161">
        <w:rPr>
          <w:rFonts w:cs="Times New Roman"/>
        </w:rPr>
        <w:t xml:space="preserve">, </w:t>
      </w:r>
      <w:r w:rsidRPr="00A55161">
        <w:rPr>
          <w:rFonts w:cs="Times New Roman"/>
          <w:i/>
          <w:iCs/>
        </w:rPr>
        <w:t>4</w:t>
      </w:r>
      <w:r w:rsidRPr="00A55161">
        <w:rPr>
          <w:rFonts w:cs="Times New Roman"/>
        </w:rPr>
        <w:t xml:space="preserve">, e2530. </w:t>
      </w:r>
      <w:hyperlink r:id="rId24">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340" w:name="ref-nowok_etal16"/>
      <w:bookmarkEnd w:id="339"/>
      <w:proofErr w:type="spellStart"/>
      <w:r w:rsidRPr="00A55161">
        <w:rPr>
          <w:rFonts w:cs="Times New Roman"/>
        </w:rPr>
        <w:t>Nowok</w:t>
      </w:r>
      <w:proofErr w:type="spellEnd"/>
      <w:r w:rsidRPr="00A55161">
        <w:rPr>
          <w:rFonts w:cs="Times New Roman"/>
        </w:rPr>
        <w:t xml:space="preserve">,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5">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341" w:name="ref-obels_etal20a"/>
      <w:bookmarkEnd w:id="340"/>
      <w:r w:rsidRPr="00A55161">
        <w:rPr>
          <w:rFonts w:cs="Times New Roman"/>
        </w:rPr>
        <w:t xml:space="preserve">Obels, P., </w:t>
      </w:r>
      <w:proofErr w:type="spellStart"/>
      <w:r w:rsidRPr="00A55161">
        <w:rPr>
          <w:rFonts w:cs="Times New Roman"/>
        </w:rPr>
        <w:t>Lakens</w:t>
      </w:r>
      <w:proofErr w:type="spellEnd"/>
      <w:r w:rsidRPr="00A55161">
        <w:rPr>
          <w:rFonts w:cs="Times New Roman"/>
        </w:rPr>
        <w:t xml:space="preserve">,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6">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342" w:name="ref-peikert_etal21a"/>
      <w:bookmarkEnd w:id="341"/>
      <w:r w:rsidRPr="00A55161">
        <w:rPr>
          <w:rFonts w:cs="Times New Roman"/>
        </w:rPr>
        <w:t xml:space="preserve">Peikert, A., van Lissa, C. J., &amp; </w:t>
      </w:r>
      <w:proofErr w:type="spellStart"/>
      <w:r w:rsidRPr="00A55161">
        <w:rPr>
          <w:rFonts w:cs="Times New Roman"/>
        </w:rPr>
        <w:t>Brandmaier</w:t>
      </w:r>
      <w:proofErr w:type="spellEnd"/>
      <w:r w:rsidRPr="00A55161">
        <w:rPr>
          <w:rFonts w:cs="Times New Roman"/>
        </w:rPr>
        <w:t xml:space="preserve">,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7">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343" w:name="ref-pfeiffer_etal24"/>
      <w:bookmarkEnd w:id="342"/>
      <w:r w:rsidRPr="00A55161">
        <w:rPr>
          <w:rFonts w:cs="Times New Roman"/>
        </w:rPr>
        <w:t xml:space="preserve">Pfeiffer, D. L., Thompson, A., Ciullo, B., Hirsch, M. E., El Amin, M., Ford, A., Riccardi,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8">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344" w:name="ref-quintana20"/>
      <w:bookmarkEnd w:id="343"/>
      <w:proofErr w:type="spellStart"/>
      <w:r w:rsidRPr="00A55161">
        <w:rPr>
          <w:rFonts w:cs="Times New Roman"/>
        </w:rPr>
        <w:t>Quintana</w:t>
      </w:r>
      <w:proofErr w:type="spellEnd"/>
      <w:r w:rsidRPr="00A55161">
        <w:rPr>
          <w:rFonts w:cs="Times New Roman"/>
        </w:rPr>
        <w:t xml:space="preserve">, D. S. (2020). A synthetic dataset primer for the </w:t>
      </w:r>
      <w:proofErr w:type="spellStart"/>
      <w:r w:rsidRPr="00A55161">
        <w:rPr>
          <w:rFonts w:cs="Times New Roman"/>
        </w:rPr>
        <w:t>biobehavioural</w:t>
      </w:r>
      <w:proofErr w:type="spellEnd"/>
      <w:r w:rsidRPr="00A55161">
        <w:rPr>
          <w:rFonts w:cs="Times New Roman"/>
        </w:rPr>
        <w:t xml:space="preserve"> sciences to promote reproducibility and hypothesis generation. </w:t>
      </w:r>
      <w:proofErr w:type="spellStart"/>
      <w:r w:rsidRPr="00A55161">
        <w:rPr>
          <w:rFonts w:cs="Times New Roman"/>
          <w:i/>
          <w:iCs/>
        </w:rPr>
        <w:t>eLife</w:t>
      </w:r>
      <w:proofErr w:type="spellEnd"/>
      <w:r w:rsidRPr="00A55161">
        <w:rPr>
          <w:rFonts w:cs="Times New Roman"/>
        </w:rPr>
        <w:t xml:space="preserve">, </w:t>
      </w:r>
      <w:r w:rsidRPr="00A55161">
        <w:rPr>
          <w:rFonts w:cs="Times New Roman"/>
          <w:i/>
          <w:iCs/>
        </w:rPr>
        <w:t>9</w:t>
      </w:r>
      <w:r w:rsidRPr="00A55161">
        <w:rPr>
          <w:rFonts w:cs="Times New Roman"/>
        </w:rPr>
        <w:t xml:space="preserve">, 1–12. </w:t>
      </w:r>
      <w:hyperlink r:id="rId29">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345" w:name="ref-rcoreteam22"/>
      <w:bookmarkEnd w:id="344"/>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30">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346" w:name="ref-raab_etal17"/>
      <w:bookmarkEnd w:id="345"/>
      <w:r w:rsidRPr="00A55161">
        <w:rPr>
          <w:rFonts w:cs="Times New Roman"/>
        </w:rPr>
        <w:t xml:space="preserve">Raab, G. M., </w:t>
      </w:r>
      <w:proofErr w:type="spellStart"/>
      <w:r w:rsidRPr="00A55161">
        <w:rPr>
          <w:rFonts w:cs="Times New Roman"/>
        </w:rPr>
        <w:t>Nowok</w:t>
      </w:r>
      <w:proofErr w:type="spellEnd"/>
      <w:r w:rsidRPr="00A55161">
        <w:rPr>
          <w:rFonts w:cs="Times New Roman"/>
        </w:rPr>
        <w:t xml:space="preserve">, B., &amp; Dibben, C. (2017, December 12). </w:t>
      </w:r>
      <w:r w:rsidRPr="00A55161">
        <w:rPr>
          <w:rFonts w:cs="Times New Roman"/>
          <w:i/>
          <w:iCs/>
        </w:rPr>
        <w:t>Guidelines for Producing Useful Synthetic Data</w:t>
      </w:r>
      <w:r w:rsidRPr="00A55161">
        <w:rPr>
          <w:rFonts w:cs="Times New Roman"/>
        </w:rPr>
        <w:t xml:space="preserve">. </w:t>
      </w:r>
      <w:hyperlink r:id="rId31">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347" w:name="ref-raghunathan21a"/>
      <w:bookmarkEnd w:id="346"/>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2">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348" w:name="ref-robinaugh_etal24a"/>
      <w:bookmarkEnd w:id="347"/>
      <w:proofErr w:type="spellStart"/>
      <w:r w:rsidRPr="00A55161">
        <w:rPr>
          <w:rFonts w:cs="Times New Roman"/>
        </w:rPr>
        <w:t>Robinaugh</w:t>
      </w:r>
      <w:proofErr w:type="spellEnd"/>
      <w:r w:rsidRPr="00A55161">
        <w:rPr>
          <w:rFonts w:cs="Times New Roman"/>
        </w:rPr>
        <w:t xml:space="preserve">, G., Henry, M. L., Cavanaugh, R., &amp; Grasso, S. M. (2024). Computer-Based Naming Treatment for Semantic Variant Primary Progressive Aphasia </w:t>
      </w:r>
      <w:proofErr w:type="gramStart"/>
      <w:r w:rsidRPr="00A55161">
        <w:rPr>
          <w:rFonts w:cs="Times New Roman"/>
        </w:rPr>
        <w:t>With</w:t>
      </w:r>
      <w:proofErr w:type="gramEnd"/>
      <w:r w:rsidRPr="00A55161">
        <w:rPr>
          <w:rFonts w:cs="Times New Roman"/>
        </w:rPr>
        <w:t xml:space="preserve">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3">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349" w:name="ref-rocher_etal19"/>
      <w:bookmarkEnd w:id="348"/>
      <w:r w:rsidRPr="00A55161">
        <w:rPr>
          <w:rFonts w:cs="Times New Roman"/>
        </w:rPr>
        <w:t xml:space="preserve">Rocher, L., Hendrickx, J. M., &amp; de </w:t>
      </w:r>
      <w:proofErr w:type="spellStart"/>
      <w:r w:rsidRPr="00A55161">
        <w:rPr>
          <w:rFonts w:cs="Times New Roman"/>
        </w:rPr>
        <w:t>Montjoye</w:t>
      </w:r>
      <w:proofErr w:type="spellEnd"/>
      <w:r w:rsidRPr="00A55161">
        <w:rPr>
          <w:rFonts w:cs="Times New Roman"/>
        </w:rPr>
        <w:t xml:space="preserv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4">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350" w:name="ref-rubin93"/>
      <w:bookmarkEnd w:id="349"/>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351" w:name="ref-shepherd_etal17"/>
      <w:bookmarkEnd w:id="350"/>
      <w:r w:rsidRPr="00A55161">
        <w:rPr>
          <w:rFonts w:cs="Times New Roman"/>
        </w:rPr>
        <w:t xml:space="preserve">Shepherd, B. E., Blevins </w:t>
      </w:r>
      <w:proofErr w:type="spellStart"/>
      <w:r w:rsidRPr="00A55161">
        <w:rPr>
          <w:rFonts w:cs="Times New Roman"/>
        </w:rPr>
        <w:t>Peratikos</w:t>
      </w:r>
      <w:proofErr w:type="spellEnd"/>
      <w:r w:rsidRPr="00A55161">
        <w:rPr>
          <w:rFonts w:cs="Times New Roman"/>
        </w:rPr>
        <w:t xml:space="preserve">, M., Rebeiro, P. F., Duda, S. N., &amp; McGowan, C. C. (2017). A Pragmatic Approach for Reproducible Research </w:t>
      </w:r>
      <w:proofErr w:type="gramStart"/>
      <w:r w:rsidRPr="00A55161">
        <w:rPr>
          <w:rFonts w:cs="Times New Roman"/>
        </w:rPr>
        <w:t>With</w:t>
      </w:r>
      <w:proofErr w:type="gramEnd"/>
      <w:r w:rsidRPr="00A55161">
        <w:rPr>
          <w:rFonts w:cs="Times New Roman"/>
        </w:rPr>
        <w:t xml:space="preserve">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5">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352" w:name="ref-snoke_etal18"/>
      <w:bookmarkEnd w:id="351"/>
      <w:r w:rsidRPr="00A55161">
        <w:rPr>
          <w:rFonts w:cs="Times New Roman"/>
        </w:rPr>
        <w:t xml:space="preserve">Snoke, J., Raab, G. M., </w:t>
      </w:r>
      <w:proofErr w:type="spellStart"/>
      <w:r w:rsidRPr="00A55161">
        <w:rPr>
          <w:rFonts w:cs="Times New Roman"/>
        </w:rPr>
        <w:t>Nowok</w:t>
      </w:r>
      <w:proofErr w:type="spellEnd"/>
      <w:r w:rsidRPr="00A55161">
        <w:rPr>
          <w:rFonts w:cs="Times New Roman"/>
        </w:rPr>
        <w:t xml:space="preserve">, B., Dibben, C., &amp; </w:t>
      </w:r>
      <w:proofErr w:type="spellStart"/>
      <w:r w:rsidRPr="00A55161">
        <w:rPr>
          <w:rFonts w:cs="Times New Roman"/>
        </w:rPr>
        <w:t>Slavkovic</w:t>
      </w:r>
      <w:proofErr w:type="spellEnd"/>
      <w:r w:rsidRPr="00A55161">
        <w:rPr>
          <w:rFonts w:cs="Times New Roman"/>
        </w:rPr>
        <w:t xml:space="preserve">,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6">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353" w:name="ref-thompson_etal23"/>
      <w:bookmarkEnd w:id="352"/>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7">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354" w:name="ref-watson_etal23"/>
      <w:bookmarkEnd w:id="353"/>
      <w:r w:rsidRPr="00A55161">
        <w:rPr>
          <w:rFonts w:cs="Times New Roman"/>
        </w:rPr>
        <w:t xml:space="preserve">Watson, H., </w:t>
      </w:r>
      <w:proofErr w:type="spellStart"/>
      <w:r w:rsidRPr="00A55161">
        <w:rPr>
          <w:rFonts w:cs="Times New Roman"/>
        </w:rPr>
        <w:t>Gallifant</w:t>
      </w:r>
      <w:proofErr w:type="spellEnd"/>
      <w:r w:rsidRPr="00A55161">
        <w:rPr>
          <w:rFonts w:cs="Times New Roman"/>
        </w:rPr>
        <w:t xml:space="preserve">, J., Lai, Y., </w:t>
      </w:r>
      <w:proofErr w:type="spellStart"/>
      <w:r w:rsidRPr="00A55161">
        <w:rPr>
          <w:rFonts w:cs="Times New Roman"/>
        </w:rPr>
        <w:t>Radunsky</w:t>
      </w:r>
      <w:proofErr w:type="spellEnd"/>
      <w:r w:rsidRPr="00A55161">
        <w:rPr>
          <w:rFonts w:cs="Times New Roman"/>
        </w:rPr>
        <w:t xml:space="preserve">, A. P., Villanueva, C., Martinez, N., </w:t>
      </w:r>
      <w:proofErr w:type="spellStart"/>
      <w:r w:rsidRPr="00A55161">
        <w:rPr>
          <w:rFonts w:cs="Times New Roman"/>
        </w:rPr>
        <w:t>Gichoya</w:t>
      </w:r>
      <w:proofErr w:type="spellEnd"/>
      <w:r w:rsidRPr="00A55161">
        <w:rPr>
          <w:rFonts w:cs="Times New Roman"/>
        </w:rPr>
        <w:t xml:space="preserve">, J., Huynh, U. K., &amp; Celi,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8">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355" w:name="ref-wilkinson_etal16"/>
      <w:bookmarkEnd w:id="354"/>
      <w:r w:rsidRPr="00A55161">
        <w:rPr>
          <w:rFonts w:cs="Times New Roman"/>
        </w:rPr>
        <w:t xml:space="preserve">Wilkinson, M. D., Dumontier, M., </w:t>
      </w:r>
      <w:proofErr w:type="spellStart"/>
      <w:r w:rsidRPr="00A55161">
        <w:rPr>
          <w:rFonts w:cs="Times New Roman"/>
        </w:rPr>
        <w:t>Aalbersberg</w:t>
      </w:r>
      <w:proofErr w:type="spellEnd"/>
      <w:r w:rsidRPr="00A55161">
        <w:rPr>
          <w:rFonts w:cs="Times New Roman"/>
        </w:rPr>
        <w:t xml:space="preserve">, </w:t>
      </w:r>
      <w:proofErr w:type="spellStart"/>
      <w:r w:rsidRPr="00A55161">
        <w:rPr>
          <w:rFonts w:cs="Times New Roman"/>
        </w:rPr>
        <w:t>Ij</w:t>
      </w:r>
      <w:proofErr w:type="spellEnd"/>
      <w:r w:rsidRPr="00A55161">
        <w:rPr>
          <w:rFonts w:cs="Times New Roman"/>
        </w:rPr>
        <w:t xml:space="preserve">. J., Appleton, G., Axton, M., Baak, A., Blomberg, N., </w:t>
      </w:r>
      <w:proofErr w:type="spellStart"/>
      <w:r w:rsidRPr="00A55161">
        <w:rPr>
          <w:rFonts w:cs="Times New Roman"/>
        </w:rPr>
        <w:t>Boiten</w:t>
      </w:r>
      <w:proofErr w:type="spellEnd"/>
      <w:r w:rsidRPr="00A55161">
        <w:rPr>
          <w:rFonts w:cs="Times New Roman"/>
        </w:rPr>
        <w:t xml:space="preserve">, J.-W., da Silva Santos, L. B., Bourne, P. E., Bouwman, J., Brookes, A. J., Clark, T., </w:t>
      </w:r>
      <w:proofErr w:type="spellStart"/>
      <w:r w:rsidRPr="00A55161">
        <w:rPr>
          <w:rFonts w:cs="Times New Roman"/>
        </w:rPr>
        <w:t>Crosas</w:t>
      </w:r>
      <w:proofErr w:type="spellEnd"/>
      <w:r w:rsidRPr="00A55161">
        <w:rPr>
          <w:rFonts w:cs="Times New Roman"/>
        </w:rPr>
        <w:t xml:space="preserve">, M., Dillo, I., Dumon, O., Edmunds, S., Evelo, C. T., </w:t>
      </w:r>
      <w:proofErr w:type="spellStart"/>
      <w:r w:rsidRPr="00A55161">
        <w:rPr>
          <w:rFonts w:cs="Times New Roman"/>
        </w:rPr>
        <w:t>Finkers</w:t>
      </w:r>
      <w:proofErr w:type="spellEnd"/>
      <w:r w:rsidRPr="00A55161">
        <w:rPr>
          <w:rFonts w:cs="Times New Roman"/>
        </w:rPr>
        <w:t xml:space="preserve">,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39">
        <w:r w:rsidR="001D40C6" w:rsidRPr="00A55161">
          <w:rPr>
            <w:rStyle w:val="Hyperlink"/>
            <w:rFonts w:cs="Times New Roman"/>
          </w:rPr>
          <w:t>https://doi.org/10.1038/sdata.2016.18</w:t>
        </w:r>
      </w:hyperlink>
    </w:p>
    <w:bookmarkEnd w:id="322"/>
    <w:bookmarkEnd w:id="355"/>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356" w:name="table-and-figure-captions"/>
      <w:bookmarkEnd w:id="320"/>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rPr>
          <w:ins w:id="357" w:author="jcb2271" w:date="2025-07-14T14:01:00Z" w16du:dateUtc="2025-07-14T18:01:00Z"/>
        </w:rPr>
      </w:pPr>
    </w:p>
    <w:p w14:paraId="6264FFA0" w14:textId="077F4C55" w:rsidR="006120D9" w:rsidRPr="00A55161" w:rsidRDefault="006120D9" w:rsidP="006120D9">
      <w:pPr>
        <w:pStyle w:val="noIndentParagraph"/>
        <w:rPr>
          <w:ins w:id="358" w:author="jcb2271" w:date="2025-07-14T14:01:00Z"/>
        </w:rPr>
      </w:pPr>
      <w:ins w:id="359" w:author="jcb2271" w:date="2025-07-14T14:01:00Z">
        <w:r w:rsidRPr="00A55161">
          <w:t xml:space="preserve">Figure </w:t>
        </w:r>
      </w:ins>
      <w:ins w:id="360" w:author="jcb2271" w:date="2025-07-14T14:01:00Z" w16du:dateUtc="2025-07-14T18:01:00Z">
        <w:r w:rsidRPr="00A55161">
          <w:t>1</w:t>
        </w:r>
      </w:ins>
      <w:ins w:id="361" w:author="jcb2271" w:date="2025-07-14T14:01:00Z">
        <w:r w:rsidRPr="00A55161">
          <w:t xml:space="preserve">. </w:t>
        </w:r>
      </w:ins>
      <w:ins w:id="362" w:author="jcb2271" w:date="2025-07-14T14:01:00Z" w16du:dateUtc="2025-07-14T18:01:00Z">
        <w:r w:rsidRPr="00A55161">
          <w:t>Illustration of a data sharing strategy</w:t>
        </w:r>
      </w:ins>
      <w:ins w:id="363" w:author="jcb2271" w:date="2025-07-14T14:01:00Z">
        <w:r w:rsidRPr="00A55161">
          <w:t>.</w:t>
        </w:r>
      </w:ins>
    </w:p>
    <w:p w14:paraId="77A51E32" w14:textId="77777777" w:rsidR="006120D9" w:rsidRPr="00A55161" w:rsidRDefault="006120D9">
      <w:pPr>
        <w:pStyle w:val="noIndentParagraph"/>
      </w:pPr>
    </w:p>
    <w:p w14:paraId="0A92C4C8" w14:textId="6FCDF55A" w:rsidR="001D40C6" w:rsidRPr="00A55161" w:rsidRDefault="00000000">
      <w:pPr>
        <w:pStyle w:val="noIndentParagraph"/>
      </w:pPr>
      <w:del w:id="364" w:author="jcb2271" w:date="2025-07-14T14:01:00Z" w16du:dateUtc="2025-07-14T18:01:00Z">
        <w:r w:rsidRPr="00A55161" w:rsidDel="006120D9">
          <w:delText>Figure 1</w:delText>
        </w:r>
      </w:del>
      <w:ins w:id="365" w:author="jcb2271" w:date="2025-07-14T14:01:00Z" w16du:dateUtc="2025-07-14T18:01:00Z">
        <w:r w:rsidR="006120D9" w:rsidRPr="00A55161">
          <w:t>Figure 2</w:t>
        </w:r>
      </w:ins>
      <w:r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1786DFB4" w:rsidR="001D40C6" w:rsidRPr="00A55161" w:rsidRDefault="00000000">
      <w:pPr>
        <w:pStyle w:val="noIndentParagraph"/>
      </w:pPr>
      <w:del w:id="366" w:author="jcb2271" w:date="2025-07-14T14:01:00Z" w16du:dateUtc="2025-07-14T18:01:00Z">
        <w:r w:rsidRPr="00A55161" w:rsidDel="006120D9">
          <w:delText>Figure 2</w:delText>
        </w:r>
      </w:del>
      <w:ins w:id="367" w:author="jcb2271" w:date="2025-07-14T14:01:00Z" w16du:dateUtc="2025-07-14T18:01:00Z">
        <w:r w:rsidR="006120D9" w:rsidRPr="00A55161">
          <w:t>Figure 3</w:t>
        </w:r>
      </w:ins>
      <w:r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356"/>
    </w:p>
    <w:sectPr w:rsidR="001D40C6" w:rsidRPr="00A55161" w:rsidSect="0047463B">
      <w:headerReference w:type="even" r:id="rId40"/>
      <w:headerReference w:type="default" r:id="rId41"/>
      <w:footerReference w:type="even" r:id="rId42"/>
      <w:footerReference w:type="default" r:id="rId4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11C77" w14:textId="77777777" w:rsidR="005413EA" w:rsidRDefault="005413EA">
      <w:pPr>
        <w:spacing w:after="0"/>
      </w:pPr>
      <w:r>
        <w:separator/>
      </w:r>
    </w:p>
  </w:endnote>
  <w:endnote w:type="continuationSeparator" w:id="0">
    <w:p w14:paraId="1BBC6C4D" w14:textId="77777777" w:rsidR="005413EA" w:rsidRDefault="00541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5D797" w14:textId="77777777" w:rsidR="005413EA" w:rsidRDefault="005413EA">
      <w:r>
        <w:separator/>
      </w:r>
    </w:p>
  </w:footnote>
  <w:footnote w:type="continuationSeparator" w:id="0">
    <w:p w14:paraId="1FCA855C" w14:textId="77777777" w:rsidR="005413EA" w:rsidRDefault="0054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ompson, Austin">
    <w15:presenceInfo w15:providerId="AD" w15:userId="S::athomp27@CougarNet.UH.EDU::ec9c86a4-5946-42f9-a9f0-e188a65fcff8"/>
  </w15:person>
  <w15:person w15:author="jcb2271">
    <w15:presenceInfo w15:providerId="AD" w15:userId="S::jcb2271@tc.columbia.edu::4dce359e-aca9-4c69-b9f0-ee4201aaee50"/>
  </w15:person>
  <w15:person w15:author="Borders, James">
    <w15:presenceInfo w15:providerId="AD" w15:userId="S::bordersj@bu.edu::18cb79a6-9a50-4fdb-bcf0-6ce8a99b2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11E8E"/>
    <w:rsid w:val="00024B38"/>
    <w:rsid w:val="00035059"/>
    <w:rsid w:val="0007752A"/>
    <w:rsid w:val="00077C4D"/>
    <w:rsid w:val="00082518"/>
    <w:rsid w:val="00094805"/>
    <w:rsid w:val="000B477C"/>
    <w:rsid w:val="000B66BF"/>
    <w:rsid w:val="000F4A3A"/>
    <w:rsid w:val="00192964"/>
    <w:rsid w:val="001B65A7"/>
    <w:rsid w:val="001D40C6"/>
    <w:rsid w:val="001F0FFA"/>
    <w:rsid w:val="001F3C70"/>
    <w:rsid w:val="00232BE7"/>
    <w:rsid w:val="002609C6"/>
    <w:rsid w:val="00267D7F"/>
    <w:rsid w:val="00270E04"/>
    <w:rsid w:val="0027339A"/>
    <w:rsid w:val="00281F35"/>
    <w:rsid w:val="002B02DA"/>
    <w:rsid w:val="002D02B6"/>
    <w:rsid w:val="00330D59"/>
    <w:rsid w:val="00365583"/>
    <w:rsid w:val="00370626"/>
    <w:rsid w:val="00394A15"/>
    <w:rsid w:val="003B5B79"/>
    <w:rsid w:val="003D65B7"/>
    <w:rsid w:val="003E1A62"/>
    <w:rsid w:val="003F1385"/>
    <w:rsid w:val="003F700D"/>
    <w:rsid w:val="004111DE"/>
    <w:rsid w:val="00411274"/>
    <w:rsid w:val="00415F0F"/>
    <w:rsid w:val="00420057"/>
    <w:rsid w:val="0044480E"/>
    <w:rsid w:val="00461EB5"/>
    <w:rsid w:val="004652CF"/>
    <w:rsid w:val="00465447"/>
    <w:rsid w:val="00465CB5"/>
    <w:rsid w:val="0047425F"/>
    <w:rsid w:val="00475DE3"/>
    <w:rsid w:val="00496F2E"/>
    <w:rsid w:val="004A7B00"/>
    <w:rsid w:val="004C4775"/>
    <w:rsid w:val="004E27BF"/>
    <w:rsid w:val="004E41A6"/>
    <w:rsid w:val="004F1D59"/>
    <w:rsid w:val="004F46C8"/>
    <w:rsid w:val="004F5DB3"/>
    <w:rsid w:val="004F6918"/>
    <w:rsid w:val="0050314A"/>
    <w:rsid w:val="00532F21"/>
    <w:rsid w:val="005413EA"/>
    <w:rsid w:val="00542BE8"/>
    <w:rsid w:val="00552D1E"/>
    <w:rsid w:val="005564EA"/>
    <w:rsid w:val="00570ED9"/>
    <w:rsid w:val="005A71F4"/>
    <w:rsid w:val="005C79A5"/>
    <w:rsid w:val="005E2E97"/>
    <w:rsid w:val="005E6153"/>
    <w:rsid w:val="005F2617"/>
    <w:rsid w:val="005F443F"/>
    <w:rsid w:val="006120D9"/>
    <w:rsid w:val="0064053B"/>
    <w:rsid w:val="006440DD"/>
    <w:rsid w:val="00663A25"/>
    <w:rsid w:val="006C75D5"/>
    <w:rsid w:val="006D38F0"/>
    <w:rsid w:val="00700E14"/>
    <w:rsid w:val="00704AED"/>
    <w:rsid w:val="00705156"/>
    <w:rsid w:val="00722C84"/>
    <w:rsid w:val="00727927"/>
    <w:rsid w:val="00784940"/>
    <w:rsid w:val="007E6CEF"/>
    <w:rsid w:val="0080448E"/>
    <w:rsid w:val="0081457B"/>
    <w:rsid w:val="00827F0F"/>
    <w:rsid w:val="00852A2E"/>
    <w:rsid w:val="008727F5"/>
    <w:rsid w:val="00881119"/>
    <w:rsid w:val="00897B96"/>
    <w:rsid w:val="008D5050"/>
    <w:rsid w:val="008E15BE"/>
    <w:rsid w:val="008F51DB"/>
    <w:rsid w:val="009055F3"/>
    <w:rsid w:val="009111A4"/>
    <w:rsid w:val="00955C5D"/>
    <w:rsid w:val="00991921"/>
    <w:rsid w:val="009E3879"/>
    <w:rsid w:val="00A42EB9"/>
    <w:rsid w:val="00A55161"/>
    <w:rsid w:val="00A84C8C"/>
    <w:rsid w:val="00A85F0A"/>
    <w:rsid w:val="00A86648"/>
    <w:rsid w:val="00A91D3B"/>
    <w:rsid w:val="00AE1538"/>
    <w:rsid w:val="00B050BA"/>
    <w:rsid w:val="00B13529"/>
    <w:rsid w:val="00B273F3"/>
    <w:rsid w:val="00B351DB"/>
    <w:rsid w:val="00B7094F"/>
    <w:rsid w:val="00B87BF5"/>
    <w:rsid w:val="00C025F6"/>
    <w:rsid w:val="00C646B3"/>
    <w:rsid w:val="00C80466"/>
    <w:rsid w:val="00C94970"/>
    <w:rsid w:val="00C95883"/>
    <w:rsid w:val="00CF501B"/>
    <w:rsid w:val="00D013A4"/>
    <w:rsid w:val="00D12215"/>
    <w:rsid w:val="00D24AF1"/>
    <w:rsid w:val="00D418A1"/>
    <w:rsid w:val="00D423B6"/>
    <w:rsid w:val="00D64321"/>
    <w:rsid w:val="00D7785B"/>
    <w:rsid w:val="00D87182"/>
    <w:rsid w:val="00D9399E"/>
    <w:rsid w:val="00DB1D6B"/>
    <w:rsid w:val="00DB7A42"/>
    <w:rsid w:val="00DC1C49"/>
    <w:rsid w:val="00DD4E53"/>
    <w:rsid w:val="00DF1596"/>
    <w:rsid w:val="00E04CA2"/>
    <w:rsid w:val="00E50A3C"/>
    <w:rsid w:val="00E666E4"/>
    <w:rsid w:val="00EB7D9C"/>
    <w:rsid w:val="00EC6308"/>
    <w:rsid w:val="00EE691A"/>
    <w:rsid w:val="00F109ED"/>
    <w:rsid w:val="00F16742"/>
    <w:rsid w:val="00F71E85"/>
    <w:rsid w:val="00FA1EF6"/>
    <w:rsid w:val="00FC27BA"/>
    <w:rsid w:val="00FE4F91"/>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99052.2023.2181401"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038/sdata.2016.18" TargetMode="External"/><Relationship Id="rId21" Type="http://schemas.openxmlformats.org/officeDocument/2006/relationships/hyperlink" Target="https://doi.org/10.1044/2022_AJSLP-22-00003" TargetMode="External"/><Relationship Id="rId34" Type="http://schemas.openxmlformats.org/officeDocument/2006/relationships/hyperlink" Target="https://doi.org/10.1038/s41467-019-10933-3"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7554/eLife.53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489223.2023.2262457" TargetMode="External"/><Relationship Id="rId24" Type="http://schemas.openxmlformats.org/officeDocument/2006/relationships/hyperlink" Target="https://doi.org/10.7717/peerj.2530" TargetMode="External"/><Relationship Id="rId32" Type="http://schemas.openxmlformats.org/officeDocument/2006/relationships/hyperlink" Target="https://doi.org/10.1146/annurev-statistics-040720-031848" TargetMode="External"/><Relationship Id="rId37" Type="http://schemas.openxmlformats.org/officeDocument/2006/relationships/hyperlink" Target="https://doi.org/10.1044/2022_JSLHR-22-00287"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214/24-STS927" TargetMode="External"/><Relationship Id="rId23" Type="http://schemas.openxmlformats.org/officeDocument/2006/relationships/hyperlink" Target="https://projecteuclid.org/journals/statistics-surveys/volume-5/issue-none/Data-confidentiality--A-review-of-methods-for-statistical-disclosure/10.1214/11-SS074.short" TargetMode="External"/><Relationship Id="rId28" Type="http://schemas.openxmlformats.org/officeDocument/2006/relationships/hyperlink" Target="https://doi.org/10.1044/2024_JSLHR-24-00378" TargetMode="External"/><Relationship Id="rId36" Type="http://schemas.openxmlformats.org/officeDocument/2006/relationships/hyperlink" Target="https://doi.org/10.1111/rssa.12358" TargetMode="External"/><Relationship Id="rId10" Type="http://schemas.openxmlformats.org/officeDocument/2006/relationships/hyperlink" Target="https://doi.org/10.1007/s00455-022-10428-2" TargetMode="External"/><Relationship Id="rId19" Type="http://schemas.openxmlformats.org/officeDocument/2006/relationships/hyperlink" Target="https://doi.org/10.2139/ssrn.2408030" TargetMode="External"/><Relationship Id="rId31" Type="http://schemas.openxmlformats.org/officeDocument/2006/relationships/hyperlink" Target="https://doi.org/10.48550/arXiv.1712.0407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1234/osf.io/veh7t" TargetMode="External"/><Relationship Id="rId14" Type="http://schemas.openxmlformats.org/officeDocument/2006/relationships/hyperlink" Target="https://doi.org/10.1044/2023_JSLHR-23-00132" TargetMode="External"/><Relationship Id="rId22" Type="http://schemas.openxmlformats.org/officeDocument/2006/relationships/hyperlink" Target="https://doi.org/10.1007/978-3-031-69651-0_8" TargetMode="External"/><Relationship Id="rId27" Type="http://schemas.openxmlformats.org/officeDocument/2006/relationships/hyperlink" Target="https://doi.org/10.3390/psych3040053" TargetMode="External"/><Relationship Id="rId30" Type="http://schemas.openxmlformats.org/officeDocument/2006/relationships/hyperlink" Target="https://www.R-project.org/" TargetMode="External"/><Relationship Id="rId35" Type="http://schemas.openxmlformats.org/officeDocument/2006/relationships/hyperlink" Target="https://doi.org/10.1093/aje/kwx066" TargetMode="External"/><Relationship Id="rId43" Type="http://schemas.openxmlformats.org/officeDocument/2006/relationships/footer" Target="footer2.xml"/><Relationship Id="rId8" Type="http://schemas.openxmlformats.org/officeDocument/2006/relationships/hyperlink" Target="https://projecteuclid.org/journals/statistical-science/volume-33/issue-2/Multiple-Imputation-for-Multilevel-Data-with-Continuous-and-Binary-Variables/10.1214/18-STS646.short" TargetMode="External"/><Relationship Id="rId3" Type="http://schemas.openxmlformats.org/officeDocument/2006/relationships/settings" Target="settings.xml"/><Relationship Id="rId12" Type="http://schemas.openxmlformats.org/officeDocument/2006/relationships/hyperlink" Target="https://doi.org/10.1044/2023_JSLHR-22-00318"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doi.org/10.1044/2023_JSLHR-23-00289" TargetMode="External"/><Relationship Id="rId38" Type="http://schemas.openxmlformats.org/officeDocument/2006/relationships/hyperlink" Target="https://doi.org/10.1136/bmjhci-2023-100771" TargetMode="External"/><Relationship Id="rId46" Type="http://schemas.openxmlformats.org/officeDocument/2006/relationships/theme" Target="theme/theme1.xml"/><Relationship Id="rId20" Type="http://schemas.openxmlformats.org/officeDocument/2006/relationships/hyperlink" Target="https://www.sciencedirect.com/science/article/pii/S0028393223001653"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36</Pages>
  <Words>8220</Words>
  <Characters>46856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Using Synthetic Data in Communication Sciences and Disorders to Promote Transparency and Reproducibility</vt:lpstr>
    </vt:vector>
  </TitlesOfParts>
  <Company/>
  <LinksUpToDate>false</LinksUpToDate>
  <CharactersWithSpaces>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Borders, James</cp:lastModifiedBy>
  <cp:revision>120</cp:revision>
  <dcterms:created xsi:type="dcterms:W3CDTF">2025-07-14T18:00:00Z</dcterms:created>
  <dcterms:modified xsi:type="dcterms:W3CDTF">2025-07-22T21:32:00Z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