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2: Characteristics of included studies by ASHA domain.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Design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Interest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Type(s)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Curtis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Swallowing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Descriptive, observational, cohort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 of laryngeal vestibule residue ratings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Descriptive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Articulation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amyotrophic lateral sclerosis, Huntington’s disease, cerebellar ataxia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vowel space area and intelligibility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Elsherif et al. (2021)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Fluency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Dyslexia, stuttering,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nonword repetition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Novotný et al. (2016)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Voice and resonance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disease, Huntington’s disease,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overall perceptual rating and variability of nasality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 correlation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Battal et al. (2019)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Congenitally blind, sighted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auditory localization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Linear mixed-effects model with 3-way interaction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 et al. (2022)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Communication modalities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Speech-language pathologists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Timepoint difference in lack of/limited internet and technology 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Kearney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tumor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between years of education and reading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Spearman’s rank correlation coefficient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Robinaugh et al.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Receptive and expressive language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within-subject, single-case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progressive aphasia with a history of traumatic brain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gains for trained words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generalized mixed effects model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Clough et al. (2023)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aspects of communication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experimental, between- and within-subject, cross-sectional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Traumatic brain injury, neurotypical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by condition interaction in emotion recognition accuracy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mixed-effects model with 3-way interaction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Chanchaochai &amp; Schwarz (2023)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aspects of communication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Analytical, observational, between-sujbect, cross-sectional study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Autism spectrum disorder, neurotypical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 difference in non-verbal IQ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Analysis of Variance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2025-05-19T16:29:27Z</dcterms:modified>
</cp:coreProperties>
</file>