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Characteristics of included studies by ASHA domain.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Design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of Interest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Type(s)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Curtis et al. (2023)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Swallowing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Descriptive, observational, cohort study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Neurotypical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Distribution of laryngeal vestibule residue ratings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Descriptive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Thompson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Parkinson’s disease, amyotrophic lateral sclerosis, Huntington’s disease, cerebellar ataxia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vowel space area and intelligibility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Hierarchical linear regression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Elsherif et al.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Dyslexia, stuttering,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nonword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Independent t-test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Novotný et al. (2016)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Voice and resonance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Parkinson’s disease, Huntington’s disease,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overall perceptual rating and variability of nasality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 correlation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Battal et al. (2019)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experimental, between- and within-subject,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Congenitally blind, sighted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auditory localization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 mixed-effects model with 3-way interaction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King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Communication modalities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Speech-language pathologists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 difference in lack of/limited internet and technology 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Chi-square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Kearney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observational, between- and within-subject,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years of education and reading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Spearman’s rank correlation coefficient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Robinaugh et al. (2024)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experimental, within-subject, single-case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progressive aphasia with a history of traumatic brain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gains for trained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generalized mixed effects model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Clough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Cognitive aspects of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experimental, between- and within-subject,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Traumatic brain injury,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by condition interaction in emotion recognition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Generalized linear mixed-effects model with 3-way interaction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Chanchaochai &amp; Schwarz (2023)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aspects of communication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Analytical, observational, between-sujbect, cross-sectional study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Autism spectrum disorder, neurotypical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non-verbal IQ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of Variance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2025-10-22T12:47:32Z</dcterms:modified>
</cp:coreProperties>
</file>