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spacing w:before="240" w:beforeAutospacing="0" w:after="0" w:afterAutospacing="0"/>
        <w:jc w:val="center"/>
      </w:pPr>
      <w:r>
        <w:drawing>
          <wp:inline distT="0" distB="0" distL="114300" distR="114300">
            <wp:extent cx="2834640" cy="1270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/>
        <w:spacing w:before="240" w:beforeAutospacing="0" w:after="0" w:afterAutospacing="0"/>
        <w:jc w:val="center"/>
        <w:rPr>
          <w:rFonts w:ascii="Times New Roman PS Std" w:hAnsi="Times New Roman PS Std"/>
          <w:b/>
          <w:bCs/>
          <w:sz w:val="20"/>
          <w:szCs w:val="20"/>
        </w:rPr>
      </w:pPr>
      <w:r>
        <w:rPr>
          <w:rFonts w:ascii="Times New Roman PS Std" w:hAnsi="Times New Roman PS Std"/>
          <w:b/>
          <w:bCs/>
          <w:sz w:val="20"/>
          <w:szCs w:val="20"/>
        </w:rPr>
        <w:t>BAIYA INTERNATIONAL GROUP INC.</w:t>
      </w:r>
      <w:r>
        <w:rPr>
          <w:rFonts w:ascii="Times New Roman PS Std" w:hAnsi="Times New Roman PS Std"/>
          <w:b/>
          <w:bCs/>
          <w:sz w:val="20"/>
          <w:szCs w:val="20"/>
        </w:rPr>
        <w:br w:type="textWrapping"/>
      </w:r>
      <w:r>
        <w:rPr>
          <w:rFonts w:ascii="Times New Roman PS Std" w:hAnsi="Times New Roman PS Std"/>
          <w:b/>
          <w:bCs/>
          <w:sz w:val="20"/>
          <w:szCs w:val="20"/>
        </w:rPr>
        <w:t>CONSOLIDATED BALANCE SHEETS</w:t>
      </w:r>
      <w:r>
        <w:rPr>
          <w:rFonts w:ascii="Times New Roman PS Std" w:hAnsi="Times New Roman PS Std"/>
          <w:b/>
          <w:bCs/>
          <w:sz w:val="20"/>
          <w:szCs w:val="20"/>
        </w:rPr>
        <w:br w:type="textWrapping"/>
      </w:r>
      <w:r>
        <w:rPr>
          <w:rFonts w:ascii="Times New Roman PS Std" w:hAnsi="Times New Roman PS Std"/>
          <w:b/>
          <w:bCs/>
          <w:sz w:val="20"/>
          <w:szCs w:val="20"/>
        </w:rPr>
        <w:t>(Expressed in U.S. Dollars, except for the number of shares)</w:t>
      </w:r>
    </w:p>
    <w:tbl>
      <w:tblPr>
        <w:tblStyle w:val="2"/>
        <w:tblW w:w="500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36"/>
        <w:gridCol w:w="149"/>
        <w:gridCol w:w="199"/>
        <w:gridCol w:w="1248"/>
        <w:gridCol w:w="201"/>
        <w:gridCol w:w="150"/>
        <w:gridCol w:w="199"/>
        <w:gridCol w:w="1397"/>
        <w:gridCol w:w="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ascii="Times New Roman PS Std" w:hAnsi="Times New Roman PS Std"/>
                <w:b/>
                <w:bCs/>
                <w:sz w:val="20"/>
                <w:szCs w:val="20"/>
              </w:rPr>
            </w:pP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spacing w:before="200" w:after="20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38" w:type="pct"/>
            <w:gridSpan w:val="7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 xml:space="preserve">As of </w:t>
            </w: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December 31,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705" w:type="pct"/>
            <w:gridSpan w:val="3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769" w:type="pct"/>
            <w:gridSpan w:val="3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2021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CURRENT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Cash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2,404,170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134,488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Accounts receivable,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2,432,947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3,932,509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Advance to suppliers,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41,564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231,258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Due from related parties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1,969,553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2,933,960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Deferred IPO costs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452,521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Prepaid expense and other current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412,189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285,231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current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7,712,944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7,517,446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NON-CURRENT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Property and equipment,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3,264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5,791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Right-of-use asset,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156,247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355,311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Deferred tax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5,974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2,983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noncurrent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165,485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364,085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7,878,429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7,881,531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LIABILITIES AND SHAREHOLDERS’ EQUITY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CURRENT LIABILITIES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Accounts payable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1,772,456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2,248,317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Advance from customers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31,406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56,811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Accrued liabilities and other payables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1,848,047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1,704,417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Taxes payable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238,407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359,532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Due to related parties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1,498,328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216,914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Lease liability, current portion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22,292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34,023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Line of credit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144,990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Long-term loans, current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565,979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current liabilities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6,121,905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4,620,014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NON-CURRENT LIABILITIES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Lease liability, non-current portion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15,101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Long-term loans, non-current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53,853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non-current liabilities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53,853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15,101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LIABILITIES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6,175,758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4,635,115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COMMITMENTS AND CONTINGENCIES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SHAREHOLDER’S EQUITY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Preferred shares, par value $0.0001, 100,000,000 shares authorized, nil shares issued and outstanding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Ordinary common shares, par value $0.0001, 400,000,000 shares authorized, 10,000,000 shares issued and outstanding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1,000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1,000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Additional paid-in capital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1,775,941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1,775,941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Subscription receivable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(990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(990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Statutory Reserve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290,860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258,944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Accumulated other comprehensive income (loss)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(109,247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94,092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(Accumulated deficit) Retained earnings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(340,910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955,109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Company shareholders’ equity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1,616,654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3,084,096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Noncontrolling interest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86,017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162,320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shareholders’ equity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1,702,671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3,246,416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TOTAL LIABILITIES AND SHAREHOLDERS’ EQUITY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7,878,429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7,881,531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</w:tbl>
    <w:p/>
    <w:p>
      <w:pPr>
        <w:pStyle w:val="4"/>
        <w:keepNext/>
        <w:spacing w:before="240" w:beforeAutospacing="0" w:after="0" w:afterAutospacing="0"/>
        <w:jc w:val="center"/>
        <w:rPr>
          <w:rFonts w:ascii="Times New Roman PS Std" w:hAnsi="Times New Roman PS Std"/>
          <w:b/>
          <w:bCs/>
          <w:sz w:val="20"/>
          <w:szCs w:val="20"/>
        </w:rPr>
      </w:pPr>
      <w:r>
        <w:rPr>
          <w:rFonts w:ascii="Times New Roman PS Std" w:hAnsi="Times New Roman PS Std"/>
          <w:b/>
          <w:bCs/>
          <w:sz w:val="20"/>
          <w:szCs w:val="20"/>
        </w:rPr>
        <w:t>BAIYA INTERNATIONAL GROUP INC.</w:t>
      </w:r>
      <w:r>
        <w:rPr>
          <w:rFonts w:ascii="Times New Roman PS Std" w:hAnsi="Times New Roman PS Std"/>
          <w:b/>
          <w:bCs/>
          <w:sz w:val="20"/>
          <w:szCs w:val="20"/>
        </w:rPr>
        <w:br w:type="textWrapping"/>
      </w:r>
      <w:r>
        <w:rPr>
          <w:rFonts w:ascii="Times New Roman PS Std" w:hAnsi="Times New Roman PS Std"/>
          <w:b/>
          <w:bCs/>
          <w:sz w:val="20"/>
          <w:szCs w:val="20"/>
        </w:rPr>
        <w:t>CONSOLIDATED STATEMENTS OF OPERATIONS AND COMPREHENSIVE (LOSS) INCOME</w:t>
      </w:r>
      <w:r>
        <w:rPr>
          <w:rFonts w:ascii="Times New Roman PS Std" w:hAnsi="Times New Roman PS Std"/>
          <w:b/>
          <w:bCs/>
          <w:sz w:val="20"/>
          <w:szCs w:val="20"/>
        </w:rPr>
        <w:br w:type="textWrapping"/>
      </w:r>
      <w:r>
        <w:rPr>
          <w:rFonts w:ascii="Times New Roman PS Std" w:hAnsi="Times New Roman PS Std"/>
          <w:b/>
          <w:bCs/>
          <w:sz w:val="20"/>
          <w:szCs w:val="20"/>
        </w:rPr>
        <w:t>(Expressed in U.S. Dollars, except for the number of shares)</w:t>
      </w:r>
    </w:p>
    <w:tbl>
      <w:tblPr>
        <w:tblStyle w:val="2"/>
        <w:tblW w:w="500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36"/>
        <w:gridCol w:w="149"/>
        <w:gridCol w:w="199"/>
        <w:gridCol w:w="1248"/>
        <w:gridCol w:w="201"/>
        <w:gridCol w:w="150"/>
        <w:gridCol w:w="199"/>
        <w:gridCol w:w="1397"/>
        <w:gridCol w:w="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ascii="Times New Roman PS Std" w:hAnsi="Times New Roman PS Std"/>
                <w:b/>
                <w:bCs/>
                <w:sz w:val="20"/>
                <w:szCs w:val="20"/>
              </w:rPr>
            </w:pP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spacing w:before="200" w:after="6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38" w:type="pct"/>
            <w:gridSpan w:val="7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 xml:space="preserve">For the years ended </w:t>
            </w: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December 31,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705" w:type="pct"/>
            <w:gridSpan w:val="3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769" w:type="pct"/>
            <w:gridSpan w:val="3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2021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Net revenues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13,161,560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20,824,565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Cost of revenues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11,635,220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18,148,607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Gross profit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1,526,340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2,675,958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Operating expenses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Selling expenses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243,937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486,569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General and administrative expenses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2,205,442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1,477,647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Research and development expenses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479,218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337,770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Total operating expenses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2,928,597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2,301,986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Income (loss) from operations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(1,402,257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373,972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Other income (expenses)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Interest income (expenses),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(55,640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7,317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Government subsidy income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190,944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75,261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Other expenses,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(39,307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(4,010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Other income,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95,997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78,568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Income (loss) before income tax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(1,306,260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452,540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Less: income tax expense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23,421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200,333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Net (loss) income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(1,329,681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252,207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Less: net income (loss) attributable to non-controlling interests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(65,578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12,610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Net income (loss) attributable to Baiya International Group Inc.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(1,264,103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239,597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Comprehensive income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Net (loss) income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(1,329,681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252,207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Other comprehensive (loss) income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Foreign currency translation (loss) gain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(214,064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46,160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Total other comprehensive (loss) income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(214,064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46,160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Total comprehensive (loss) income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(1,543,745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298,367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Less: comprehensive (loss) income attributable to non-controlling interests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(76,303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14,918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Comprehensive (loss) income attributable to Baiya International Group Inc.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(1,467,443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283,449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(Loss) earnings per common share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Basic and diluted*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(0.13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0.02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Weighted average number of common shares outstanding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Basic and diluted*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10,000,000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10,000,000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</w:tbl>
    <w:p/>
    <w:p>
      <w:pPr>
        <w:pStyle w:val="4"/>
        <w:keepNext/>
        <w:spacing w:before="240" w:beforeAutospacing="0" w:after="0" w:afterAutospacing="0"/>
        <w:jc w:val="center"/>
        <w:rPr>
          <w:rFonts w:ascii="Times New Roman PS Std" w:hAnsi="Times New Roman PS Std"/>
          <w:b/>
          <w:bCs/>
          <w:sz w:val="20"/>
          <w:szCs w:val="20"/>
        </w:rPr>
      </w:pPr>
      <w:r>
        <w:rPr>
          <w:rFonts w:ascii="Times New Roman PS Std" w:hAnsi="Times New Roman PS Std"/>
          <w:b/>
          <w:bCs/>
          <w:sz w:val="20"/>
          <w:szCs w:val="20"/>
        </w:rPr>
        <w:t>BAIYA INTERNATIONAL GROUP INC.</w:t>
      </w:r>
      <w:r>
        <w:rPr>
          <w:rFonts w:ascii="Times New Roman PS Std" w:hAnsi="Times New Roman PS Std"/>
          <w:b/>
          <w:bCs/>
          <w:sz w:val="20"/>
          <w:szCs w:val="20"/>
        </w:rPr>
        <w:br w:type="textWrapping"/>
      </w:r>
      <w:r>
        <w:rPr>
          <w:rFonts w:ascii="Times New Roman PS Std" w:hAnsi="Times New Roman PS Std"/>
          <w:b/>
          <w:bCs/>
          <w:sz w:val="20"/>
          <w:szCs w:val="20"/>
        </w:rPr>
        <w:t>CONSOLIDATED STATEMENTS OF SHAREHOLDERS’ EQUITY</w:t>
      </w:r>
      <w:r>
        <w:rPr>
          <w:rFonts w:ascii="Times New Roman PS Std" w:hAnsi="Times New Roman PS Std"/>
          <w:b/>
          <w:bCs/>
          <w:sz w:val="20"/>
          <w:szCs w:val="20"/>
        </w:rPr>
        <w:br w:type="textWrapping"/>
      </w:r>
      <w:r>
        <w:rPr>
          <w:rFonts w:ascii="Times New Roman PS Std" w:hAnsi="Times New Roman PS Std"/>
          <w:b/>
          <w:bCs/>
          <w:sz w:val="20"/>
          <w:szCs w:val="20"/>
        </w:rPr>
        <w:t>(Expressed in U.S. Dollars, except for the number of shares)</w:t>
      </w:r>
    </w:p>
    <w:tbl>
      <w:tblPr>
        <w:tblStyle w:val="2"/>
        <w:tblW w:w="0" w:type="auto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7"/>
        <w:gridCol w:w="60"/>
        <w:gridCol w:w="464"/>
        <w:gridCol w:w="60"/>
        <w:gridCol w:w="187"/>
        <w:gridCol w:w="374"/>
        <w:gridCol w:w="60"/>
        <w:gridCol w:w="810"/>
        <w:gridCol w:w="60"/>
        <w:gridCol w:w="102"/>
        <w:gridCol w:w="459"/>
        <w:gridCol w:w="60"/>
        <w:gridCol w:w="90"/>
        <w:gridCol w:w="720"/>
        <w:gridCol w:w="60"/>
        <w:gridCol w:w="164"/>
        <w:gridCol w:w="600"/>
        <w:gridCol w:w="108"/>
        <w:gridCol w:w="60"/>
        <w:gridCol w:w="90"/>
        <w:gridCol w:w="585"/>
        <w:gridCol w:w="60"/>
        <w:gridCol w:w="117"/>
        <w:gridCol w:w="838"/>
        <w:gridCol w:w="78"/>
        <w:gridCol w:w="60"/>
        <w:gridCol w:w="91"/>
        <w:gridCol w:w="787"/>
        <w:gridCol w:w="61"/>
        <w:gridCol w:w="60"/>
        <w:gridCol w:w="91"/>
        <w:gridCol w:w="788"/>
        <w:gridCol w:w="61"/>
        <w:gridCol w:w="60"/>
        <w:gridCol w:w="133"/>
        <w:gridCol w:w="866"/>
        <w:gridCol w:w="88"/>
        <w:gridCol w:w="60"/>
        <w:gridCol w:w="90"/>
        <w:gridCol w:w="780"/>
        <w:gridCol w:w="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ascii="Times New Roman PS Std" w:hAnsi="Times New Roman PS Std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spacing w:before="200" w:after="20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Preferred shares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Common shares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 xml:space="preserve">Additional </w:t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 xml:space="preserve">paid-in </w:t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capital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3"/>
            <w:vMerge w:val="restart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 xml:space="preserve">Subscription </w:t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receivable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 xml:space="preserve">Statutory </w:t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reserve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3"/>
            <w:vMerge w:val="restart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Accumulated other comprehensive income (loss)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3"/>
            <w:vMerge w:val="restart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Retained earnings (accumulated deficit)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3"/>
            <w:vMerge w:val="restart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Total Baiya’s shareholders’ equity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3"/>
            <w:vMerge w:val="restart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Non-controlling interests</w:t>
            </w:r>
          </w:p>
        </w:tc>
        <w:tc>
          <w:tcPr>
            <w:tcW w:w="0" w:type="auto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3"/>
            <w:vMerge w:val="restart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 xml:space="preserve">Total </w:t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equity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Shares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Shares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Balance at January 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448,371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144,804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50,240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829,652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1,473,077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77,530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1,550,607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Appropriation to statutory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114,140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(114,140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Capital contribution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1,327,570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1,327,570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69,872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1,397,442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Net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239,597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239,597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12,610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252,207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Foreign currency translation 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43,852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43,852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2,308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46,160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Balance at December 31,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1,775,941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258,944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94,092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955,109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3,084,096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162,320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3,246,416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Appropriation to statutory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31,916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(31,916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Net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(1,264,103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(1,264,103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(65,578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(1,329,681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Foreign currency translation 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(203,339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(203,339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(10,725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(214,064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3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right="6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Balance at December 31, 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1,775,941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290,860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(109,247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(340,910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4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1,616,654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86,017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1,702,671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18"/>
                <w:szCs w:val="18"/>
              </w:rPr>
              <w:t> </w:t>
            </w:r>
          </w:p>
        </w:tc>
      </w:tr>
    </w:tbl>
    <w:p/>
    <w:p>
      <w:pPr>
        <w:pStyle w:val="4"/>
        <w:keepNext/>
        <w:spacing w:before="240" w:beforeAutospacing="0" w:after="0" w:afterAutospacing="0"/>
        <w:jc w:val="center"/>
        <w:rPr>
          <w:rFonts w:ascii="Times New Roman PS Std" w:hAnsi="Times New Roman PS Std"/>
          <w:b/>
          <w:bCs/>
          <w:sz w:val="20"/>
          <w:szCs w:val="20"/>
        </w:rPr>
      </w:pPr>
      <w:r>
        <w:rPr>
          <w:rFonts w:ascii="Times New Roman PS Std" w:hAnsi="Times New Roman PS Std"/>
          <w:b/>
          <w:bCs/>
          <w:sz w:val="20"/>
          <w:szCs w:val="20"/>
        </w:rPr>
        <w:t>BAIYA INTERNATIONAL GROUP INC.</w:t>
      </w:r>
      <w:r>
        <w:rPr>
          <w:rFonts w:ascii="Times New Roman PS Std" w:hAnsi="Times New Roman PS Std"/>
          <w:b/>
          <w:bCs/>
          <w:sz w:val="20"/>
          <w:szCs w:val="20"/>
        </w:rPr>
        <w:br w:type="textWrapping"/>
      </w:r>
      <w:r>
        <w:rPr>
          <w:rFonts w:ascii="Times New Roman PS Std" w:hAnsi="Times New Roman PS Std"/>
          <w:b/>
          <w:bCs/>
          <w:sz w:val="20"/>
          <w:szCs w:val="20"/>
        </w:rPr>
        <w:t>CONSOLIDATED STATEMENTS OF CASH FLOWS</w:t>
      </w:r>
      <w:r>
        <w:rPr>
          <w:rFonts w:ascii="Times New Roman PS Std" w:hAnsi="Times New Roman PS Std"/>
          <w:b/>
          <w:bCs/>
          <w:sz w:val="20"/>
          <w:szCs w:val="20"/>
        </w:rPr>
        <w:br w:type="textWrapping"/>
      </w:r>
      <w:r>
        <w:rPr>
          <w:rFonts w:ascii="Times New Roman PS Std" w:hAnsi="Times New Roman PS Std"/>
          <w:b/>
          <w:bCs/>
          <w:sz w:val="20"/>
          <w:szCs w:val="20"/>
        </w:rPr>
        <w:t>(Expressed in U.S. Dollars, except for the number of shares)</w:t>
      </w:r>
    </w:p>
    <w:tbl>
      <w:tblPr>
        <w:tblStyle w:val="2"/>
        <w:tblW w:w="500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36"/>
        <w:gridCol w:w="149"/>
        <w:gridCol w:w="199"/>
        <w:gridCol w:w="1248"/>
        <w:gridCol w:w="201"/>
        <w:gridCol w:w="150"/>
        <w:gridCol w:w="199"/>
        <w:gridCol w:w="1397"/>
        <w:gridCol w:w="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ascii="Times New Roman PS Std" w:hAnsi="Times New Roman PS Std"/>
                <w:b/>
                <w:bCs/>
                <w:sz w:val="20"/>
                <w:szCs w:val="20"/>
              </w:rPr>
            </w:pP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spacing w:before="200" w:after="20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38" w:type="pct"/>
            <w:gridSpan w:val="7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 xml:space="preserve">For the years ended </w:t>
            </w: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br w:type="textWrapping"/>
            </w: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December 31,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705" w:type="pct"/>
            <w:gridSpan w:val="3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64" w:type="pct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769" w:type="pct"/>
            <w:gridSpan w:val="3"/>
            <w:tcBorders>
              <w:top w:val="single" w:color="auto" w:sz="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Times New Roman PS Std" w:hAnsi="Times New Roman PS Std"/>
                <w:b/>
                <w:bCs/>
                <w:sz w:val="18"/>
                <w:szCs w:val="18"/>
              </w:rPr>
            </w:pPr>
            <w:r>
              <w:rPr>
                <w:rFonts w:ascii="Times New Roman PS Std" w:hAnsi="Times New Roman PS Std"/>
                <w:b/>
                <w:bCs/>
                <w:sz w:val="18"/>
                <w:szCs w:val="18"/>
              </w:rPr>
              <w:t>2021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CASH FLOWS FROM OPERATING ACTIVITIES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Net income (loss)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(1,329,681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252,207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Adjustments to reconcile net income to net cash (used in) provided by operating activities: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Depreciation expense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2,139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5,533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Provision for doubtful accounts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844,053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93,190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Amortization of operating lease right-of-use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177,843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188,539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Change in deferred tax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(3,298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(12,199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Changes in operating assets and liabilities: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Accounts receivable,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704,945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(262,411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Advance to suppliers, net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(141,522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19,934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Due from related parties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760,214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(920,301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Deferred IPO costs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(461,986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Prepaid expense and other current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(154,152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(120,167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Accounts payable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(312,815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(1,027,346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Advance from customers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(21,619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56,022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Accrued liabilities and other payables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279,802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460,142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Taxes payable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(96,177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198,002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Due to related parties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1,330,285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23,508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Lease liability, current portion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(25,135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(512,168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Net cash provided by (used in) operating activities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1,552,896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(1,557,515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CASH FLOWS FROM INVESTING ACTIVITIES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Purchase of fixed assets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(2,924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Net cash used in investing activities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(2,924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CASH FLOWS FROM FINANCING ACTIVITIES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Proceeds from loans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1,728,334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Repayments to loans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(944,416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2"/>
              <w:spacing w:before="0" w:beforeAutospacing="0" w:after="0" w:afterAutospacing="0"/>
              <w:ind w:left="4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Capital contribution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1,397,442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Net cash provided by financing activities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783,918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1,397,442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b/>
                <w:bCs/>
                <w:sz w:val="20"/>
                <w:szCs w:val="20"/>
              </w:rPr>
              <w:t>EFFECT OF EXCHANGE RATE CHANGES ON CASH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(67,132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(5,358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1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b/>
                <w:bCs/>
                <w:sz w:val="20"/>
                <w:szCs w:val="20"/>
              </w:rPr>
              <w:t>NET INCREASE (DECREASE) IN CASH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2,269,682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(168,355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10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b/>
                <w:bCs/>
                <w:sz w:val="20"/>
                <w:szCs w:val="20"/>
              </w:rPr>
              <w:t>CASH, BEGINNING OF YEAR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134,488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302,843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8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b/>
                <w:bCs/>
                <w:sz w:val="20"/>
                <w:szCs w:val="20"/>
              </w:rPr>
              <w:t>CASH, END OF YEAR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2,404,170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134,488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7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b/>
                <w:bCs/>
                <w:sz w:val="20"/>
                <w:szCs w:val="20"/>
              </w:rPr>
              <w:t>Supplemental disclosure information: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Cash paid for income tax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55,299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46,101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Cash paid for interest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56,883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double" w:color="000000" w:sz="6" w:space="0"/>
              <w:right w:val="nil"/>
            </w:tcBorders>
            <w:shd w:val="clear" w:color="auto" w:fill="CCEE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b/>
                <w:bCs/>
                <w:sz w:val="20"/>
                <w:szCs w:val="20"/>
              </w:rPr>
              <w:t>Supplemental disclosure of non-cash operating activity: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auto" w:fill="CCEEFF"/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339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6"/>
              <w:spacing w:before="0" w:beforeAutospacing="0" w:after="0" w:afterAutospacing="0"/>
              <w:ind w:left="200" w:hanging="20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Right of use assets obtained in exchange for operating lease liability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34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—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double" w:color="000000" w:sz="6" w:space="0"/>
              <w:right w:val="nil"/>
            </w:tcBorders>
            <w:noWrap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$</w:t>
            </w:r>
          </w:p>
        </w:tc>
        <w:tc>
          <w:tcPr>
            <w:tcW w:w="598" w:type="pct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24,711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p>
            <w:pPr>
              <w:pStyle w:val="9"/>
              <w:spacing w:before="0" w:beforeAutospacing="0" w:after="0" w:afterAutospacing="0"/>
              <w:jc w:val="right"/>
              <w:rPr>
                <w:rFonts w:ascii="Times New Roman PS Std" w:hAnsi="Times New Roman PS Std"/>
                <w:sz w:val="20"/>
                <w:szCs w:val="20"/>
              </w:rPr>
            </w:pPr>
            <w:r>
              <w:rPr>
                <w:rFonts w:ascii="Times New Roman PS Std" w:hAnsi="Times New Roman PS Std"/>
                <w:sz w:val="20"/>
                <w:szCs w:val="20"/>
              </w:rPr>
              <w:t> </w:t>
            </w:r>
          </w:p>
        </w:tc>
      </w:tr>
    </w:tbl>
    <w:p/>
    <w:sectPr>
      <w:pgSz w:w="11906" w:h="16838"/>
      <w:pgMar w:top="720" w:right="113" w:bottom="720" w:left="11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PS St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BD31D"/>
    <w:rsid w:val="3FDBD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1"/>
    <w:basedOn w:val="1"/>
    <w:qFormat/>
    <w:uiPriority w:val="0"/>
    <w:pPr>
      <w:spacing w:before="100" w:beforeAutospacing="1" w:after="100" w:afterAutospacing="1"/>
    </w:pPr>
  </w:style>
  <w:style w:type="paragraph" w:customStyle="1" w:styleId="5">
    <w:name w:val="tch"/>
    <w:basedOn w:val="1"/>
    <w:qFormat/>
    <w:uiPriority w:val="0"/>
    <w:pPr>
      <w:spacing w:before="100" w:beforeAutospacing="1" w:after="100" w:afterAutospacing="1"/>
    </w:pPr>
  </w:style>
  <w:style w:type="paragraph" w:customStyle="1" w:styleId="6">
    <w:name w:val="tbody"/>
    <w:basedOn w:val="1"/>
    <w:qFormat/>
    <w:uiPriority w:val="0"/>
    <w:pPr>
      <w:spacing w:before="100" w:beforeAutospacing="1" w:after="100" w:afterAutospacing="1"/>
    </w:pPr>
  </w:style>
  <w:style w:type="paragraph" w:customStyle="1" w:styleId="7">
    <w:name w:val="tbody_rightalign"/>
    <w:basedOn w:val="1"/>
    <w:qFormat/>
    <w:uiPriority w:val="0"/>
    <w:pPr>
      <w:spacing w:before="100" w:beforeAutospacing="1" w:after="100" w:afterAutospacing="1"/>
    </w:pPr>
  </w:style>
  <w:style w:type="paragraph" w:customStyle="1" w:styleId="8">
    <w:name w:val="tbody_rule1"/>
    <w:basedOn w:val="1"/>
    <w:qFormat/>
    <w:uiPriority w:val="0"/>
    <w:pPr>
      <w:spacing w:before="100" w:beforeAutospacing="1" w:after="100" w:afterAutospacing="1"/>
    </w:pPr>
  </w:style>
  <w:style w:type="paragraph" w:customStyle="1" w:styleId="9">
    <w:name w:val="tbody_rule2"/>
    <w:basedOn w:val="1"/>
    <w:qFormat/>
    <w:uiPriority w:val="0"/>
    <w:pPr>
      <w:spacing w:before="100" w:beforeAutospacing="1" w:after="100" w:afterAutospacing="1"/>
    </w:pPr>
  </w:style>
  <w:style w:type="paragraph" w:customStyle="1" w:styleId="10">
    <w:name w:val="tbody_rightalign-bracket-"/>
    <w:basedOn w:val="1"/>
    <w:qFormat/>
    <w:uiPriority w:val="0"/>
    <w:pPr>
      <w:spacing w:before="100" w:beforeAutospacing="1" w:after="100" w:afterAutospacing="1"/>
    </w:pPr>
  </w:style>
  <w:style w:type="paragraph" w:customStyle="1" w:styleId="11">
    <w:name w:val="tbody_rule1-bracket-"/>
    <w:basedOn w:val="1"/>
    <w:qFormat/>
    <w:uiPriority w:val="0"/>
    <w:pPr>
      <w:spacing w:before="100" w:beforeAutospacing="1" w:after="100" w:afterAutospacing="1"/>
    </w:pPr>
  </w:style>
  <w:style w:type="paragraph" w:customStyle="1" w:styleId="12">
    <w:name w:val="tbody-ind_1"/>
    <w:basedOn w:val="1"/>
    <w:qFormat/>
    <w:uiPriority w:val="0"/>
    <w:pPr>
      <w:spacing w:before="100" w:beforeAutospacing="1" w:after="100" w:afterAutospacing="1"/>
    </w:pPr>
  </w:style>
  <w:style w:type="paragraph" w:customStyle="1" w:styleId="13">
    <w:name w:val="tbody_rule1-brack-"/>
    <w:basedOn w:val="1"/>
    <w:qFormat/>
    <w:uiPriority w:val="0"/>
    <w:pPr>
      <w:spacing w:before="100" w:beforeAutospacing="1" w:after="100" w:afterAutospacing="1"/>
    </w:pPr>
  </w:style>
  <w:style w:type="paragraph" w:customStyle="1" w:styleId="14">
    <w:name w:val="tbody_rule2-bracket-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2023-12-08T14:33:00Z</dcterms:created>
  <dc:creator>Sebastian</dc:creator>
  <cp:lastModifiedBy>Sebastian</cp:lastModifiedBy>
  <dcterms:modified xsi:type="dcterms:W3CDTF">2023-12-08T15:07:31Z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FA89630185BA0DB0C5B87265A323DF90_41</vt:lpwstr>
  </property>
</Properties>
</file>